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国家税务总局揭阳市税务局第一税务分局</w:t>
      </w:r>
    </w:p>
    <w:p>
      <w:pPr>
        <w:adjustRightInd w:val="0"/>
        <w:snapToGrid w:val="0"/>
        <w:spacing w:line="58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税务行政职权运行流程图</w:t>
      </w:r>
    </w:p>
    <w:p>
      <w:pPr>
        <w:adjustRightInd w:val="0"/>
        <w:snapToGrid w:val="0"/>
        <w:spacing w:line="580" w:lineRule="exact"/>
        <w:jc w:val="center"/>
        <w:rPr>
          <w:rFonts w:ascii="方正小标宋简体" w:hAnsi="宋体" w:eastAsia="方正小标宋简体"/>
          <w:sz w:val="36"/>
          <w:szCs w:val="36"/>
        </w:rPr>
      </w:pPr>
    </w:p>
    <w:p>
      <w:pPr>
        <w:widowControl/>
        <w:numPr>
          <w:ilvl w:val="0"/>
          <w:numId w:val="1"/>
        </w:numPr>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cs="黑体"/>
          <w:kern w:val="0"/>
          <w:sz w:val="32"/>
          <w:szCs w:val="32"/>
        </w:rPr>
        <w:t>税费征收</w:t>
      </w:r>
    </w:p>
    <w:p>
      <w:pPr>
        <w:widowControl/>
        <w:overflowPunct w:val="0"/>
        <w:autoSpaceDE w:val="0"/>
        <w:autoSpaceDN w:val="0"/>
        <w:adjustRightInd w:val="0"/>
        <w:textAlignment w:val="baseline"/>
        <w:rPr>
          <w:rFonts w:ascii="黑体" w:hAnsi="黑体" w:eastAsia="黑体" w:cs="黑体"/>
          <w:kern w:val="0"/>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011701</w:t>
      </w:r>
      <w:r>
        <w:rPr>
          <w:rFonts w:hint="eastAsia" w:ascii="仿宋_GB2312" w:hAnsi="仿宋" w:eastAsia="仿宋_GB2312"/>
          <w:sz w:val="32"/>
          <w:szCs w:val="32"/>
        </w:rPr>
        <w:tab/>
      </w:r>
      <w:r>
        <w:rPr>
          <w:rFonts w:hint="eastAsia" w:ascii="仿宋_GB2312" w:hAnsi="仿宋" w:eastAsia="仿宋_GB2312"/>
          <w:sz w:val="32"/>
          <w:szCs w:val="32"/>
        </w:rPr>
        <w:t>出口货物劳务及应税服务退（免）税办理</w:t>
      </w:r>
    </w:p>
    <w:p>
      <w:pPr>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25" o:spt="75" type="#_x0000_t75" style="height:466.35pt;width:360.85pt;" o:ole="t" filled="f" o:preferrelative="t" stroked="f" coordsize="21600,21600">
            <v:path/>
            <v:fill on="f" focussize="0,0"/>
            <v:stroke on="f" joinstyle="miter"/>
            <v:imagedata r:id="rId5" o:title=""/>
            <o:lock v:ext="edit" aspectratio="t"/>
            <w10:wrap type="none"/>
            <w10:anchorlock/>
          </v:shape>
          <o:OLEObject Type="Embed" ProgID="Visio.Drawing.15" ShapeID="_x0000_i1025" DrawAspect="Content" ObjectID="_1468075725" r:id="rId4">
            <o:LockedField>false</o:LockedField>
          </o:OLEObject>
        </w:object>
      </w:r>
    </w:p>
    <w:p>
      <w:r>
        <w:br w:type="page"/>
      </w:r>
    </w:p>
    <w:p>
      <w:pPr>
        <w:spacing w:line="288" w:lineRule="auto"/>
        <w:rPr>
          <w:rFonts w:ascii="仿宋_GB2312" w:hAnsi="仿宋" w:eastAsia="仿宋_GB2312"/>
          <w:sz w:val="32"/>
          <w:szCs w:val="32"/>
        </w:rPr>
      </w:pPr>
      <w:r>
        <w:rPr>
          <w:rFonts w:hint="eastAsia" w:ascii="仿宋_GB2312" w:hAnsi="仿宋" w:eastAsia="仿宋_GB2312"/>
          <w:sz w:val="32"/>
          <w:szCs w:val="32"/>
        </w:rPr>
        <w:t>011702</w:t>
      </w:r>
      <w:r>
        <w:rPr>
          <w:rFonts w:hint="eastAsia" w:ascii="仿宋_GB2312" w:hAnsi="仿宋" w:eastAsia="仿宋_GB2312"/>
          <w:sz w:val="32"/>
          <w:szCs w:val="32"/>
        </w:rPr>
        <w:tab/>
      </w:r>
      <w:r>
        <w:rPr>
          <w:rFonts w:hint="eastAsia" w:ascii="仿宋_GB2312" w:hAnsi="仿宋" w:eastAsia="仿宋_GB2312"/>
          <w:sz w:val="32"/>
          <w:szCs w:val="32"/>
        </w:rPr>
        <w:t>出口退（免）税相关证明出具</w:t>
      </w:r>
    </w:p>
    <w:p>
      <w:pPr>
        <w:spacing w:line="288" w:lineRule="auto"/>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26" o:spt="75" type="#_x0000_t75" style="height:488.95pt;width:384.3pt;" o:ole="t" filled="f" o:preferrelative="t" stroked="f" coordsize="21600,21600">
            <v:path/>
            <v:fill on="f" focussize="0,0"/>
            <v:stroke on="f" joinstyle="miter"/>
            <v:imagedata r:id="rId7" o:title=""/>
            <o:lock v:ext="edit" aspectratio="t"/>
            <w10:wrap type="none"/>
            <w10:anchorlock/>
          </v:shape>
          <o:OLEObject Type="Embed" ProgID="Visio.Drawing.15" ShapeID="_x0000_i1026" DrawAspect="Content" ObjectID="_1468075726" r:id="rId6">
            <o:LockedField>false</o:LockedField>
          </o:OLEObject>
        </w:object>
      </w:r>
    </w:p>
    <w:p>
      <w:r>
        <w:br w:type="page"/>
      </w:r>
    </w:p>
    <w:p>
      <w:pPr>
        <w:rPr>
          <w:rFonts w:ascii="仿宋_GB2312" w:eastAsia="仿宋_GB2312"/>
          <w:sz w:val="32"/>
          <w:szCs w:val="32"/>
        </w:rPr>
      </w:pPr>
      <w:r>
        <w:rPr>
          <w:rFonts w:hint="eastAsia" w:ascii="仿宋_GB2312" w:eastAsia="仿宋_GB2312"/>
          <w:sz w:val="32"/>
          <w:szCs w:val="32"/>
        </w:rPr>
        <w:t>060400</w:t>
      </w:r>
      <w:r>
        <w:rPr>
          <w:rFonts w:hint="eastAsia" w:ascii="仿宋_GB2312" w:eastAsia="仿宋_GB2312"/>
          <w:sz w:val="32"/>
          <w:szCs w:val="32"/>
        </w:rPr>
        <w:tab/>
      </w:r>
      <w:r>
        <w:rPr>
          <w:rFonts w:hint="eastAsia" w:ascii="仿宋_GB2312" w:eastAsia="仿宋_GB2312"/>
          <w:sz w:val="32"/>
          <w:szCs w:val="32"/>
        </w:rPr>
        <w:t>出口退（免）税企业分类管理评定</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27" o:spt="75" type="#_x0000_t75" style="height:307.25pt;width:306.4pt;" o:ole="t" filled="f" o:preferrelative="t" stroked="f" coordsize="21600,21600">
            <v:path/>
            <v:fill on="f" focussize="0,0"/>
            <v:stroke on="f" joinstyle="miter"/>
            <v:imagedata r:id="rId9" o:title=""/>
            <o:lock v:ext="edit" aspectratio="f"/>
            <w10:wrap type="none"/>
            <w10:anchorlock/>
          </v:shape>
          <o:OLEObject Type="Embed" ProgID="Visio.Drawing.15" ShapeID="_x0000_i1027" DrawAspect="Content" ObjectID="_1468075727" r:id="rId8">
            <o:LockedField>false</o:LockedField>
          </o:OLEObject>
        </w:object>
      </w:r>
    </w:p>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仿宋_GB2312" w:eastAsia="仿宋_GB2312"/>
          <w:sz w:val="32"/>
          <w:szCs w:val="32"/>
        </w:rPr>
      </w:pPr>
    </w:p>
    <w:p>
      <w:pPr>
        <w:adjustRightInd w:val="0"/>
        <w:snapToGrid w:val="0"/>
        <w:spacing w:line="620" w:lineRule="exact"/>
        <w:rPr>
          <w:rFonts w:ascii="黑体" w:hAnsi="黑体" w:eastAsia="黑体"/>
          <w:sz w:val="32"/>
          <w:szCs w:val="22"/>
        </w:rPr>
      </w:pPr>
      <w:r>
        <w:rPr>
          <w:rFonts w:hint="eastAsia" w:ascii="黑体" w:hAnsi="黑体" w:eastAsia="黑体"/>
          <w:sz w:val="32"/>
          <w:szCs w:val="22"/>
        </w:rPr>
        <w:t>二、监管执法</w:t>
      </w:r>
    </w:p>
    <w:p>
      <w:pPr>
        <w:adjustRightInd w:val="0"/>
        <w:snapToGrid w:val="0"/>
        <w:spacing w:line="620" w:lineRule="exact"/>
        <w:rPr>
          <w:rFonts w:ascii="黑体" w:hAnsi="黑体" w:eastAsia="黑体"/>
          <w:sz w:val="32"/>
          <w:szCs w:val="22"/>
        </w:rPr>
      </w:pPr>
    </w:p>
    <w:p>
      <w:pPr>
        <w:adjustRightInd w:val="0"/>
        <w:snapToGrid w:val="0"/>
        <w:spacing w:line="620" w:lineRule="exact"/>
        <w:rPr>
          <w:rFonts w:ascii="仿宋_GB2312" w:eastAsia="仿宋_GB2312"/>
          <w:sz w:val="32"/>
          <w:szCs w:val="32"/>
        </w:rPr>
      </w:pPr>
      <w:r>
        <w:rPr>
          <w:rFonts w:hint="eastAsia" w:ascii="仿宋_GB2312" w:eastAsia="仿宋_GB2312"/>
          <w:sz w:val="32"/>
          <w:szCs w:val="32"/>
        </w:rPr>
        <w:t>081800</w:t>
      </w:r>
      <w:r>
        <w:rPr>
          <w:rFonts w:hint="eastAsia" w:ascii="仿宋_GB2312" w:eastAsia="仿宋_GB2312"/>
          <w:sz w:val="32"/>
          <w:szCs w:val="32"/>
        </w:rPr>
        <w:tab/>
      </w:r>
      <w:r>
        <w:rPr>
          <w:rFonts w:hint="eastAsia" w:ascii="仿宋_GB2312" w:eastAsia="仿宋_GB2312"/>
          <w:sz w:val="32"/>
          <w:szCs w:val="32"/>
        </w:rPr>
        <w:t>纳税人税收风险分析及组织应对</w:t>
      </w:r>
    </w:p>
    <w:p>
      <w:pPr>
        <w:adjustRightInd w:val="0"/>
        <w:snapToGrid w:val="0"/>
        <w:spacing w:line="620" w:lineRule="exact"/>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28" o:spt="75" type="#_x0000_t75" style="height:241.1pt;width:128.1pt;" o:ole="t" filled="f" o:preferrelative="t" stroked="f" coordsize="21600,21600">
            <v:path/>
            <v:fill on="f" focussize="0,0"/>
            <v:stroke on="f" joinstyle="miter"/>
            <v:imagedata r:id="rId11" o:title=""/>
            <o:lock v:ext="edit" aspectratio="f"/>
            <w10:wrap type="none"/>
            <w10:anchorlock/>
          </v:shape>
          <o:OLEObject Type="Embed" ProgID="Visio.Drawing.15" ShapeID="_x0000_i1028" DrawAspect="Content" ObjectID="_1468075728" r:id="rId10">
            <o:LockedField>false</o:LockedField>
          </o:OLEObject>
        </w:object>
      </w:r>
    </w:p>
    <w:p>
      <w:pPr>
        <w:rPr>
          <w:rFonts w:ascii="仿宋_GB2312" w:hAnsi="仿宋" w:eastAsia="仿宋_GB2312"/>
          <w:sz w:val="32"/>
          <w:szCs w:val="32"/>
        </w:rPr>
      </w:pPr>
      <w:r>
        <w:rPr>
          <w:rFonts w:hint="eastAsia" w:ascii="仿宋_GB2312" w:hAnsi="仿宋" w:eastAsia="仿宋_GB2312"/>
          <w:sz w:val="32"/>
          <w:szCs w:val="32"/>
        </w:rPr>
        <w:br w:type="page"/>
      </w: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29" o:spt="75" type="#_x0000_t75" style="height:496.45pt;width:415.25pt;" o:ole="t" filled="f" o:preferrelative="t" stroked="f" coordsize="21600,21600">
            <v:path/>
            <v:fill on="f" focussize="0,0"/>
            <v:stroke on="f" joinstyle="miter"/>
            <v:imagedata r:id="rId13" o:title=""/>
            <o:lock v:ext="edit" aspectratio="t"/>
            <w10:wrap type="none"/>
            <w10:anchorlock/>
          </v:shape>
          <o:OLEObject Type="Embed" ProgID="Visio.Drawing.15" ShapeID="_x0000_i1029" DrawAspect="Content" ObjectID="_1468075729" r:id="rId12">
            <o:LockedField>false</o:LockedField>
          </o:OLEObject>
        </w:object>
      </w:r>
    </w:p>
    <w:p>
      <w:pPr>
        <w:rPr>
          <w:rFonts w:ascii="仿宋_GB2312" w:eastAsia="仿宋_GB2312"/>
          <w:sz w:val="32"/>
          <w:szCs w:val="32"/>
        </w:rPr>
      </w:pPr>
      <w:r>
        <w:rPr>
          <w:rFonts w:hint="eastAsia" w:ascii="仿宋_GB2312" w:eastAsia="仿宋_GB2312"/>
          <w:sz w:val="32"/>
          <w:szCs w:val="32"/>
        </w:rPr>
        <w:br w:type="page"/>
      </w: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040501—040503 税务行政处罚</w:t>
      </w:r>
    </w:p>
    <w:p>
      <w:pPr>
        <w:rPr>
          <w:rFonts w:ascii="仿宋_GB2312" w:hAnsi="黑体" w:eastAsia="仿宋_GB2312" w:cs="宋体"/>
          <w:sz w:val="32"/>
          <w:szCs w:val="32"/>
        </w:rPr>
      </w:pPr>
    </w:p>
    <w:p>
      <w:pPr>
        <w:rPr>
          <w:rFonts w:ascii="仿宋_GB2312" w:hAnsi="黑体" w:eastAsia="仿宋_GB2312" w:cs="宋体"/>
          <w:sz w:val="32"/>
          <w:szCs w:val="32"/>
        </w:rPr>
      </w:pPr>
      <w:r>
        <w:rPr>
          <w:rFonts w:hint="eastAsia" w:ascii="仿宋_GB2312" w:hAnsi="黑体" w:eastAsia="仿宋_GB2312" w:cs="宋体"/>
          <w:sz w:val="32"/>
          <w:szCs w:val="32"/>
        </w:rPr>
        <w:t>简易程序：</w:t>
      </w:r>
      <w:bookmarkStart w:id="0" w:name="_GoBack"/>
      <w:bookmarkEnd w:id="0"/>
    </w:p>
    <w:p>
      <w:pPr>
        <w:rPr>
          <w:rFonts w:ascii="仿宋_GB2312" w:hAnsi="黑体" w:eastAsia="仿宋_GB2312" w:cs="宋体"/>
          <w:sz w:val="32"/>
          <w:szCs w:val="32"/>
        </w:rPr>
      </w:pPr>
    </w:p>
    <w:p>
      <w:pPr>
        <w:jc w:val="center"/>
        <w:rPr>
          <w:rFonts w:ascii="仿宋_GB2312" w:hAnsi="华文楷体" w:eastAsia="仿宋_GB2312"/>
          <w:sz w:val="32"/>
          <w:szCs w:val="32"/>
        </w:rPr>
      </w:pPr>
      <w:r>
        <w:rPr>
          <w:rFonts w:hint="eastAsia" w:ascii="仿宋_GB2312" w:eastAsia="仿宋_GB2312"/>
          <w:sz w:val="32"/>
          <w:szCs w:val="32"/>
        </w:rPr>
        <w:object>
          <v:shape id="_x0000_i1030" o:spt="75" type="#_x0000_t75" style="height:288pt;width:264.55pt;" o:ole="t" filled="f" o:preferrelative="t" stroked="f" coordsize="21600,21600">
            <v:path/>
            <v:fill on="f" focussize="0,0"/>
            <v:stroke on="f" joinstyle="miter"/>
            <v:imagedata r:id="rId15" o:title=""/>
            <o:lock v:ext="edit" aspectratio="t"/>
            <w10:wrap type="none"/>
            <w10:anchorlock/>
          </v:shape>
          <o:OLEObject Type="Embed" ProgID="Visio.Drawing.15" ShapeID="_x0000_i1030" DrawAspect="Content" ObjectID="_1468075730" r:id="rId14">
            <o:LockedField>false</o:LockedField>
          </o:OLEObject>
        </w:object>
      </w:r>
    </w:p>
    <w:p>
      <w:pPr>
        <w:spacing w:line="220" w:lineRule="atLeast"/>
        <w:rPr>
          <w:rFonts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31" o:spt="75" type="#_x0000_t75" style="height:471.35pt;width:411.05pt;" o:ole="t" filled="f" o:preferrelative="t" stroked="f" coordsize="21600,21600">
            <v:path/>
            <v:fill on="f" focussize="0,0"/>
            <v:stroke on="f" joinstyle="miter"/>
            <v:imagedata r:id="rId17" o:title=""/>
            <o:lock v:ext="edit" aspectratio="t"/>
            <w10:wrap type="none"/>
            <w10:anchorlock/>
          </v:shape>
          <o:OLEObject Type="Embed" ProgID="Visio.Drawing.15" ShapeID="_x0000_i1031" DrawAspect="Content" ObjectID="_1468075731" r:id="rId16">
            <o:LockedField>false</o:LockedField>
          </o:OLEObject>
        </w:object>
      </w:r>
    </w:p>
    <w:p>
      <w:r>
        <w:br w:type="page"/>
      </w:r>
    </w:p>
    <w:p/>
    <w:p>
      <w:pPr>
        <w:spacing w:line="500" w:lineRule="exact"/>
        <w:rPr>
          <w:rFonts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4" w:hanging="964" w:hangingChars="400"/>
        <w:rPr>
          <w:rFonts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9258E3"/>
    <w:multiLevelType w:val="singleLevel"/>
    <w:tmpl w:val="F09258E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AB0"/>
    <w:rsid w:val="0003530A"/>
    <w:rsid w:val="00583AB0"/>
    <w:rsid w:val="00B53556"/>
    <w:rsid w:val="1AEA7426"/>
    <w:rsid w:val="1EDC32A6"/>
    <w:rsid w:val="37BA0DC6"/>
    <w:rsid w:val="40DB180C"/>
    <w:rsid w:val="41BA3089"/>
    <w:rsid w:val="48A568C4"/>
    <w:rsid w:val="5D401FBF"/>
    <w:rsid w:val="725D4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宋体" w:cs="Times New Roman"/>
      <w:kern w:val="2"/>
      <w:sz w:val="18"/>
      <w:szCs w:val="18"/>
    </w:rPr>
  </w:style>
  <w:style w:type="character" w:customStyle="1" w:styleId="7">
    <w:name w:val="页脚 Char"/>
    <w:basedOn w:val="5"/>
    <w:link w:val="2"/>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107</Words>
  <Characters>614</Characters>
  <Lines>5</Lines>
  <Paragraphs>1</Paragraphs>
  <TotalTime>2</TotalTime>
  <ScaleCrop>false</ScaleCrop>
  <LinksUpToDate>false</LinksUpToDate>
  <CharactersWithSpaces>720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2025-11-17T07:24:00Z</dcterms:created>
  <dc:creator>Administrator</dc:creator>
  <cp:lastModifiedBy>李俊锋</cp:lastModifiedBy>
  <dcterms:modified xsi:type="dcterms:W3CDTF">2026-09-14T03:04:41Z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