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00" w:lineRule="auto"/>
        <w:ind w:left="851" w:hanging="851"/>
        <w:jc w:val="center"/>
        <w:outlineLvl w:val="0"/>
        <w:rPr>
          <w:rFonts w:hint="eastAsia" w:ascii="黑体" w:hAnsi="黑体" w:eastAsia="黑体" w:cs="黑体"/>
          <w:b/>
          <w:color w:val="auto"/>
          <w:sz w:val="44"/>
        </w:rPr>
      </w:pPr>
      <w:r>
        <w:rPr>
          <w:rFonts w:hint="eastAsia" w:ascii="黑体" w:hAnsi="黑体" w:eastAsia="黑体" w:cs="黑体"/>
          <w:b/>
          <w:color w:val="auto"/>
          <w:sz w:val="28"/>
          <w:szCs w:val="28"/>
        </w:rPr>
        <w:t>用户需求书</w:t>
      </w:r>
    </w:p>
    <w:p>
      <w:pPr>
        <w:adjustRightInd w:val="0"/>
        <w:snapToGrid w:val="0"/>
        <w:spacing w:line="300" w:lineRule="auto"/>
        <w:ind w:left="851" w:hanging="851"/>
        <w:jc w:val="both"/>
        <w:rPr>
          <w:rFonts w:hint="eastAsia" w:ascii="黑体" w:hAnsi="黑体" w:eastAsia="黑体" w:cs="黑体"/>
          <w:color w:val="auto"/>
          <w:sz w:val="24"/>
          <w:szCs w:val="24"/>
          <w:lang w:val="en-US" w:eastAsia="zh-CN"/>
        </w:rPr>
      </w:pPr>
    </w:p>
    <w:p>
      <w:pPr>
        <w:widowControl w:val="0"/>
        <w:spacing w:line="360" w:lineRule="auto"/>
        <w:jc w:val="both"/>
        <w:rPr>
          <w:rFonts w:hint="eastAsia" w:ascii="黑体" w:hAnsi="黑体" w:eastAsia="黑体" w:cs="黑体"/>
          <w:b/>
          <w:color w:val="auto"/>
          <w:sz w:val="24"/>
          <w:szCs w:val="24"/>
          <w:lang w:eastAsia="zh-CN"/>
        </w:rPr>
      </w:pPr>
      <w:r>
        <w:rPr>
          <w:rFonts w:hint="eastAsia" w:ascii="黑体" w:hAnsi="黑体" w:eastAsia="黑体" w:cs="黑体"/>
          <w:b/>
          <w:color w:val="auto"/>
          <w:sz w:val="24"/>
          <w:szCs w:val="24"/>
        </w:rPr>
        <w:t>一、项目服务人员需求</w:t>
      </w:r>
    </w:p>
    <w:tbl>
      <w:tblPr>
        <w:tblStyle w:val="4"/>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480"/>
        <w:gridCol w:w="2517"/>
        <w:gridCol w:w="1239"/>
        <w:gridCol w:w="3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43" w:type="dxa"/>
            <w:gridSpan w:val="5"/>
            <w:tcBorders>
              <w:top w:val="single" w:color="auto" w:sz="12" w:space="0"/>
              <w:left w:val="single" w:color="auto" w:sz="12" w:space="0"/>
              <w:right w:val="single" w:color="auto" w:sz="12" w:space="0"/>
            </w:tcBorders>
            <w:noWrap w:val="0"/>
            <w:vAlign w:val="center"/>
          </w:tcPr>
          <w:p>
            <w:pPr>
              <w:widowControl w:val="0"/>
              <w:spacing w:line="360" w:lineRule="auto"/>
              <w:jc w:val="center"/>
              <w:rPr>
                <w:rFonts w:hint="eastAsia" w:ascii="黑体" w:hAnsi="黑体" w:eastAsia="黑体" w:cs="黑体"/>
                <w:color w:val="auto"/>
                <w:sz w:val="24"/>
                <w:szCs w:val="24"/>
              </w:rPr>
            </w:pPr>
            <w:r>
              <w:rPr>
                <w:rFonts w:hint="eastAsia" w:ascii="黑体" w:hAnsi="黑体" w:eastAsia="黑体" w:cs="黑体"/>
                <w:color w:val="auto"/>
                <w:sz w:val="24"/>
                <w:szCs w:val="24"/>
              </w:rPr>
              <w:t>国家税务总局汕头市濠江区税务局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序号</w:t>
            </w:r>
          </w:p>
        </w:tc>
        <w:tc>
          <w:tcPr>
            <w:tcW w:w="1480"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服务项目</w:t>
            </w:r>
          </w:p>
        </w:tc>
        <w:tc>
          <w:tcPr>
            <w:tcW w:w="2517"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岗位</w:t>
            </w:r>
          </w:p>
        </w:tc>
        <w:tc>
          <w:tcPr>
            <w:tcW w:w="1239"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配置人数</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53" w:type="dxa"/>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1</w:t>
            </w:r>
          </w:p>
        </w:tc>
        <w:tc>
          <w:tcPr>
            <w:tcW w:w="1480" w:type="dxa"/>
            <w:noWrap w:val="0"/>
            <w:vAlign w:val="center"/>
          </w:tcPr>
          <w:p>
            <w:pPr>
              <w:widowControl w:val="0"/>
              <w:spacing w:line="240" w:lineRule="auto"/>
              <w:jc w:val="center"/>
              <w:rPr>
                <w:rFonts w:hint="eastAsia" w:ascii="黑体" w:hAnsi="黑体" w:eastAsia="黑体" w:cs="黑体"/>
                <w:color w:val="auto"/>
              </w:rPr>
            </w:pPr>
            <w:r>
              <w:rPr>
                <w:rFonts w:hint="eastAsia" w:ascii="黑体" w:hAnsi="黑体" w:eastAsia="黑体" w:cs="黑体"/>
                <w:color w:val="auto"/>
              </w:rPr>
              <w:t>项目经理    （1 人）</w:t>
            </w: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 xml:space="preserve">项目经理 </w:t>
            </w:r>
          </w:p>
        </w:tc>
        <w:tc>
          <w:tcPr>
            <w:tcW w:w="1239"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53" w:type="dxa"/>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2</w:t>
            </w:r>
          </w:p>
        </w:tc>
        <w:tc>
          <w:tcPr>
            <w:tcW w:w="1480" w:type="dxa"/>
            <w:noWrap w:val="0"/>
            <w:vAlign w:val="center"/>
          </w:tcPr>
          <w:p>
            <w:pPr>
              <w:widowControl w:val="0"/>
              <w:spacing w:line="24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助理文员</w:t>
            </w:r>
          </w:p>
          <w:p>
            <w:pPr>
              <w:widowControl w:val="0"/>
              <w:spacing w:line="24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（1人）</w:t>
            </w: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lang w:val="en-US" w:eastAsia="zh-CN"/>
              </w:rPr>
              <w:t>助理文员(兼会务管理）</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753" w:type="dxa"/>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3</w:t>
            </w:r>
          </w:p>
        </w:tc>
        <w:tc>
          <w:tcPr>
            <w:tcW w:w="1480" w:type="dxa"/>
            <w:noWrap w:val="0"/>
            <w:vAlign w:val="center"/>
          </w:tcPr>
          <w:p>
            <w:pPr>
              <w:widowControl w:val="0"/>
              <w:spacing w:line="24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会务员</w:t>
            </w:r>
          </w:p>
          <w:p>
            <w:pPr>
              <w:pStyle w:val="2"/>
              <w:spacing w:line="240" w:lineRule="auto"/>
              <w:ind w:firstLine="230" w:firstLineChars="100"/>
              <w:jc w:val="both"/>
              <w:rPr>
                <w:rFonts w:hint="eastAsia" w:ascii="黑体" w:hAnsi="黑体" w:eastAsia="黑体" w:cs="黑体"/>
                <w:color w:val="auto"/>
                <w:lang w:val="en-US" w:eastAsia="zh-CN"/>
              </w:rPr>
            </w:pPr>
            <w:r>
              <w:rPr>
                <w:rFonts w:hint="eastAsia" w:ascii="黑体" w:hAnsi="黑体" w:eastAsia="黑体" w:cs="黑体"/>
                <w:color w:val="auto"/>
                <w:lang w:val="en-US" w:eastAsia="zh-CN"/>
              </w:rPr>
              <w:t>（1人）</w:t>
            </w:r>
          </w:p>
        </w:tc>
        <w:tc>
          <w:tcPr>
            <w:tcW w:w="2517" w:type="dxa"/>
            <w:noWrap w:val="0"/>
            <w:vAlign w:val="center"/>
          </w:tcPr>
          <w:p>
            <w:pPr>
              <w:widowControl w:val="0"/>
              <w:spacing w:line="0" w:lineRule="atLeast"/>
              <w:jc w:val="center"/>
              <w:rPr>
                <w:rFonts w:hint="eastAsia" w:ascii="黑体" w:hAnsi="黑体" w:eastAsia="黑体" w:cs="黑体"/>
                <w:color w:val="auto"/>
                <w:szCs w:val="24"/>
                <w:lang w:eastAsia="zh-CN"/>
              </w:rPr>
            </w:pPr>
            <w:r>
              <w:rPr>
                <w:rFonts w:hint="eastAsia" w:ascii="黑体" w:hAnsi="黑体" w:eastAsia="黑体" w:cs="黑体"/>
                <w:color w:val="auto"/>
                <w:szCs w:val="24"/>
                <w:lang w:eastAsia="zh-CN"/>
              </w:rPr>
              <w:t>会议服务</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restart"/>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4</w:t>
            </w:r>
          </w:p>
        </w:tc>
        <w:tc>
          <w:tcPr>
            <w:tcW w:w="1480" w:type="dxa"/>
            <w:vMerge w:val="restart"/>
            <w:noWrap w:val="0"/>
            <w:vAlign w:val="center"/>
          </w:tcPr>
          <w:p>
            <w:pPr>
              <w:widowControl w:val="0"/>
              <w:spacing w:line="0" w:lineRule="atLeast"/>
              <w:jc w:val="both"/>
              <w:rPr>
                <w:rFonts w:hint="eastAsia" w:ascii="黑体" w:hAnsi="黑体" w:eastAsia="黑体" w:cs="黑体"/>
                <w:color w:val="auto"/>
                <w:szCs w:val="24"/>
              </w:rPr>
            </w:pPr>
            <w:r>
              <w:rPr>
                <w:rFonts w:hint="eastAsia" w:ascii="黑体" w:hAnsi="黑体" w:eastAsia="黑体" w:cs="黑体"/>
                <w:color w:val="auto"/>
                <w:szCs w:val="24"/>
              </w:rPr>
              <w:t>安全秩序维护</w:t>
            </w:r>
          </w:p>
          <w:p>
            <w:pPr>
              <w:widowControl w:val="0"/>
              <w:spacing w:line="0" w:lineRule="atLeast"/>
              <w:jc w:val="center"/>
              <w:rPr>
                <w:rFonts w:hint="eastAsia" w:ascii="黑体" w:hAnsi="黑体" w:eastAsia="黑体" w:cs="黑体"/>
                <w:color w:val="auto"/>
              </w:rPr>
            </w:pPr>
            <w:r>
              <w:rPr>
                <w:rFonts w:hint="eastAsia" w:ascii="黑体" w:hAnsi="黑体" w:eastAsia="黑体" w:cs="黑体"/>
                <w:color w:val="auto"/>
                <w:szCs w:val="24"/>
              </w:rPr>
              <w:t>（</w:t>
            </w:r>
            <w:r>
              <w:rPr>
                <w:rFonts w:hint="eastAsia" w:ascii="黑体" w:hAnsi="黑体" w:eastAsia="黑体" w:cs="黑体"/>
                <w:color w:val="auto"/>
                <w:szCs w:val="24"/>
                <w:lang w:val="en-US" w:eastAsia="zh-CN"/>
              </w:rPr>
              <w:t>21</w:t>
            </w:r>
            <w:r>
              <w:rPr>
                <w:rFonts w:hint="eastAsia" w:ascii="黑体" w:hAnsi="黑体" w:eastAsia="黑体" w:cs="黑体"/>
                <w:color w:val="auto"/>
                <w:szCs w:val="24"/>
              </w:rPr>
              <w:t>人）</w:t>
            </w: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 xml:space="preserve"> 保安队长（区局办公楼）</w:t>
            </w:r>
          </w:p>
        </w:tc>
        <w:tc>
          <w:tcPr>
            <w:tcW w:w="1239"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autoSpaceDE w:val="0"/>
              <w:autoSpaceDN w:val="0"/>
              <w:adjustRightInd w:val="0"/>
              <w:jc w:val="center"/>
              <w:rPr>
                <w:rFonts w:hint="eastAsia" w:ascii="黑体" w:hAnsi="黑体" w:eastAsia="黑体" w:cs="黑体"/>
                <w:color w:val="auto"/>
                <w:kern w:val="0"/>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门卫（区局办公楼）</w:t>
            </w:r>
          </w:p>
        </w:tc>
        <w:tc>
          <w:tcPr>
            <w:tcW w:w="1239" w:type="dxa"/>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6</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全天24小时分</w:t>
            </w:r>
            <w:r>
              <w:rPr>
                <w:rFonts w:hint="eastAsia" w:ascii="黑体" w:hAnsi="黑体" w:eastAsia="黑体" w:cs="黑体"/>
                <w:color w:val="auto"/>
                <w:lang w:val="en-US" w:eastAsia="zh-CN"/>
              </w:rPr>
              <w:t>三</w:t>
            </w:r>
            <w:r>
              <w:rPr>
                <w:rFonts w:hint="eastAsia" w:ascii="黑体" w:hAnsi="黑体" w:eastAsia="黑体" w:cs="黑体"/>
                <w:color w:val="auto"/>
              </w:rPr>
              <w:t>班，每班</w:t>
            </w:r>
            <w:r>
              <w:rPr>
                <w:rFonts w:hint="eastAsia" w:ascii="黑体" w:hAnsi="黑体" w:eastAsia="黑体" w:cs="黑体"/>
                <w:color w:val="auto"/>
                <w:lang w:val="en-US" w:eastAsia="zh-CN"/>
              </w:rPr>
              <w:t>8</w:t>
            </w:r>
            <w:r>
              <w:rPr>
                <w:rFonts w:hint="eastAsia" w:ascii="黑体" w:hAnsi="黑体" w:eastAsia="黑体" w:cs="黑体"/>
                <w:color w:val="auto"/>
              </w:rPr>
              <w:t>小时制轮值，每班</w:t>
            </w:r>
            <w:r>
              <w:rPr>
                <w:rFonts w:hint="eastAsia" w:ascii="黑体" w:hAnsi="黑体" w:eastAsia="黑体" w:cs="黑体"/>
                <w:color w:val="auto"/>
                <w:lang w:val="en-US" w:eastAsia="zh-CN"/>
              </w:rPr>
              <w:t>2</w:t>
            </w:r>
            <w:r>
              <w:rPr>
                <w:rFonts w:hint="eastAsia" w:ascii="黑体" w:hAnsi="黑体" w:eastAsia="黑体" w:cs="黑体"/>
                <w:color w:val="auto"/>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autoSpaceDE w:val="0"/>
              <w:autoSpaceDN w:val="0"/>
              <w:adjustRightInd w:val="0"/>
              <w:jc w:val="center"/>
              <w:rPr>
                <w:rFonts w:hint="eastAsia" w:ascii="黑体" w:hAnsi="黑体" w:eastAsia="黑体" w:cs="黑体"/>
                <w:color w:val="auto"/>
                <w:kern w:val="0"/>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门卫（赤港办公楼）</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6</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全天24小时分</w:t>
            </w:r>
            <w:r>
              <w:rPr>
                <w:rFonts w:hint="eastAsia" w:ascii="黑体" w:hAnsi="黑体" w:eastAsia="黑体" w:cs="黑体"/>
                <w:color w:val="auto"/>
                <w:lang w:val="en-US" w:eastAsia="zh-CN"/>
              </w:rPr>
              <w:t>三</w:t>
            </w:r>
            <w:r>
              <w:rPr>
                <w:rFonts w:hint="eastAsia" w:ascii="黑体" w:hAnsi="黑体" w:eastAsia="黑体" w:cs="黑体"/>
                <w:color w:val="auto"/>
              </w:rPr>
              <w:t>班，每班</w:t>
            </w:r>
            <w:r>
              <w:rPr>
                <w:rFonts w:hint="eastAsia" w:ascii="黑体" w:hAnsi="黑体" w:eastAsia="黑体" w:cs="黑体"/>
                <w:color w:val="auto"/>
                <w:lang w:val="en-US" w:eastAsia="zh-CN"/>
              </w:rPr>
              <w:t>8</w:t>
            </w:r>
            <w:r>
              <w:rPr>
                <w:rFonts w:hint="eastAsia" w:ascii="黑体" w:hAnsi="黑体" w:eastAsia="黑体" w:cs="黑体"/>
                <w:color w:val="auto"/>
              </w:rPr>
              <w:t>小时制轮值，每班</w:t>
            </w:r>
            <w:r>
              <w:rPr>
                <w:rFonts w:hint="eastAsia" w:ascii="黑体" w:hAnsi="黑体" w:eastAsia="黑体" w:cs="黑体"/>
                <w:color w:val="auto"/>
                <w:lang w:val="en-US" w:eastAsia="zh-CN"/>
              </w:rPr>
              <w:t>2</w:t>
            </w:r>
            <w:r>
              <w:rPr>
                <w:rFonts w:hint="eastAsia" w:ascii="黑体" w:hAnsi="黑体" w:eastAsia="黑体" w:cs="黑体"/>
                <w:color w:val="auto"/>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autoSpaceDE w:val="0"/>
              <w:autoSpaceDN w:val="0"/>
              <w:adjustRightInd w:val="0"/>
              <w:jc w:val="center"/>
              <w:rPr>
                <w:rFonts w:hint="eastAsia" w:ascii="黑体" w:hAnsi="黑体" w:eastAsia="黑体" w:cs="黑体"/>
                <w:color w:val="auto"/>
                <w:kern w:val="0"/>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lang w:eastAsia="zh-CN"/>
              </w:rPr>
              <w:t>停车场</w:t>
            </w:r>
            <w:r>
              <w:rPr>
                <w:rFonts w:hint="eastAsia" w:ascii="黑体" w:hAnsi="黑体" w:eastAsia="黑体" w:cs="黑体"/>
                <w:color w:val="auto"/>
                <w:szCs w:val="24"/>
              </w:rPr>
              <w:t>（赤港办公楼）</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工作日8时至19时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autoSpaceDE w:val="0"/>
              <w:autoSpaceDN w:val="0"/>
              <w:adjustRightInd w:val="0"/>
              <w:jc w:val="center"/>
              <w:rPr>
                <w:rFonts w:hint="eastAsia" w:ascii="黑体" w:hAnsi="黑体" w:eastAsia="黑体" w:cs="黑体"/>
                <w:color w:val="auto"/>
                <w:kern w:val="0"/>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门卫（河浦分局办公楼）</w:t>
            </w:r>
          </w:p>
        </w:tc>
        <w:tc>
          <w:tcPr>
            <w:tcW w:w="1239" w:type="dxa"/>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5</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kern w:val="2"/>
                <w:sz w:val="21"/>
                <w:szCs w:val="24"/>
                <w:lang w:val="en-US" w:eastAsia="zh-CN" w:bidi="ar-SA"/>
              </w:rPr>
            </w:pPr>
            <w:r>
              <w:rPr>
                <w:rFonts w:hint="eastAsia" w:ascii="黑体" w:hAnsi="黑体" w:eastAsia="黑体" w:cs="黑体"/>
                <w:color w:val="auto"/>
              </w:rPr>
              <w:t>全天24小时分</w:t>
            </w:r>
            <w:r>
              <w:rPr>
                <w:rFonts w:hint="eastAsia" w:ascii="黑体" w:hAnsi="黑体" w:eastAsia="黑体" w:cs="黑体"/>
                <w:color w:val="auto"/>
                <w:lang w:eastAsia="zh-CN"/>
              </w:rPr>
              <w:t>二</w:t>
            </w:r>
            <w:r>
              <w:rPr>
                <w:rFonts w:hint="eastAsia" w:ascii="黑体" w:hAnsi="黑体" w:eastAsia="黑体" w:cs="黑体"/>
                <w:color w:val="auto"/>
              </w:rPr>
              <w:t>班，每班</w:t>
            </w:r>
            <w:r>
              <w:rPr>
                <w:rFonts w:hint="eastAsia" w:ascii="黑体" w:hAnsi="黑体" w:eastAsia="黑体" w:cs="黑体"/>
                <w:color w:val="auto"/>
                <w:lang w:val="en-US" w:eastAsia="zh-CN"/>
              </w:rPr>
              <w:t>12</w:t>
            </w:r>
            <w:r>
              <w:rPr>
                <w:rFonts w:hint="eastAsia" w:ascii="黑体" w:hAnsi="黑体" w:eastAsia="黑体" w:cs="黑体"/>
                <w:color w:val="auto"/>
              </w:rPr>
              <w:t>小时制轮值</w:t>
            </w:r>
            <w:r>
              <w:rPr>
                <w:rFonts w:hint="eastAsia" w:ascii="黑体" w:hAnsi="黑体" w:eastAsia="黑体" w:cs="黑体"/>
                <w:color w:val="auto"/>
                <w:lang w:eastAsia="zh-CN"/>
              </w:rPr>
              <w:t>每班</w:t>
            </w:r>
            <w:r>
              <w:rPr>
                <w:rFonts w:hint="eastAsia" w:ascii="黑体" w:hAnsi="黑体" w:eastAsia="黑体" w:cs="黑体"/>
                <w:color w:val="auto"/>
              </w:rPr>
              <w:t>2人</w:t>
            </w:r>
            <w:r>
              <w:rPr>
                <w:rFonts w:hint="eastAsia" w:ascii="黑体" w:hAnsi="黑体" w:eastAsia="黑体" w:cs="黑体"/>
                <w:color w:val="auto"/>
                <w:lang w:eastAsia="zh-CN"/>
              </w:rPr>
              <w:t>，</w:t>
            </w:r>
            <w:r>
              <w:rPr>
                <w:rFonts w:hint="eastAsia" w:ascii="黑体" w:hAnsi="黑体" w:eastAsia="黑体" w:cs="黑体"/>
                <w:color w:val="auto"/>
                <w:lang w:val="en-US" w:eastAsia="zh-CN"/>
              </w:rPr>
              <w:t>1人替休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val="en-US" w:eastAsia="zh-CN"/>
              </w:rPr>
            </w:pPr>
          </w:p>
        </w:tc>
        <w:tc>
          <w:tcPr>
            <w:tcW w:w="1480" w:type="dxa"/>
            <w:vMerge w:val="continue"/>
            <w:noWrap w:val="0"/>
            <w:vAlign w:val="center"/>
          </w:tcPr>
          <w:p>
            <w:pPr>
              <w:widowControl w:val="0"/>
              <w:autoSpaceDE w:val="0"/>
              <w:autoSpaceDN w:val="0"/>
              <w:adjustRightInd w:val="0"/>
              <w:jc w:val="center"/>
              <w:rPr>
                <w:rFonts w:hint="eastAsia" w:ascii="黑体" w:hAnsi="黑体" w:eastAsia="黑体" w:cs="黑体"/>
                <w:color w:val="auto"/>
                <w:kern w:val="0"/>
              </w:rPr>
            </w:pPr>
          </w:p>
        </w:tc>
        <w:tc>
          <w:tcPr>
            <w:tcW w:w="2517" w:type="dxa"/>
            <w:noWrap w:val="0"/>
            <w:vAlign w:val="center"/>
          </w:tcPr>
          <w:p>
            <w:pPr>
              <w:widowControl w:val="0"/>
              <w:spacing w:line="0" w:lineRule="atLeast"/>
              <w:jc w:val="center"/>
              <w:rPr>
                <w:rFonts w:hint="eastAsia" w:ascii="黑体" w:hAnsi="黑体" w:eastAsia="黑体" w:cs="黑体"/>
                <w:color w:val="auto"/>
                <w:szCs w:val="24"/>
                <w:lang w:val="en-US" w:eastAsia="zh-CN"/>
              </w:rPr>
            </w:pPr>
            <w:r>
              <w:rPr>
                <w:rFonts w:hint="eastAsia" w:ascii="黑体" w:hAnsi="黑体" w:eastAsia="黑体" w:cs="黑体"/>
                <w:color w:val="auto"/>
                <w:szCs w:val="24"/>
                <w:lang w:eastAsia="zh-CN"/>
              </w:rPr>
              <w:t>机动替班（</w:t>
            </w:r>
            <w:r>
              <w:rPr>
                <w:rFonts w:hint="eastAsia" w:ascii="黑体" w:hAnsi="黑体" w:eastAsia="黑体" w:cs="黑体"/>
                <w:color w:val="auto"/>
                <w:szCs w:val="24"/>
                <w:lang w:val="en-US" w:eastAsia="zh-CN"/>
              </w:rPr>
              <w:t>3个办公楼）</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2</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szCs w:val="24"/>
                <w:lang w:eastAsia="zh-CN"/>
              </w:rPr>
              <w:t>机动替班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753" w:type="dxa"/>
            <w:vMerge w:val="restart"/>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5</w:t>
            </w:r>
          </w:p>
        </w:tc>
        <w:tc>
          <w:tcPr>
            <w:tcW w:w="1480" w:type="dxa"/>
            <w:vMerge w:val="restart"/>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环境卫生保洁</w:t>
            </w:r>
          </w:p>
          <w:p>
            <w:pPr>
              <w:widowControl w:val="0"/>
              <w:autoSpaceDE w:val="0"/>
              <w:autoSpaceDN w:val="0"/>
              <w:adjustRightInd w:val="0"/>
              <w:jc w:val="center"/>
              <w:rPr>
                <w:rFonts w:hint="eastAsia" w:ascii="黑体" w:hAnsi="黑体" w:eastAsia="黑体" w:cs="黑体"/>
                <w:color w:val="auto"/>
                <w:kern w:val="0"/>
                <w:sz w:val="28"/>
                <w:szCs w:val="24"/>
              </w:rPr>
            </w:pPr>
            <w:r>
              <w:rPr>
                <w:rFonts w:hint="eastAsia" w:ascii="黑体" w:hAnsi="黑体" w:eastAsia="黑体" w:cs="黑体"/>
                <w:color w:val="auto"/>
                <w:kern w:val="0"/>
              </w:rPr>
              <w:t>（</w:t>
            </w:r>
            <w:r>
              <w:rPr>
                <w:rFonts w:hint="eastAsia" w:ascii="黑体" w:hAnsi="黑体" w:eastAsia="黑体" w:cs="黑体"/>
                <w:color w:val="auto"/>
                <w:kern w:val="0"/>
                <w:lang w:val="en-US" w:eastAsia="zh-CN"/>
              </w:rPr>
              <w:t>8</w:t>
            </w:r>
            <w:r>
              <w:rPr>
                <w:rFonts w:hint="eastAsia" w:ascii="黑体" w:hAnsi="黑体" w:eastAsia="黑体" w:cs="黑体"/>
                <w:color w:val="auto"/>
                <w:kern w:val="0"/>
              </w:rPr>
              <w:t>人）</w:t>
            </w:r>
          </w:p>
        </w:tc>
        <w:tc>
          <w:tcPr>
            <w:tcW w:w="2517" w:type="dxa"/>
            <w:noWrap w:val="0"/>
            <w:vAlign w:val="center"/>
          </w:tcPr>
          <w:p>
            <w:pPr>
              <w:widowControl w:val="0"/>
              <w:spacing w:line="0" w:lineRule="atLeast"/>
              <w:jc w:val="center"/>
              <w:rPr>
                <w:rFonts w:hint="eastAsia" w:ascii="黑体" w:hAnsi="黑体" w:eastAsia="黑体" w:cs="黑体"/>
                <w:color w:val="auto"/>
                <w:szCs w:val="24"/>
                <w:lang w:eastAsia="zh-CN"/>
              </w:rPr>
            </w:pPr>
            <w:r>
              <w:rPr>
                <w:rFonts w:hint="eastAsia" w:ascii="黑体" w:hAnsi="黑体" w:eastAsia="黑体" w:cs="黑体"/>
                <w:color w:val="auto"/>
                <w:szCs w:val="24"/>
              </w:rPr>
              <w:t>区局办公楼</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4</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工作日8时至19时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spacing w:line="0" w:lineRule="atLeast"/>
              <w:jc w:val="center"/>
              <w:rPr>
                <w:rFonts w:hint="eastAsia" w:ascii="黑体" w:hAnsi="黑体" w:eastAsia="黑体" w:cs="黑体"/>
                <w:color w:val="auto"/>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赤港办公楼</w:t>
            </w:r>
          </w:p>
        </w:tc>
        <w:tc>
          <w:tcPr>
            <w:tcW w:w="1239"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2</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工作日8时至19时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spacing w:line="0" w:lineRule="atLeast"/>
              <w:jc w:val="center"/>
              <w:rPr>
                <w:rFonts w:hint="eastAsia" w:ascii="黑体" w:hAnsi="黑体" w:eastAsia="黑体" w:cs="黑体"/>
                <w:color w:val="auto"/>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河浦分局办公楼</w:t>
            </w:r>
          </w:p>
        </w:tc>
        <w:tc>
          <w:tcPr>
            <w:tcW w:w="1239"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2</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工作日8时至19时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53" w:type="dxa"/>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6</w:t>
            </w:r>
          </w:p>
        </w:tc>
        <w:tc>
          <w:tcPr>
            <w:tcW w:w="1480"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绿化服务   （</w:t>
            </w:r>
            <w:r>
              <w:rPr>
                <w:rFonts w:hint="eastAsia" w:ascii="黑体" w:hAnsi="黑体" w:eastAsia="黑体" w:cs="黑体"/>
                <w:color w:val="auto"/>
                <w:szCs w:val="24"/>
                <w:lang w:val="en-US" w:eastAsia="zh-CN"/>
              </w:rPr>
              <w:t>2</w:t>
            </w:r>
            <w:r>
              <w:rPr>
                <w:rFonts w:hint="eastAsia" w:ascii="黑体" w:hAnsi="黑体" w:eastAsia="黑体" w:cs="黑体"/>
                <w:color w:val="auto"/>
                <w:szCs w:val="24"/>
              </w:rPr>
              <w:t>人）</w:t>
            </w: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区局、赤港办公楼、河浦办公楼</w:t>
            </w:r>
          </w:p>
        </w:tc>
        <w:tc>
          <w:tcPr>
            <w:tcW w:w="1239" w:type="dxa"/>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2</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53" w:type="dxa"/>
            <w:vMerge w:val="restart"/>
            <w:tcBorders>
              <w:left w:val="single" w:color="auto" w:sz="12" w:space="0"/>
            </w:tcBorders>
            <w:noWrap w:val="0"/>
            <w:vAlign w:val="center"/>
          </w:tcPr>
          <w:p>
            <w:pPr>
              <w:widowControl w:val="0"/>
              <w:spacing w:line="360" w:lineRule="auto"/>
              <w:jc w:val="center"/>
              <w:rPr>
                <w:rFonts w:hint="eastAsia" w:ascii="黑体" w:hAnsi="黑体" w:eastAsia="黑体" w:cs="黑体"/>
                <w:color w:val="auto"/>
                <w:lang w:eastAsia="zh-CN"/>
              </w:rPr>
            </w:pPr>
            <w:r>
              <w:rPr>
                <w:rFonts w:hint="eastAsia" w:ascii="黑体" w:hAnsi="黑体" w:eastAsia="黑体" w:cs="黑体"/>
                <w:color w:val="auto"/>
                <w:lang w:val="en-US" w:eastAsia="zh-CN"/>
              </w:rPr>
              <w:t>7</w:t>
            </w:r>
          </w:p>
        </w:tc>
        <w:tc>
          <w:tcPr>
            <w:tcW w:w="1480" w:type="dxa"/>
            <w:vMerge w:val="restart"/>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水电机电维护</w:t>
            </w:r>
          </w:p>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w:t>
            </w:r>
            <w:r>
              <w:rPr>
                <w:rFonts w:hint="eastAsia" w:ascii="黑体" w:hAnsi="黑体" w:eastAsia="黑体" w:cs="黑体"/>
                <w:color w:val="auto"/>
                <w:szCs w:val="24"/>
                <w:lang w:val="en-US" w:eastAsia="zh-CN"/>
              </w:rPr>
              <w:t>2</w:t>
            </w:r>
            <w:r>
              <w:rPr>
                <w:rFonts w:hint="eastAsia" w:ascii="黑体" w:hAnsi="黑体" w:eastAsia="黑体" w:cs="黑体"/>
                <w:color w:val="auto"/>
                <w:szCs w:val="24"/>
              </w:rPr>
              <w:t>人）</w:t>
            </w: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区局办公楼</w:t>
            </w:r>
          </w:p>
        </w:tc>
        <w:tc>
          <w:tcPr>
            <w:tcW w:w="1239" w:type="dxa"/>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753" w:type="dxa"/>
            <w:vMerge w:val="continue"/>
            <w:tcBorders>
              <w:left w:val="single" w:color="auto" w:sz="12" w:space="0"/>
            </w:tcBorders>
            <w:noWrap w:val="0"/>
            <w:vAlign w:val="center"/>
          </w:tcPr>
          <w:p>
            <w:pPr>
              <w:widowControl w:val="0"/>
              <w:spacing w:line="360" w:lineRule="auto"/>
              <w:jc w:val="center"/>
              <w:rPr>
                <w:rFonts w:hint="eastAsia" w:ascii="黑体" w:hAnsi="黑体" w:eastAsia="黑体" w:cs="黑体"/>
                <w:color w:val="auto"/>
              </w:rPr>
            </w:pPr>
          </w:p>
        </w:tc>
        <w:tc>
          <w:tcPr>
            <w:tcW w:w="1480" w:type="dxa"/>
            <w:vMerge w:val="continue"/>
            <w:noWrap w:val="0"/>
            <w:vAlign w:val="center"/>
          </w:tcPr>
          <w:p>
            <w:pPr>
              <w:widowControl w:val="0"/>
              <w:spacing w:line="0" w:lineRule="atLeast"/>
              <w:jc w:val="center"/>
              <w:rPr>
                <w:rFonts w:hint="eastAsia" w:ascii="黑体" w:hAnsi="黑体" w:eastAsia="黑体" w:cs="黑体"/>
                <w:color w:val="auto"/>
                <w:szCs w:val="24"/>
              </w:rPr>
            </w:pPr>
          </w:p>
        </w:tc>
        <w:tc>
          <w:tcPr>
            <w:tcW w:w="2517" w:type="dxa"/>
            <w:noWrap w:val="0"/>
            <w:vAlign w:val="center"/>
          </w:tcPr>
          <w:p>
            <w:pPr>
              <w:widowControl w:val="0"/>
              <w:spacing w:line="0" w:lineRule="atLeast"/>
              <w:jc w:val="center"/>
              <w:rPr>
                <w:rFonts w:hint="eastAsia" w:ascii="黑体" w:hAnsi="黑体" w:eastAsia="黑体" w:cs="黑体"/>
                <w:color w:val="auto"/>
                <w:szCs w:val="24"/>
              </w:rPr>
            </w:pPr>
            <w:r>
              <w:rPr>
                <w:rFonts w:hint="eastAsia" w:ascii="黑体" w:hAnsi="黑体" w:eastAsia="黑体" w:cs="黑体"/>
                <w:color w:val="auto"/>
                <w:szCs w:val="24"/>
              </w:rPr>
              <w:t>赤港办公楼</w:t>
            </w:r>
          </w:p>
        </w:tc>
        <w:tc>
          <w:tcPr>
            <w:tcW w:w="1239" w:type="dxa"/>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1</w:t>
            </w:r>
          </w:p>
        </w:tc>
        <w:tc>
          <w:tcPr>
            <w:tcW w:w="3254" w:type="dxa"/>
            <w:tcBorders>
              <w:right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正常工作时间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3" w:type="dxa"/>
            <w:tcBorders>
              <w:left w:val="single" w:color="auto" w:sz="12" w:space="0"/>
              <w:bottom w:val="single" w:color="auto" w:sz="12" w:space="0"/>
            </w:tcBorders>
            <w:noWrap w:val="0"/>
            <w:vAlign w:val="center"/>
          </w:tcPr>
          <w:p>
            <w:pPr>
              <w:widowControl w:val="0"/>
              <w:spacing w:line="360" w:lineRule="auto"/>
              <w:jc w:val="center"/>
              <w:rPr>
                <w:rFonts w:hint="eastAsia" w:ascii="黑体" w:hAnsi="黑体" w:eastAsia="黑体" w:cs="黑体"/>
                <w:color w:val="auto"/>
                <w:lang w:eastAsia="zh-CN"/>
              </w:rPr>
            </w:pPr>
          </w:p>
        </w:tc>
        <w:tc>
          <w:tcPr>
            <w:tcW w:w="1480" w:type="dxa"/>
            <w:tcBorders>
              <w:bottom w:val="single" w:color="auto" w:sz="12" w:space="0"/>
            </w:tcBorders>
            <w:noWrap w:val="0"/>
            <w:vAlign w:val="center"/>
          </w:tcPr>
          <w:p>
            <w:pPr>
              <w:widowControl w:val="0"/>
              <w:spacing w:line="360" w:lineRule="auto"/>
              <w:jc w:val="center"/>
              <w:rPr>
                <w:rFonts w:hint="eastAsia" w:ascii="黑体" w:hAnsi="黑体" w:eastAsia="黑体" w:cs="黑体"/>
                <w:color w:val="auto"/>
              </w:rPr>
            </w:pPr>
            <w:r>
              <w:rPr>
                <w:rFonts w:hint="eastAsia" w:ascii="黑体" w:hAnsi="黑体" w:eastAsia="黑体" w:cs="黑体"/>
                <w:color w:val="auto"/>
              </w:rPr>
              <w:t>合计</w:t>
            </w:r>
          </w:p>
        </w:tc>
        <w:tc>
          <w:tcPr>
            <w:tcW w:w="2517" w:type="dxa"/>
            <w:tcBorders>
              <w:bottom w:val="single" w:color="auto" w:sz="12" w:space="0"/>
            </w:tcBorders>
            <w:noWrap w:val="0"/>
            <w:vAlign w:val="center"/>
          </w:tcPr>
          <w:p>
            <w:pPr>
              <w:widowControl w:val="0"/>
              <w:spacing w:line="400" w:lineRule="exact"/>
              <w:jc w:val="center"/>
              <w:rPr>
                <w:rFonts w:hint="eastAsia" w:ascii="黑体" w:hAnsi="黑体" w:eastAsia="黑体" w:cs="黑体"/>
                <w:color w:val="auto"/>
              </w:rPr>
            </w:pPr>
          </w:p>
        </w:tc>
        <w:tc>
          <w:tcPr>
            <w:tcW w:w="1239" w:type="dxa"/>
            <w:tcBorders>
              <w:bottom w:val="single" w:color="auto" w:sz="12" w:space="0"/>
            </w:tcBorders>
            <w:noWrap w:val="0"/>
            <w:vAlign w:val="center"/>
          </w:tcPr>
          <w:p>
            <w:pPr>
              <w:widowControl w:val="0"/>
              <w:spacing w:line="360" w:lineRule="auto"/>
              <w:jc w:val="center"/>
              <w:rPr>
                <w:rFonts w:hint="eastAsia" w:ascii="黑体" w:hAnsi="黑体" w:eastAsia="黑体" w:cs="黑体"/>
                <w:color w:val="auto"/>
                <w:lang w:val="en-US" w:eastAsia="zh-CN"/>
              </w:rPr>
            </w:pPr>
            <w:r>
              <w:rPr>
                <w:rFonts w:hint="eastAsia" w:ascii="黑体" w:hAnsi="黑体" w:eastAsia="黑体" w:cs="黑体"/>
                <w:color w:val="auto"/>
                <w:lang w:val="en-US" w:eastAsia="zh-CN"/>
              </w:rPr>
              <w:t>36</w:t>
            </w:r>
          </w:p>
        </w:tc>
        <w:tc>
          <w:tcPr>
            <w:tcW w:w="3254" w:type="dxa"/>
            <w:tcBorders>
              <w:bottom w:val="single" w:color="auto" w:sz="12" w:space="0"/>
              <w:right w:val="single" w:color="auto" w:sz="12" w:space="0"/>
            </w:tcBorders>
            <w:noWrap w:val="0"/>
            <w:vAlign w:val="center"/>
          </w:tcPr>
          <w:p>
            <w:pPr>
              <w:widowControl w:val="0"/>
              <w:spacing w:line="360" w:lineRule="auto"/>
              <w:jc w:val="center"/>
              <w:rPr>
                <w:rFonts w:hint="eastAsia" w:ascii="黑体" w:hAnsi="黑体" w:eastAsia="黑体" w:cs="黑体"/>
                <w:color w:val="auto"/>
              </w:rPr>
            </w:pPr>
          </w:p>
        </w:tc>
      </w:tr>
    </w:tbl>
    <w:p>
      <w:pPr>
        <w:adjustRightInd w:val="0"/>
        <w:snapToGrid w:val="0"/>
        <w:spacing w:line="300" w:lineRule="auto"/>
        <w:jc w:val="both"/>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★供应商必须承诺，如果中标，将根据采购人的需求，按上述要求进行响应，并承担用工责任（报价时提交承诺函）</w:t>
      </w:r>
    </w:p>
    <w:p>
      <w:pPr>
        <w:adjustRightInd w:val="0"/>
        <w:snapToGrid w:val="0"/>
        <w:spacing w:line="300" w:lineRule="auto"/>
        <w:jc w:val="both"/>
        <w:rPr>
          <w:rFonts w:hint="eastAsia" w:ascii="黑体" w:hAnsi="黑体" w:eastAsia="黑体" w:cs="黑体"/>
          <w:color w:val="auto"/>
          <w:sz w:val="24"/>
          <w:szCs w:val="24"/>
          <w:lang w:val="en-US" w:eastAsia="zh-CN"/>
        </w:rPr>
      </w:pPr>
    </w:p>
    <w:p>
      <w:pPr>
        <w:adjustRightInd w:val="0"/>
        <w:snapToGrid w:val="0"/>
        <w:spacing w:line="300" w:lineRule="auto"/>
        <w:jc w:val="both"/>
        <w:rPr>
          <w:rFonts w:hint="eastAsia" w:ascii="黑体" w:hAnsi="黑体" w:eastAsia="黑体" w:cs="黑体"/>
          <w:b/>
          <w:bCs/>
          <w:color w:val="auto"/>
          <w:sz w:val="24"/>
          <w:szCs w:val="24"/>
        </w:rPr>
      </w:pPr>
      <w:r>
        <w:rPr>
          <w:rFonts w:hint="eastAsia" w:ascii="黑体" w:hAnsi="黑体" w:eastAsia="黑体" w:cs="黑体"/>
          <w:color w:val="auto"/>
          <w:sz w:val="24"/>
          <w:szCs w:val="24"/>
          <w:lang w:val="en-US" w:eastAsia="zh-CN"/>
        </w:rPr>
        <w:t>二</w:t>
      </w:r>
      <w:r>
        <w:rPr>
          <w:rFonts w:hint="eastAsia" w:ascii="黑体" w:hAnsi="黑体" w:eastAsia="黑体" w:cs="黑体"/>
          <w:b/>
          <w:bCs/>
          <w:color w:val="auto"/>
          <w:sz w:val="24"/>
          <w:szCs w:val="24"/>
        </w:rPr>
        <w:t>、项目要求</w:t>
      </w:r>
    </w:p>
    <w:p>
      <w:pPr>
        <w:widowControl w:val="0"/>
        <w:spacing w:line="360" w:lineRule="auto"/>
        <w:jc w:val="both"/>
        <w:rPr>
          <w:rFonts w:hint="eastAsia" w:ascii="黑体" w:hAnsi="黑体" w:eastAsia="黑体" w:cs="黑体"/>
          <w:b/>
          <w:bCs/>
          <w:color w:val="auto"/>
          <w:sz w:val="24"/>
          <w:szCs w:val="24"/>
        </w:rPr>
      </w:pPr>
      <w:r>
        <w:rPr>
          <w:rFonts w:hint="eastAsia" w:ascii="黑体" w:hAnsi="黑体" w:eastAsia="黑体" w:cs="黑体"/>
          <w:b/>
          <w:bCs/>
          <w:color w:val="auto"/>
          <w:sz w:val="24"/>
          <w:szCs w:val="24"/>
          <w:lang w:val="en-US" w:eastAsia="zh-CN"/>
        </w:rPr>
        <w:t>1、</w:t>
      </w:r>
      <w:r>
        <w:rPr>
          <w:rFonts w:hint="eastAsia" w:ascii="黑体" w:hAnsi="黑体" w:eastAsia="黑体" w:cs="黑体"/>
          <w:b/>
          <w:bCs/>
          <w:color w:val="auto"/>
          <w:sz w:val="24"/>
          <w:szCs w:val="24"/>
        </w:rPr>
        <w:t>采购人办公大楼概况</w:t>
      </w:r>
    </w:p>
    <w:p>
      <w:pPr>
        <w:widowControl w:val="0"/>
        <w:spacing w:line="360" w:lineRule="auto"/>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区局办公楼位于府前路中段73号，建筑面积约7621.89㎡平方米，于2001年4月完工并投入使用，大楼共6层（包括首层车库）。</w:t>
      </w:r>
    </w:p>
    <w:p>
      <w:pPr>
        <w:widowControl w:val="0"/>
        <w:spacing w:line="360" w:lineRule="auto"/>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赤港办公区位于府前路中段46号，建筑面积约5400㎡平方米，于1994年7月完工，1997年投入使用，大楼共9层（含天面）。</w:t>
      </w:r>
    </w:p>
    <w:p>
      <w:pPr>
        <w:widowControl w:val="0"/>
        <w:spacing w:line="360" w:lineRule="auto"/>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河浦分局位于珠河路与创明路交叉路口往南约50米，建筑面积约2180㎡平方米，于1999年3月完工，1999年投入使用，大楼共3层（含天面）。</w:t>
      </w:r>
    </w:p>
    <w:p>
      <w:pPr>
        <w:widowControl w:val="0"/>
        <w:spacing w:line="360" w:lineRule="auto"/>
        <w:jc w:val="both"/>
        <w:rPr>
          <w:rFonts w:hint="eastAsia" w:ascii="黑体" w:hAnsi="黑体" w:eastAsia="黑体" w:cs="黑体"/>
          <w:b/>
          <w:bCs/>
          <w:color w:val="auto"/>
          <w:sz w:val="24"/>
          <w:szCs w:val="24"/>
        </w:rPr>
      </w:pPr>
      <w:r>
        <w:rPr>
          <w:rFonts w:hint="eastAsia" w:ascii="黑体" w:hAnsi="黑体" w:eastAsia="黑体" w:cs="黑体"/>
          <w:b/>
          <w:bCs/>
          <w:color w:val="auto"/>
          <w:sz w:val="24"/>
          <w:szCs w:val="24"/>
          <w:lang w:val="en-US" w:eastAsia="zh-CN"/>
        </w:rPr>
        <w:t>二、</w:t>
      </w:r>
      <w:r>
        <w:rPr>
          <w:rFonts w:hint="eastAsia" w:ascii="黑体" w:hAnsi="黑体" w:eastAsia="黑体" w:cs="黑体"/>
          <w:b/>
          <w:bCs/>
          <w:color w:val="auto"/>
          <w:sz w:val="24"/>
          <w:szCs w:val="24"/>
        </w:rPr>
        <w:t>物业管理服务项目概况</w:t>
      </w:r>
    </w:p>
    <w:p>
      <w:pPr>
        <w:widowControl w:val="0"/>
        <w:spacing w:line="440" w:lineRule="exact"/>
        <w:ind w:firstLine="480" w:firstLineChars="200"/>
        <w:jc w:val="both"/>
        <w:rPr>
          <w:rFonts w:hint="eastAsia" w:ascii="黑体" w:hAnsi="黑体" w:eastAsia="黑体" w:cs="黑体"/>
          <w:color w:val="auto"/>
          <w:lang w:val="en-US" w:eastAsia="zh-CN"/>
        </w:rPr>
      </w:pPr>
      <w:r>
        <w:rPr>
          <w:rFonts w:hint="eastAsia" w:ascii="黑体" w:hAnsi="黑体" w:eastAsia="黑体" w:cs="黑体"/>
          <w:color w:val="auto"/>
          <w:sz w:val="24"/>
          <w:szCs w:val="24"/>
        </w:rPr>
        <w:t>物业管理服务项目分别为：</w:t>
      </w:r>
      <w:r>
        <w:rPr>
          <w:rFonts w:hint="eastAsia" w:ascii="黑体" w:hAnsi="黑体" w:eastAsia="黑体" w:cs="黑体"/>
          <w:color w:val="auto"/>
          <w:sz w:val="24"/>
          <w:szCs w:val="24"/>
          <w:lang w:val="en-US" w:eastAsia="zh-CN"/>
        </w:rPr>
        <w:t>1</w:t>
      </w:r>
      <w:r>
        <w:rPr>
          <w:rFonts w:hint="eastAsia" w:ascii="黑体" w:hAnsi="黑体" w:eastAsia="黑体" w:cs="黑体"/>
          <w:color w:val="auto"/>
          <w:sz w:val="24"/>
          <w:szCs w:val="24"/>
        </w:rPr>
        <w:t>、安全秩序维护；</w:t>
      </w:r>
      <w:r>
        <w:rPr>
          <w:rFonts w:hint="eastAsia" w:ascii="黑体" w:hAnsi="黑体" w:eastAsia="黑体" w:cs="黑体"/>
          <w:color w:val="auto"/>
          <w:sz w:val="24"/>
          <w:szCs w:val="24"/>
          <w:lang w:val="en-US" w:eastAsia="zh-CN"/>
        </w:rPr>
        <w:t>2</w:t>
      </w:r>
      <w:r>
        <w:rPr>
          <w:rFonts w:hint="eastAsia" w:ascii="黑体" w:hAnsi="黑体" w:eastAsia="黑体" w:cs="黑体"/>
          <w:color w:val="auto"/>
          <w:sz w:val="24"/>
          <w:szCs w:val="24"/>
        </w:rPr>
        <w:t>、环境卫生</w:t>
      </w:r>
      <w:r>
        <w:rPr>
          <w:rFonts w:hint="eastAsia" w:ascii="黑体" w:hAnsi="黑体" w:eastAsia="黑体" w:cs="黑体"/>
          <w:color w:val="auto"/>
          <w:sz w:val="24"/>
          <w:szCs w:val="24"/>
          <w:lang w:eastAsia="zh-CN"/>
        </w:rPr>
        <w:t>管理</w:t>
      </w:r>
      <w:r>
        <w:rPr>
          <w:rFonts w:hint="eastAsia" w:ascii="黑体" w:hAnsi="黑体" w:eastAsia="黑体" w:cs="黑体"/>
          <w:color w:val="auto"/>
          <w:sz w:val="24"/>
          <w:szCs w:val="24"/>
        </w:rPr>
        <w:t>；3、水电机电维护；</w:t>
      </w:r>
      <w:r>
        <w:rPr>
          <w:rFonts w:hint="eastAsia" w:ascii="黑体" w:hAnsi="黑体" w:eastAsia="黑体" w:cs="黑体"/>
          <w:color w:val="auto"/>
          <w:sz w:val="24"/>
          <w:szCs w:val="24"/>
          <w:lang w:val="en-US" w:eastAsia="zh-CN"/>
        </w:rPr>
        <w:t>4、会议服务；5</w:t>
      </w:r>
      <w:r>
        <w:rPr>
          <w:rFonts w:hint="eastAsia" w:ascii="黑体" w:hAnsi="黑体" w:eastAsia="黑体" w:cs="黑体"/>
          <w:color w:val="auto"/>
          <w:sz w:val="24"/>
          <w:szCs w:val="24"/>
        </w:rPr>
        <w:t>、绿化服务；</w:t>
      </w:r>
      <w:r>
        <w:rPr>
          <w:rFonts w:hint="eastAsia" w:ascii="黑体" w:hAnsi="黑体" w:eastAsia="黑体" w:cs="黑体"/>
          <w:color w:val="auto"/>
          <w:sz w:val="24"/>
          <w:szCs w:val="24"/>
          <w:lang w:val="en-US" w:eastAsia="zh-CN"/>
        </w:rPr>
        <w:t>6</w:t>
      </w:r>
      <w:r>
        <w:rPr>
          <w:rFonts w:hint="eastAsia" w:ascii="黑体" w:hAnsi="黑体" w:eastAsia="黑体" w:cs="黑体"/>
          <w:color w:val="auto"/>
          <w:sz w:val="24"/>
          <w:szCs w:val="24"/>
        </w:rPr>
        <w:t>、</w:t>
      </w:r>
      <w:r>
        <w:rPr>
          <w:rFonts w:hint="eastAsia" w:ascii="黑体" w:hAnsi="黑体" w:eastAsia="黑体" w:cs="黑体"/>
          <w:color w:val="auto"/>
          <w:sz w:val="24"/>
          <w:szCs w:val="24"/>
          <w:lang w:eastAsia="zh-CN"/>
        </w:rPr>
        <w:t>爱国卫生服务；</w:t>
      </w:r>
      <w:r>
        <w:rPr>
          <w:rFonts w:hint="eastAsia" w:ascii="黑体" w:hAnsi="黑体" w:eastAsia="黑体" w:cs="黑体"/>
          <w:color w:val="auto"/>
          <w:sz w:val="24"/>
          <w:szCs w:val="24"/>
          <w:lang w:val="en-US" w:eastAsia="zh-CN"/>
        </w:rPr>
        <w:t>7、</w:t>
      </w:r>
      <w:r>
        <w:rPr>
          <w:rFonts w:hint="eastAsia" w:ascii="黑体" w:hAnsi="黑体" w:eastAsia="黑体" w:cs="黑体"/>
          <w:color w:val="auto"/>
          <w:sz w:val="24"/>
          <w:szCs w:val="24"/>
        </w:rPr>
        <w:t>电梯维护保养及年审检测服务；</w:t>
      </w:r>
      <w:r>
        <w:rPr>
          <w:rFonts w:hint="eastAsia" w:ascii="黑体" w:hAnsi="黑体" w:eastAsia="黑体" w:cs="黑体"/>
          <w:color w:val="auto"/>
          <w:sz w:val="24"/>
          <w:szCs w:val="24"/>
          <w:lang w:val="en-US" w:eastAsia="zh-CN"/>
        </w:rPr>
        <w:t>8、</w:t>
      </w:r>
      <w:r>
        <w:rPr>
          <w:rFonts w:hint="eastAsia" w:ascii="黑体" w:hAnsi="黑体" w:eastAsia="黑体" w:cs="黑体"/>
          <w:color w:val="auto"/>
          <w:sz w:val="24"/>
          <w:szCs w:val="24"/>
        </w:rPr>
        <w:t>其他物业</w:t>
      </w:r>
      <w:r>
        <w:rPr>
          <w:rFonts w:hint="eastAsia" w:ascii="黑体" w:hAnsi="黑体" w:eastAsia="黑体" w:cs="黑体"/>
          <w:color w:val="auto"/>
          <w:sz w:val="24"/>
          <w:szCs w:val="24"/>
          <w:lang w:val="en-US" w:eastAsia="zh-CN"/>
        </w:rPr>
        <w:t>专项服务。</w:t>
      </w:r>
    </w:p>
    <w:p>
      <w:pPr>
        <w:widowControl w:val="0"/>
        <w:spacing w:line="360" w:lineRule="auto"/>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采购人负责免费提供物业管理服务公司派驻值班人员的办公场所和日常办公、保洁</w:t>
      </w:r>
      <w:r>
        <w:rPr>
          <w:rFonts w:hint="eastAsia" w:ascii="黑体" w:hAnsi="黑体" w:eastAsia="黑体" w:cs="黑体"/>
          <w:color w:val="auto"/>
          <w:sz w:val="24"/>
          <w:szCs w:val="24"/>
          <w:lang w:eastAsia="zh-CN"/>
        </w:rPr>
        <w:t>、</w:t>
      </w:r>
      <w:r>
        <w:rPr>
          <w:rFonts w:hint="eastAsia" w:ascii="黑体" w:hAnsi="黑体" w:eastAsia="黑体" w:cs="黑体"/>
          <w:color w:val="auto"/>
          <w:sz w:val="24"/>
          <w:szCs w:val="24"/>
          <w:lang w:val="en-US" w:eastAsia="zh-CN"/>
        </w:rPr>
        <w:t>设备维护</w:t>
      </w:r>
      <w:r>
        <w:rPr>
          <w:rFonts w:hint="eastAsia" w:ascii="黑体" w:hAnsi="黑体" w:eastAsia="黑体" w:cs="黑体"/>
          <w:color w:val="auto"/>
          <w:sz w:val="24"/>
          <w:szCs w:val="24"/>
        </w:rPr>
        <w:t>等服务产生的易耗品及必需品由采购人负责提供，中标人在每个月统计易耗品情况下，向采购人领取。</w:t>
      </w:r>
    </w:p>
    <w:p>
      <w:pPr>
        <w:widowControl w:val="0"/>
        <w:spacing w:line="360" w:lineRule="auto"/>
        <w:ind w:firstLine="480" w:firstLineChars="200"/>
        <w:jc w:val="both"/>
        <w:rPr>
          <w:rFonts w:hint="eastAsia" w:ascii="黑体" w:hAnsi="黑体" w:eastAsia="黑体" w:cs="黑体"/>
        </w:rPr>
      </w:pPr>
      <w:r>
        <w:rPr>
          <w:rFonts w:hint="eastAsia" w:ascii="黑体" w:hAnsi="黑体" w:eastAsia="黑体" w:cs="黑体"/>
          <w:color w:val="auto"/>
          <w:sz w:val="24"/>
          <w:szCs w:val="24"/>
          <w:lang w:eastAsia="zh-CN"/>
        </w:rPr>
        <w:t>服务项目</w:t>
      </w:r>
      <w:r>
        <w:rPr>
          <w:rFonts w:hint="eastAsia" w:ascii="黑体" w:hAnsi="黑体" w:eastAsia="黑体" w:cs="黑体"/>
          <w:color w:val="auto"/>
          <w:sz w:val="24"/>
          <w:szCs w:val="24"/>
        </w:rPr>
        <w:t>特殊分项，如中标单位无该项资质，即由中标单位委托有资质的专业单位实施。</w:t>
      </w:r>
    </w:p>
    <w:p>
      <w:pPr>
        <w:numPr>
          <w:ilvl w:val="0"/>
          <w:numId w:val="0"/>
        </w:numPr>
        <w:spacing w:line="360" w:lineRule="auto"/>
        <w:ind w:firstLine="482" w:firstLineChars="200"/>
        <w:rPr>
          <w:rFonts w:hint="eastAsia" w:ascii="黑体" w:hAnsi="黑体" w:eastAsia="黑体" w:cs="黑体"/>
          <w:color w:val="auto"/>
          <w:sz w:val="24"/>
          <w:szCs w:val="24"/>
        </w:rPr>
      </w:pPr>
      <w:r>
        <w:rPr>
          <w:rFonts w:hint="eastAsia" w:ascii="黑体" w:hAnsi="黑体" w:eastAsia="黑体" w:cs="黑体"/>
          <w:b/>
          <w:bCs/>
          <w:color w:val="auto"/>
          <w:sz w:val="24"/>
          <w:szCs w:val="24"/>
          <w:lang w:val="en-US" w:eastAsia="zh-CN"/>
        </w:rPr>
        <w:t>服务期：</w:t>
      </w:r>
      <w:r>
        <w:rPr>
          <w:rFonts w:hint="eastAsia" w:ascii="黑体" w:hAnsi="黑体" w:eastAsia="黑体" w:cs="黑体"/>
          <w:color w:val="auto"/>
          <w:sz w:val="24"/>
          <w:szCs w:val="24"/>
          <w:lang w:eastAsia="zh-CN"/>
        </w:rPr>
        <w:t>自签订之日一年</w:t>
      </w:r>
      <w:r>
        <w:rPr>
          <w:rFonts w:hint="eastAsia" w:ascii="黑体" w:hAnsi="黑体" w:eastAsia="黑体" w:cs="黑体"/>
          <w:color w:val="auto"/>
          <w:sz w:val="24"/>
          <w:szCs w:val="24"/>
        </w:rPr>
        <w:t>。</w:t>
      </w:r>
    </w:p>
    <w:p>
      <w:pPr>
        <w:pStyle w:val="2"/>
        <w:rPr>
          <w:rFonts w:hint="eastAsia" w:ascii="黑体" w:hAnsi="黑体" w:eastAsia="黑体" w:cs="黑体"/>
          <w:b/>
          <w:bCs/>
          <w:color w:val="auto"/>
          <w:spacing w:val="0"/>
          <w:kern w:val="2"/>
          <w:sz w:val="24"/>
          <w:szCs w:val="24"/>
          <w:lang w:val="en-US" w:eastAsia="zh-CN" w:bidi="ar-SA"/>
        </w:rPr>
      </w:pPr>
      <w:r>
        <w:rPr>
          <w:rFonts w:hint="eastAsia" w:ascii="黑体" w:hAnsi="黑体" w:eastAsia="黑体" w:cs="黑体"/>
          <w:b/>
          <w:bCs/>
          <w:color w:val="auto"/>
          <w:spacing w:val="0"/>
          <w:kern w:val="2"/>
          <w:sz w:val="24"/>
          <w:szCs w:val="24"/>
          <w:lang w:val="en-US" w:eastAsia="zh-CN" w:bidi="ar-SA"/>
        </w:rPr>
        <w:t>三、服务要求</w:t>
      </w:r>
    </w:p>
    <w:p>
      <w:pPr>
        <w:widowControl w:val="0"/>
        <w:spacing w:line="440" w:lineRule="exact"/>
        <w:ind w:firstLine="482" w:firstLineChars="200"/>
        <w:jc w:val="both"/>
        <w:rPr>
          <w:rFonts w:hint="eastAsia" w:ascii="黑体" w:hAnsi="黑体" w:eastAsia="黑体" w:cs="黑体"/>
          <w:b/>
          <w:bCs/>
          <w:color w:val="auto"/>
          <w:sz w:val="24"/>
          <w:szCs w:val="24"/>
        </w:rPr>
      </w:pPr>
      <w:r>
        <w:rPr>
          <w:rFonts w:hint="eastAsia" w:ascii="黑体" w:hAnsi="黑体" w:eastAsia="黑体" w:cs="黑体"/>
          <w:b/>
          <w:bCs/>
          <w:color w:val="auto"/>
          <w:sz w:val="24"/>
          <w:szCs w:val="24"/>
        </w:rPr>
        <w:t>1、安全秩序维护管理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1.1服务内容</w:t>
      </w:r>
    </w:p>
    <w:p>
      <w:pPr>
        <w:widowControl w:val="0"/>
        <w:spacing w:line="440" w:lineRule="exact"/>
        <w:ind w:left="480"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国家税务总局汕头市濠江区税务局办公大楼、赤港办公区、河浦区税务分局：治安防范、停车场管理。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1.2服务标准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1）成立保安部，建立健全各项安全保卫制度。</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2）所有保安人员需经过严格训练，素质高，工作中应穿着制服、佩戴胸卡，佩带对讲机。</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3）全天候24小时维护大楼治安秩序，预防查处事故，做好安全防范保卫工作。</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4）保安监控中心24小时值班，及时调度保安力量，处理日常保安防范事务。</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5）对妨碍辖区治安、影响工作人员正常工作的行为，采取有效措施制止，情节严重的报局办公室或协助报公安机关处理。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6）接到台风等自然灾害的预报，及时检查防范措施的落实情况，组织应急抢险队伍，由局办公室统一指挥，做好抗灾抢险工作，力争将损失降至最低程度。</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7）积极贯彻“预防为主、防消结合”的消防工作方针，对保安人员进行经常性的消防常识培训。</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8）建立良好的交通秩序，保持大楼的安静、整洁，保证人行道和消防通道的畅通。</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9）认真做好出入车辆的登记制度，指挥车辆按规定路线行驶并停放在指定位置，避免交通堵塞，做好安全防范工作，保障人员及车辆的安全。</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10）监控中心实行24小时值班制度，建立健全设备档案，建立值班记录制度，每天检查系统是否正常，全体人员熟悉设备的操作，发现报警情况，迅速采取有效措施予以处置。</w:t>
      </w:r>
    </w:p>
    <w:p>
      <w:pPr>
        <w:widowControl w:val="0"/>
        <w:spacing w:line="440" w:lineRule="exact"/>
        <w:ind w:firstLine="482" w:firstLineChars="200"/>
        <w:jc w:val="both"/>
        <w:rPr>
          <w:rFonts w:hint="eastAsia" w:ascii="黑体" w:hAnsi="黑体" w:eastAsia="黑体" w:cs="黑体"/>
          <w:b/>
          <w:bCs/>
          <w:color w:val="auto"/>
          <w:sz w:val="24"/>
          <w:szCs w:val="24"/>
        </w:rPr>
      </w:pPr>
      <w:r>
        <w:rPr>
          <w:rFonts w:hint="eastAsia" w:ascii="黑体" w:hAnsi="黑体" w:eastAsia="黑体" w:cs="黑体"/>
          <w:b/>
          <w:bCs/>
          <w:color w:val="auto"/>
          <w:sz w:val="24"/>
          <w:szCs w:val="24"/>
        </w:rPr>
        <w:t>2、环境卫生管理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2.1服务内容</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国家税务总局汕头市濠江区税务局办公楼：各楼层公共区域、会议室、办税大厅、楼梯、电梯、通道、卫生间、停车场、地下车库及局部分领导办公室和接待室环境清洁而进行的日常保洁工作。</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2.2服务标准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1）大堂</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地面目视无烟头、纸屑等杂物，无污渍，公共设施表面无明显积尘，不锈钢表面光洁无污染，玻璃门无水迹、污渍。</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2）局主要领导房间</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A、室内地板每天湿拖1次，中午重点清理茶具及其它办公用品，沙发、茶几每天清理2次，做到室内地面、桌椅无积尘、污渍、杂物；</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B、室内卫生间每天清理2次，用湿毛巾和清洁剂擦洗脸盆及大理石台面，做到无异味、无积水、无杂物、无污渍；</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C、室内玻璃、不锈钢制品、卫生间玻璃镜每周清洁1次，不锈钢每周上光亮剂1次，保持玻璃表面无积尘、无污迹、无附着物、不锈钢目视表面无污渍、锈蚀；</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D、天花板、灯具每月清洁1次；</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E、每天清倒垃圾桶2次。</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3）公共卫生间</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地面无积水、无污渍；天花、墙面、灯具目视无积尘、无蜘蛛网；室内无异味，便池洁净无黄渍。</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4）楼层通道</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地面目视干净、无污渍、无水迹，玻璃墙面无明显积尘，无附着物，天花无蜘蛛网。</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5）玻璃、不锈钢</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玻璃面上无积尘，无污迹，无附着物，不锈钢目视表面无污渍。</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6）消防梯</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目视无烟头、纸屑、楼梯转角无堆积物，无杂物乱放，墙壁无明显积尘，无蜘蛛网，楼梯扶手不锈钢无污渍。</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7）室外地面、天台、地下车库</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室外地面无杂物，无积水，无明显污迹、泥沙，天台无积水、杂物，地下车库地面无油污，无乱堆杂物。</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8）电梯轿厢、不锈钢电梯门</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轿厢地面无纸屑，无污渍，轿厢壁干净无积尘，无污渍，电梯显示屏、面板无积尘。</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9）会议室、活动室</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地面无纸屑，无污渍，无杂物，墙面无积尘、蜘蛛网，活动室设备干净无积尘。</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2.3响应采购人需求专项服务（费用由采购人按实另行支付）</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（1）石材地面的晶面处理服务要求及标准：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指办公楼内所有大理石、花岗岩地面的晶面处理。按操作程序进行晶面处理工作，达到目视地面无灰尘、光亮，可映出物体轮廓。</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（2）地毯清洗工作服务要求及标准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 xml:space="preserve">指办公楼内所有地毯清洗工作。 保持地毯表面无污渍，清洁、干净。 </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（3）外墙、外窗保洁</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外墙、外窗保洁是指办公楼、建筑物高空的外墙和外窗卫生管理。</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（4）防疫消毒、除四害服务：</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指各类防疫消毒、四害孳生场所得到有效控制，根据四害密度情况应需开展防疫消杀。</w:t>
      </w:r>
    </w:p>
    <w:p>
      <w:pPr>
        <w:widowControl w:val="0"/>
        <w:spacing w:line="440" w:lineRule="exact"/>
        <w:ind w:firstLine="482" w:firstLineChars="200"/>
        <w:jc w:val="both"/>
        <w:rPr>
          <w:rFonts w:hint="eastAsia" w:ascii="黑体" w:hAnsi="黑体" w:eastAsia="黑体" w:cs="黑体"/>
          <w:b/>
          <w:bCs/>
          <w:color w:val="auto"/>
          <w:sz w:val="24"/>
          <w:szCs w:val="24"/>
        </w:rPr>
      </w:pPr>
      <w:r>
        <w:rPr>
          <w:rFonts w:hint="eastAsia" w:ascii="黑体" w:hAnsi="黑体" w:eastAsia="黑体" w:cs="黑体"/>
          <w:b/>
          <w:bCs/>
          <w:color w:val="auto"/>
          <w:sz w:val="24"/>
          <w:szCs w:val="24"/>
        </w:rPr>
        <w:t>3、</w:t>
      </w:r>
      <w:r>
        <w:rPr>
          <w:rFonts w:hint="eastAsia" w:ascii="黑体" w:hAnsi="黑体" w:eastAsia="黑体" w:cs="黑体"/>
          <w:b/>
          <w:bCs/>
          <w:color w:val="auto"/>
          <w:sz w:val="24"/>
          <w:szCs w:val="24"/>
          <w:lang w:val="hr-HR"/>
        </w:rPr>
        <w:t>水电</w:t>
      </w:r>
      <w:r>
        <w:rPr>
          <w:rFonts w:hint="eastAsia" w:ascii="黑体" w:hAnsi="黑体" w:eastAsia="黑体" w:cs="黑体"/>
          <w:b/>
          <w:bCs/>
          <w:color w:val="auto"/>
          <w:sz w:val="24"/>
          <w:szCs w:val="24"/>
        </w:rPr>
        <w:t>设备维护服务</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rPr>
        <w:t>1）中标人</w:t>
      </w:r>
      <w:r>
        <w:rPr>
          <w:rFonts w:hint="eastAsia" w:ascii="黑体" w:hAnsi="黑体" w:eastAsia="黑体" w:cs="黑体"/>
          <w:color w:val="auto"/>
          <w:sz w:val="24"/>
          <w:szCs w:val="24"/>
          <w:lang w:val="hr-HR"/>
        </w:rPr>
        <w:t>负责本项目办公楼的室内外水电管理，设备设施的保养、维护，日常易耗品（件）的更换。</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rPr>
        <w:t>2）中标人</w:t>
      </w:r>
      <w:r>
        <w:rPr>
          <w:rFonts w:hint="eastAsia" w:ascii="黑体" w:hAnsi="黑体" w:eastAsia="黑体" w:cs="黑体"/>
          <w:color w:val="auto"/>
          <w:sz w:val="24"/>
          <w:szCs w:val="24"/>
          <w:lang w:val="hr-HR"/>
        </w:rPr>
        <w:t>雇佣的水电工服饰装备均须统一。</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rPr>
        <w:t>3）中标人</w:t>
      </w:r>
      <w:r>
        <w:rPr>
          <w:rFonts w:hint="eastAsia" w:ascii="黑体" w:hAnsi="黑体" w:eastAsia="黑体" w:cs="黑体"/>
          <w:color w:val="auto"/>
          <w:sz w:val="24"/>
          <w:szCs w:val="24"/>
          <w:lang w:val="hr-HR"/>
        </w:rPr>
        <w:t>负责物业管理区域内供配电系统、照明系统、给排水系统的正常运行、管理和维护（不含专业维保合同确定的维护内容）。</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rPr>
        <w:t>4）中标人</w:t>
      </w:r>
      <w:r>
        <w:rPr>
          <w:rFonts w:hint="eastAsia" w:ascii="黑体" w:hAnsi="黑体" w:eastAsia="黑体" w:cs="黑体"/>
          <w:color w:val="auto"/>
          <w:sz w:val="24"/>
          <w:szCs w:val="24"/>
          <w:lang w:val="hr-HR"/>
        </w:rPr>
        <w:t>应每日巡检电房、各公共照明、夜间灯饰照明等水电设施，发现问题及时报告</w:t>
      </w:r>
      <w:r>
        <w:rPr>
          <w:rFonts w:hint="eastAsia" w:ascii="黑体" w:hAnsi="黑体" w:eastAsia="黑体" w:cs="黑体"/>
          <w:color w:val="auto"/>
          <w:sz w:val="24"/>
          <w:szCs w:val="24"/>
        </w:rPr>
        <w:t>采购人</w:t>
      </w:r>
      <w:r>
        <w:rPr>
          <w:rFonts w:hint="eastAsia" w:ascii="黑体" w:hAnsi="黑体" w:eastAsia="黑体" w:cs="黑体"/>
          <w:color w:val="auto"/>
          <w:sz w:val="24"/>
          <w:szCs w:val="24"/>
          <w:lang w:val="hr-HR"/>
        </w:rPr>
        <w:t>提供更换材料。</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rPr>
        <w:t>5）中标人</w:t>
      </w:r>
      <w:r>
        <w:rPr>
          <w:rFonts w:hint="eastAsia" w:ascii="黑体" w:hAnsi="黑体" w:eastAsia="黑体" w:cs="黑体"/>
          <w:color w:val="auto"/>
          <w:sz w:val="24"/>
          <w:szCs w:val="24"/>
          <w:lang w:val="hr-HR"/>
        </w:rPr>
        <w:t>每月应协助电梯公司检查保养工作并不定期搞好机房卫生清洁。</w:t>
      </w:r>
    </w:p>
    <w:p>
      <w:pPr>
        <w:widowControl w:val="0"/>
        <w:spacing w:line="440" w:lineRule="exact"/>
        <w:ind w:firstLine="480" w:firstLineChars="200"/>
        <w:jc w:val="both"/>
        <w:rPr>
          <w:rFonts w:hint="eastAsia" w:ascii="黑体" w:hAnsi="黑体" w:eastAsia="黑体" w:cs="黑体"/>
          <w:b/>
          <w:bCs/>
          <w:color w:val="auto"/>
          <w:sz w:val="24"/>
          <w:szCs w:val="24"/>
          <w:lang w:val="en-US" w:eastAsia="zh-CN"/>
        </w:rPr>
      </w:pPr>
      <w:r>
        <w:rPr>
          <w:rFonts w:hint="eastAsia" w:ascii="黑体" w:hAnsi="黑体" w:eastAsia="黑体" w:cs="黑体"/>
          <w:color w:val="auto"/>
          <w:sz w:val="24"/>
          <w:szCs w:val="24"/>
        </w:rPr>
        <w:t>6）采购人负责</w:t>
      </w:r>
      <w:r>
        <w:rPr>
          <w:rFonts w:hint="eastAsia" w:ascii="黑体" w:hAnsi="黑体" w:eastAsia="黑体" w:cs="黑体"/>
          <w:color w:val="auto"/>
          <w:sz w:val="24"/>
          <w:szCs w:val="24"/>
          <w:lang w:val="hr-HR"/>
        </w:rPr>
        <w:t>主要设备设施的日常运行</w:t>
      </w:r>
      <w:r>
        <w:rPr>
          <w:rFonts w:hint="eastAsia" w:ascii="黑体" w:hAnsi="黑体" w:eastAsia="黑体" w:cs="黑体"/>
          <w:color w:val="auto"/>
          <w:sz w:val="24"/>
          <w:szCs w:val="24"/>
        </w:rPr>
        <w:t>维修</w:t>
      </w:r>
      <w:r>
        <w:rPr>
          <w:rFonts w:hint="eastAsia" w:ascii="黑体" w:hAnsi="黑体" w:eastAsia="黑体" w:cs="黑体"/>
          <w:color w:val="auto"/>
          <w:sz w:val="24"/>
          <w:szCs w:val="24"/>
          <w:lang w:val="hr-HR"/>
        </w:rPr>
        <w:t>费用。</w:t>
      </w:r>
    </w:p>
    <w:p>
      <w:pPr>
        <w:widowControl w:val="0"/>
        <w:numPr>
          <w:ilvl w:val="0"/>
          <w:numId w:val="0"/>
        </w:numPr>
        <w:spacing w:line="440" w:lineRule="exact"/>
        <w:ind w:firstLine="482" w:firstLineChars="200"/>
        <w:jc w:val="both"/>
        <w:rPr>
          <w:rFonts w:hint="eastAsia" w:ascii="黑体" w:hAnsi="黑体" w:eastAsia="黑体" w:cs="黑体"/>
          <w:b/>
          <w:bCs/>
          <w:color w:val="auto"/>
          <w:sz w:val="24"/>
          <w:szCs w:val="24"/>
          <w:lang w:eastAsia="zh-CN"/>
        </w:rPr>
      </w:pPr>
      <w:r>
        <w:rPr>
          <w:rFonts w:hint="eastAsia" w:ascii="黑体" w:hAnsi="黑体" w:eastAsia="黑体" w:cs="黑体"/>
          <w:b/>
          <w:bCs/>
          <w:color w:val="auto"/>
          <w:sz w:val="24"/>
          <w:szCs w:val="24"/>
          <w:lang w:val="en-US" w:eastAsia="zh-CN"/>
        </w:rPr>
        <w:t>4</w:t>
      </w:r>
      <w:r>
        <w:rPr>
          <w:rFonts w:hint="eastAsia" w:ascii="黑体" w:hAnsi="黑体" w:eastAsia="黑体" w:cs="黑体"/>
          <w:b/>
          <w:bCs/>
          <w:color w:val="auto"/>
          <w:sz w:val="24"/>
          <w:szCs w:val="24"/>
        </w:rPr>
        <w:t>、会</w:t>
      </w:r>
      <w:r>
        <w:rPr>
          <w:rFonts w:hint="eastAsia" w:ascii="黑体" w:hAnsi="黑体" w:eastAsia="黑体" w:cs="黑体"/>
          <w:b/>
          <w:bCs/>
          <w:color w:val="auto"/>
          <w:sz w:val="24"/>
          <w:szCs w:val="24"/>
          <w:lang w:eastAsia="zh-CN"/>
        </w:rPr>
        <w:t>议服务</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在接到使用单位事先通知后，按照所召开会议的规格，在会议召开前安排人员对会议室（厅）进行布置，并将椅子摆放整齐，准备好设备、茶水；在会议过程中为参会人员添加茶水；在会议结束后，安排清洁工打扫会场，以保证会议厅的环境清洁，并关好会议室（厅）的照明、空调等设备。</w:t>
      </w:r>
    </w:p>
    <w:p>
      <w:pPr>
        <w:widowControl w:val="0"/>
        <w:numPr>
          <w:ilvl w:val="0"/>
          <w:numId w:val="0"/>
        </w:numPr>
        <w:spacing w:line="440" w:lineRule="exact"/>
        <w:ind w:firstLine="482" w:firstLineChars="200"/>
        <w:jc w:val="both"/>
        <w:rPr>
          <w:rFonts w:hint="eastAsia" w:ascii="黑体" w:hAnsi="黑体" w:eastAsia="黑体" w:cs="黑体"/>
          <w:b w:val="0"/>
          <w:bCs w:val="0"/>
          <w:color w:val="auto"/>
          <w:sz w:val="24"/>
          <w:szCs w:val="24"/>
        </w:rPr>
      </w:pPr>
      <w:r>
        <w:rPr>
          <w:rFonts w:hint="eastAsia" w:ascii="黑体" w:hAnsi="黑体" w:eastAsia="黑体" w:cs="黑体"/>
          <w:b/>
          <w:bCs/>
          <w:color w:val="auto"/>
          <w:sz w:val="24"/>
          <w:szCs w:val="24"/>
          <w:lang w:val="en-US" w:eastAsia="zh-CN"/>
        </w:rPr>
        <w:t>5、</w:t>
      </w:r>
      <w:r>
        <w:rPr>
          <w:rFonts w:hint="eastAsia" w:ascii="黑体" w:hAnsi="黑体" w:eastAsia="黑体" w:cs="黑体"/>
          <w:b/>
          <w:bCs/>
          <w:color w:val="auto"/>
          <w:sz w:val="24"/>
          <w:szCs w:val="24"/>
        </w:rPr>
        <w:t>绿化服务</w:t>
      </w:r>
      <w:r>
        <w:rPr>
          <w:rFonts w:hint="eastAsia" w:ascii="黑体" w:hAnsi="黑体" w:eastAsia="黑体" w:cs="黑体"/>
          <w:b/>
          <w:bCs/>
          <w:color w:val="auto"/>
          <w:sz w:val="24"/>
          <w:szCs w:val="24"/>
          <w:lang w:val="en-US" w:eastAsia="zh-CN"/>
        </w:rPr>
        <w:t>（租赁、更新、修剪，按实结算）</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区局、赤港办公区、河浦分局和原河浦分局国税办公楼四个地方花木修剪养护、除草、防治虫害、更换死亡花木、花木租赁。</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1）中标人须安排</w:t>
      </w:r>
      <w:r>
        <w:rPr>
          <w:rFonts w:hint="eastAsia" w:ascii="黑体" w:hAnsi="黑体" w:eastAsia="黑体" w:cs="黑体"/>
          <w:color w:val="auto"/>
          <w:sz w:val="24"/>
          <w:szCs w:val="24"/>
          <w:lang w:val="en-US" w:eastAsia="zh-CN"/>
        </w:rPr>
        <w:t>2</w:t>
      </w:r>
      <w:r>
        <w:rPr>
          <w:rFonts w:hint="eastAsia" w:ascii="黑体" w:hAnsi="黑体" w:eastAsia="黑体" w:cs="黑体"/>
          <w:color w:val="auto"/>
          <w:sz w:val="24"/>
          <w:szCs w:val="24"/>
        </w:rPr>
        <w:t>名绿化养护人员专职负责采购人的绿化工作。</w:t>
      </w:r>
    </w:p>
    <w:p>
      <w:pPr>
        <w:widowControl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2）绿化工作应本着“统一规划，统一建设”，“建、管、养、护分工协作，职责明确”的原则进行；</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3）土栽花木由采购人按规划栽种后移交中标人统一管理养护；</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4）公共区域和各办公室属于单位所有的盆栽花木，由中标人负责养护；</w:t>
      </w:r>
    </w:p>
    <w:p>
      <w:pPr>
        <w:widowControl w:val="0"/>
        <w:numPr>
          <w:ilvl w:val="0"/>
          <w:numId w:val="0"/>
        </w:numPr>
        <w:spacing w:line="440" w:lineRule="exact"/>
        <w:ind w:firstLine="480" w:firstLineChars="200"/>
        <w:jc w:val="both"/>
        <w:rPr>
          <w:rFonts w:hint="eastAsia" w:ascii="黑体" w:hAnsi="黑体" w:eastAsia="黑体" w:cs="黑体"/>
          <w:sz w:val="24"/>
          <w:szCs w:val="24"/>
          <w:lang w:eastAsia="zh-CN"/>
        </w:rPr>
      </w:pPr>
      <w:r>
        <w:rPr>
          <w:rFonts w:hint="eastAsia" w:ascii="黑体" w:hAnsi="黑体" w:eastAsia="黑体" w:cs="黑体"/>
          <w:color w:val="auto"/>
          <w:sz w:val="24"/>
          <w:szCs w:val="24"/>
        </w:rPr>
        <w:t>5）对大院的土栽花木和绿化设施承担管理及养护责任，及时加肥、修剪、除病虫害</w:t>
      </w:r>
      <w:r>
        <w:rPr>
          <w:rFonts w:hint="eastAsia" w:ascii="黑体" w:hAnsi="黑体" w:eastAsia="黑体" w:cs="黑体"/>
          <w:color w:val="auto"/>
          <w:sz w:val="24"/>
          <w:szCs w:val="24"/>
          <w:lang w:val="en-US" w:eastAsia="zh-CN"/>
        </w:rPr>
        <w:t>等。</w:t>
      </w:r>
    </w:p>
    <w:p>
      <w:pPr>
        <w:spacing w:line="360" w:lineRule="auto"/>
        <w:ind w:firstLine="482" w:firstLineChars="200"/>
        <w:rPr>
          <w:rFonts w:hint="eastAsia" w:ascii="黑体" w:hAnsi="黑体" w:eastAsia="黑体" w:cs="黑体"/>
          <w:b/>
          <w:bCs/>
          <w:sz w:val="24"/>
          <w:szCs w:val="24"/>
          <w:lang w:val="en-US" w:eastAsia="zh-CN"/>
        </w:rPr>
      </w:pPr>
      <w:r>
        <w:rPr>
          <w:rFonts w:hint="eastAsia" w:ascii="黑体" w:hAnsi="黑体" w:eastAsia="黑体" w:cs="黑体"/>
          <w:b/>
          <w:bCs/>
          <w:sz w:val="24"/>
          <w:szCs w:val="24"/>
          <w:lang w:val="en-US" w:eastAsia="zh-CN"/>
        </w:rPr>
        <w:t>6、爱国卫生服务</w:t>
      </w:r>
      <w:r>
        <w:rPr>
          <w:rFonts w:hint="eastAsia" w:ascii="黑体" w:hAnsi="黑体" w:eastAsia="黑体" w:cs="黑体"/>
          <w:b/>
          <w:bCs/>
          <w:color w:val="auto"/>
          <w:sz w:val="24"/>
          <w:szCs w:val="24"/>
          <w:lang w:val="en-US" w:eastAsia="zh-CN"/>
        </w:rPr>
        <w:t>（按实结算）</w:t>
      </w:r>
    </w:p>
    <w:p>
      <w:pPr>
        <w:spacing w:line="360" w:lineRule="auto"/>
        <w:ind w:firstLine="482" w:firstLineChars="200"/>
        <w:rPr>
          <w:rFonts w:hint="eastAsia" w:ascii="黑体" w:hAnsi="黑体" w:eastAsia="黑体" w:cs="黑体"/>
          <w:b/>
          <w:bCs/>
          <w:sz w:val="24"/>
          <w:szCs w:val="24"/>
        </w:rPr>
      </w:pPr>
      <w:r>
        <w:rPr>
          <w:rFonts w:hint="eastAsia" w:ascii="黑体" w:hAnsi="黑体" w:eastAsia="黑体" w:cs="黑体"/>
          <w:b/>
          <w:bCs/>
          <w:sz w:val="24"/>
          <w:szCs w:val="24"/>
          <w:lang w:val="en-US" w:eastAsia="zh-CN"/>
        </w:rPr>
        <w:t>6.1</w:t>
      </w:r>
      <w:r>
        <w:rPr>
          <w:rFonts w:hint="eastAsia" w:ascii="黑体" w:hAnsi="黑体" w:eastAsia="黑体" w:cs="黑体"/>
          <w:b/>
          <w:bCs/>
          <w:sz w:val="24"/>
          <w:szCs w:val="24"/>
        </w:rPr>
        <w:t>除四害服务</w:t>
      </w:r>
    </w:p>
    <w:p>
      <w:pPr>
        <w:spacing w:line="360" w:lineRule="auto"/>
        <w:ind w:firstLine="480" w:firstLineChars="200"/>
        <w:rPr>
          <w:rFonts w:hint="eastAsia" w:ascii="黑体" w:hAnsi="黑体" w:eastAsia="黑体" w:cs="黑体"/>
          <w:sz w:val="24"/>
          <w:szCs w:val="24"/>
          <w:lang w:eastAsia="zh-CN"/>
        </w:rPr>
      </w:pPr>
      <w:r>
        <w:rPr>
          <w:rFonts w:hint="eastAsia" w:ascii="黑体" w:hAnsi="黑体" w:eastAsia="黑体" w:cs="黑体"/>
          <w:sz w:val="24"/>
          <w:szCs w:val="24"/>
          <w:lang w:val="en-US" w:eastAsia="zh-CN"/>
        </w:rPr>
        <w:t>1）</w:t>
      </w:r>
      <w:r>
        <w:rPr>
          <w:rFonts w:hint="eastAsia" w:ascii="黑体" w:hAnsi="黑体" w:eastAsia="黑体" w:cs="黑体"/>
          <w:sz w:val="24"/>
          <w:szCs w:val="24"/>
        </w:rPr>
        <w:t>按气候及环境变化除四害。其中</w:t>
      </w:r>
      <w:r>
        <w:rPr>
          <w:rFonts w:hint="eastAsia" w:ascii="黑体" w:hAnsi="黑体" w:eastAsia="黑体" w:cs="黑体"/>
          <w:sz w:val="24"/>
          <w:szCs w:val="24"/>
          <w:lang w:val="en-US" w:eastAsia="zh-CN"/>
        </w:rPr>
        <w:t>1</w:t>
      </w:r>
      <w:r>
        <w:rPr>
          <w:rFonts w:hint="eastAsia" w:ascii="黑体" w:hAnsi="黑体" w:eastAsia="黑体" w:cs="黑体"/>
          <w:sz w:val="24"/>
          <w:szCs w:val="24"/>
        </w:rPr>
        <w:t>-1</w:t>
      </w:r>
      <w:r>
        <w:rPr>
          <w:rFonts w:hint="eastAsia" w:ascii="黑体" w:hAnsi="黑体" w:eastAsia="黑体" w:cs="黑体"/>
          <w:sz w:val="24"/>
          <w:szCs w:val="24"/>
          <w:lang w:val="en-US" w:eastAsia="zh-CN"/>
        </w:rPr>
        <w:t>2</w:t>
      </w:r>
      <w:r>
        <w:rPr>
          <w:rFonts w:hint="eastAsia" w:ascii="黑体" w:hAnsi="黑体" w:eastAsia="黑体" w:cs="黑体"/>
          <w:sz w:val="24"/>
          <w:szCs w:val="24"/>
        </w:rPr>
        <w:t>月的灭四害消杀工作每月不少于</w:t>
      </w:r>
      <w:r>
        <w:rPr>
          <w:rFonts w:hint="eastAsia" w:ascii="黑体" w:hAnsi="黑体" w:eastAsia="黑体" w:cs="黑体"/>
          <w:sz w:val="24"/>
          <w:szCs w:val="24"/>
          <w:lang w:val="en-US" w:eastAsia="zh-CN"/>
        </w:rPr>
        <w:t>4</w:t>
      </w:r>
      <w:r>
        <w:rPr>
          <w:rFonts w:hint="eastAsia" w:ascii="黑体" w:hAnsi="黑体" w:eastAsia="黑体" w:cs="黑体"/>
          <w:sz w:val="24"/>
          <w:szCs w:val="24"/>
        </w:rPr>
        <w:t>次</w:t>
      </w:r>
      <w:r>
        <w:rPr>
          <w:rFonts w:hint="eastAsia" w:ascii="黑体" w:hAnsi="黑体" w:eastAsia="黑体" w:cs="黑体"/>
          <w:sz w:val="24"/>
          <w:szCs w:val="24"/>
          <w:lang w:eastAsia="zh-CN"/>
        </w:rPr>
        <w:t>。</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使用符合国家标准的消毒、杀虫害等药剂进行环保消杀工作。</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3）</w:t>
      </w:r>
      <w:r>
        <w:rPr>
          <w:rFonts w:hint="eastAsia" w:ascii="黑体" w:hAnsi="黑体" w:eastAsia="黑体" w:cs="黑体"/>
          <w:sz w:val="24"/>
          <w:szCs w:val="24"/>
        </w:rPr>
        <w:t>除一般“四害”防治外，还提供如蚁、蚤、虱、蜱、螨等其他有害生物的预防和控制。</w:t>
      </w:r>
    </w:p>
    <w:p>
      <w:pPr>
        <w:spacing w:line="360" w:lineRule="auto"/>
        <w:ind w:firstLine="480" w:firstLineChars="200"/>
        <w:rPr>
          <w:rFonts w:hint="eastAsia" w:ascii="黑体" w:hAnsi="黑体" w:eastAsia="黑体" w:cs="黑体"/>
          <w:sz w:val="24"/>
          <w:szCs w:val="24"/>
          <w:lang w:eastAsia="zh-CN"/>
        </w:rPr>
      </w:pPr>
      <w:r>
        <w:rPr>
          <w:rFonts w:hint="eastAsia" w:ascii="黑体" w:hAnsi="黑体" w:eastAsia="黑体" w:cs="黑体"/>
          <w:sz w:val="24"/>
          <w:szCs w:val="24"/>
          <w:lang w:val="en-US" w:eastAsia="zh-CN"/>
        </w:rPr>
        <w:t>4)</w:t>
      </w:r>
      <w:r>
        <w:rPr>
          <w:rFonts w:hint="eastAsia" w:ascii="黑体" w:hAnsi="黑体" w:eastAsia="黑体" w:cs="黑体"/>
          <w:sz w:val="24"/>
          <w:szCs w:val="24"/>
        </w:rPr>
        <w:t>根据相关等级提供对应的专业防制、管理、规划服务</w:t>
      </w:r>
      <w:r>
        <w:rPr>
          <w:rFonts w:hint="eastAsia" w:ascii="黑体" w:hAnsi="黑体" w:eastAsia="黑体" w:cs="黑体"/>
          <w:sz w:val="24"/>
          <w:szCs w:val="24"/>
          <w:lang w:eastAsia="zh-CN"/>
        </w:rPr>
        <w:t>。</w:t>
      </w:r>
    </w:p>
    <w:p>
      <w:pPr>
        <w:spacing w:line="360" w:lineRule="auto"/>
        <w:ind w:firstLine="482" w:firstLineChars="200"/>
        <w:rPr>
          <w:rFonts w:hint="eastAsia" w:ascii="黑体" w:hAnsi="黑体" w:eastAsia="黑体" w:cs="黑体"/>
          <w:b/>
          <w:bCs/>
          <w:sz w:val="24"/>
          <w:szCs w:val="24"/>
        </w:rPr>
      </w:pPr>
      <w:r>
        <w:rPr>
          <w:rFonts w:hint="eastAsia" w:ascii="黑体" w:hAnsi="黑体" w:eastAsia="黑体" w:cs="黑体"/>
          <w:b/>
          <w:bCs/>
          <w:sz w:val="24"/>
          <w:szCs w:val="24"/>
          <w:lang w:val="en-US" w:eastAsia="zh-CN"/>
        </w:rPr>
        <w:t>6.2</w:t>
      </w:r>
      <w:r>
        <w:rPr>
          <w:rFonts w:hint="eastAsia" w:ascii="黑体" w:hAnsi="黑体" w:eastAsia="黑体" w:cs="黑体"/>
          <w:b/>
          <w:bCs/>
          <w:sz w:val="24"/>
          <w:szCs w:val="24"/>
        </w:rPr>
        <w:t>白蚁</w:t>
      </w:r>
      <w:r>
        <w:rPr>
          <w:rFonts w:hint="eastAsia" w:ascii="黑体" w:hAnsi="黑体" w:eastAsia="黑体" w:cs="黑体"/>
          <w:b/>
          <w:bCs/>
          <w:sz w:val="24"/>
          <w:szCs w:val="24"/>
          <w:lang w:eastAsia="zh-CN"/>
        </w:rPr>
        <w:t>、红火蚁</w:t>
      </w:r>
      <w:r>
        <w:rPr>
          <w:rFonts w:hint="eastAsia" w:ascii="黑体" w:hAnsi="黑体" w:eastAsia="黑体" w:cs="黑体"/>
          <w:b/>
          <w:bCs/>
          <w:sz w:val="24"/>
          <w:szCs w:val="24"/>
        </w:rPr>
        <w:t>防治</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1)</w:t>
      </w:r>
      <w:r>
        <w:rPr>
          <w:rFonts w:hint="eastAsia" w:ascii="黑体" w:hAnsi="黑体" w:eastAsia="黑体" w:cs="黑体"/>
          <w:sz w:val="24"/>
          <w:szCs w:val="24"/>
        </w:rPr>
        <w:t>白蚁</w:t>
      </w:r>
      <w:r>
        <w:rPr>
          <w:rFonts w:hint="eastAsia" w:ascii="黑体" w:hAnsi="黑体" w:eastAsia="黑体" w:cs="黑体"/>
          <w:sz w:val="24"/>
          <w:szCs w:val="24"/>
          <w:lang w:eastAsia="zh-CN"/>
        </w:rPr>
        <w:t>、红火蚁</w:t>
      </w:r>
      <w:r>
        <w:rPr>
          <w:rFonts w:hint="eastAsia" w:ascii="黑体" w:hAnsi="黑体" w:eastAsia="黑体" w:cs="黑体"/>
          <w:sz w:val="24"/>
          <w:szCs w:val="24"/>
        </w:rPr>
        <w:t>防治包含两部分内容：一是对现有白蚁危害进行灭杀，二是对暂未受到白蚁危害的建筑物、绿地(包括地被、树木)进行预防，防止白蚁危害。根据税局环境特点、白蚁对食物的要求和危害特点，选择高效安全、对环境污染小，及药效持续时间长的药剂进行防治。</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药物的选择和使用要符合国家环保安全的要求，低毒无刺激性、对人畜无害的药物。要求使用药品成分为“20%吡虫啉悬浮剂”，“0.25%氟虫腈粉剂”。</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3)</w:t>
      </w:r>
      <w:r>
        <w:rPr>
          <w:rFonts w:hint="eastAsia" w:ascii="黑体" w:hAnsi="黑体" w:eastAsia="黑体" w:cs="黑体"/>
          <w:sz w:val="24"/>
          <w:szCs w:val="24"/>
        </w:rPr>
        <w:t>通过</w:t>
      </w:r>
      <w:r>
        <w:rPr>
          <w:rFonts w:hint="eastAsia" w:ascii="黑体" w:hAnsi="黑体" w:eastAsia="黑体" w:cs="黑体"/>
          <w:sz w:val="24"/>
          <w:szCs w:val="24"/>
          <w:lang w:eastAsia="zh-CN"/>
        </w:rPr>
        <w:t>服务期内</w:t>
      </w:r>
      <w:r>
        <w:rPr>
          <w:rFonts w:hint="eastAsia" w:ascii="黑体" w:hAnsi="黑体" w:eastAsia="黑体" w:cs="黑体"/>
          <w:sz w:val="24"/>
          <w:szCs w:val="24"/>
        </w:rPr>
        <w:t>的综合治理后，白蚁防治率达到10</w:t>
      </w:r>
      <w:r>
        <w:rPr>
          <w:rFonts w:hint="eastAsia" w:ascii="黑体" w:hAnsi="黑体" w:eastAsia="黑体" w:cs="黑体"/>
          <w:sz w:val="24"/>
          <w:szCs w:val="24"/>
          <w:lang w:val="en-US" w:eastAsia="zh-CN"/>
        </w:rPr>
        <w:t>0%，防治后白蚁的危害发生率控制在3%以下，无残留药物污染，树木树干泥被消失，建筑房屋基本无蚁害发生。</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4）</w:t>
      </w:r>
      <w:r>
        <w:rPr>
          <w:rFonts w:hint="eastAsia" w:ascii="黑体" w:hAnsi="黑体" w:eastAsia="黑体" w:cs="黑体"/>
          <w:sz w:val="24"/>
          <w:szCs w:val="24"/>
        </w:rPr>
        <w:t>因特殊情况，按采购方要求增加除四害消杀服务次数的，增加部分按实结算。</w:t>
      </w:r>
    </w:p>
    <w:p>
      <w:pPr>
        <w:spacing w:line="360" w:lineRule="auto"/>
        <w:ind w:firstLine="482" w:firstLineChars="200"/>
        <w:rPr>
          <w:rFonts w:hint="eastAsia" w:ascii="黑体" w:hAnsi="黑体" w:eastAsia="黑体" w:cs="黑体"/>
          <w:b/>
          <w:bCs/>
          <w:sz w:val="24"/>
          <w:szCs w:val="24"/>
          <w:lang w:val="en-US" w:eastAsia="zh-CN"/>
        </w:rPr>
      </w:pPr>
      <w:r>
        <w:rPr>
          <w:rFonts w:hint="eastAsia" w:ascii="黑体" w:hAnsi="黑体" w:eastAsia="黑体" w:cs="黑体"/>
          <w:b/>
          <w:bCs/>
          <w:sz w:val="24"/>
          <w:szCs w:val="24"/>
          <w:lang w:val="en-US" w:eastAsia="zh-CN"/>
        </w:rPr>
        <w:t>7、电梯维护保养及年审检测服务</w:t>
      </w:r>
      <w:r>
        <w:rPr>
          <w:rFonts w:hint="eastAsia" w:ascii="黑体" w:hAnsi="黑体" w:eastAsia="黑体" w:cs="黑体"/>
          <w:b/>
          <w:bCs/>
          <w:color w:val="auto"/>
          <w:sz w:val="24"/>
          <w:szCs w:val="24"/>
          <w:lang w:val="en-US" w:eastAsia="zh-CN"/>
        </w:rPr>
        <w:t>（按实结算）</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rPr>
        <w:t>中标供应商要配合专业维保公司做好如下工作：</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rPr>
        <w:t>税务局办公楼电梯运行维护、年审测服务，现有区局、赤港办公区各一部，共2部。</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1）</w:t>
      </w:r>
      <w:r>
        <w:rPr>
          <w:rFonts w:hint="eastAsia" w:ascii="黑体" w:hAnsi="黑体" w:eastAsia="黑体" w:cs="黑体"/>
          <w:sz w:val="24"/>
          <w:szCs w:val="24"/>
        </w:rPr>
        <w:t>根据电梯的图纸资料和技术性能制订电梯安全运行和维修保养的规章制度。</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电梯运行管理和对机房设备、井道系统、轿厢设备进行日常运行管理，每日检查，每周维护、保养。</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3）</w:t>
      </w:r>
      <w:r>
        <w:rPr>
          <w:rFonts w:hint="eastAsia" w:ascii="黑体" w:hAnsi="黑体" w:eastAsia="黑体" w:cs="黑体"/>
          <w:sz w:val="24"/>
          <w:szCs w:val="24"/>
        </w:rPr>
        <w:t>健全电梯设备档案及修理记录；安排电梯安全年检工作。</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4）</w:t>
      </w:r>
      <w:r>
        <w:rPr>
          <w:rFonts w:hint="eastAsia" w:ascii="黑体" w:hAnsi="黑体" w:eastAsia="黑体" w:cs="黑体"/>
          <w:sz w:val="24"/>
          <w:szCs w:val="24"/>
        </w:rPr>
        <w:t>保持电梯轿厢（包括厢内）、并道、底坑、机房及各梯整流控制柜的清洁。</w:t>
      </w:r>
    </w:p>
    <w:p>
      <w:pPr>
        <w:pStyle w:val="2"/>
        <w:spacing w:before="0" w:after="0" w:line="360" w:lineRule="auto"/>
        <w:ind w:firstLine="520" w:firstLineChars="200"/>
        <w:rPr>
          <w:rFonts w:hint="eastAsia" w:ascii="黑体" w:hAnsi="黑体" w:eastAsia="黑体" w:cs="黑体"/>
          <w:sz w:val="24"/>
          <w:szCs w:val="24"/>
        </w:rPr>
      </w:pPr>
      <w:r>
        <w:rPr>
          <w:rFonts w:hint="eastAsia" w:ascii="黑体" w:hAnsi="黑体" w:eastAsia="黑体" w:cs="黑体"/>
          <w:sz w:val="24"/>
          <w:szCs w:val="24"/>
          <w:lang w:val="en-US" w:eastAsia="zh-CN"/>
        </w:rPr>
        <w:t>5）</w:t>
      </w:r>
      <w:r>
        <w:rPr>
          <w:rFonts w:hint="eastAsia" w:ascii="黑体" w:hAnsi="黑体" w:eastAsia="黑体" w:cs="黑体"/>
          <w:sz w:val="24"/>
          <w:szCs w:val="24"/>
        </w:rPr>
        <w:t>保证所有电梯照明及内选外呼、层楼显示的巡视和修理。</w:t>
      </w:r>
    </w:p>
    <w:p>
      <w:pPr>
        <w:pStyle w:val="2"/>
        <w:spacing w:before="0" w:after="0" w:line="360" w:lineRule="auto"/>
        <w:ind w:firstLine="52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6）密切监视和掌握电梯的运行动态，及时做好需变动的电梯运行的调度、管理工作。</w:t>
      </w:r>
    </w:p>
    <w:p>
      <w:pPr>
        <w:pStyle w:val="2"/>
        <w:spacing w:before="0" w:after="0" w:line="360" w:lineRule="auto"/>
        <w:ind w:firstLine="52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7）其他闲置资产、消防等设备设施的定期巡查管养。</w:t>
      </w:r>
    </w:p>
    <w:p>
      <w:pPr>
        <w:spacing w:line="360" w:lineRule="auto"/>
        <w:ind w:firstLine="482" w:firstLineChars="200"/>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8、其他物业专项服务（按实结算）</w:t>
      </w:r>
    </w:p>
    <w:p>
      <w:pPr>
        <w:spacing w:line="360" w:lineRule="auto"/>
        <w:ind w:firstLine="482" w:firstLineChars="200"/>
        <w:rPr>
          <w:rFonts w:hint="eastAsia" w:ascii="黑体" w:hAnsi="黑体" w:eastAsia="黑体" w:cs="黑体"/>
          <w:b w:val="0"/>
          <w:bCs w:val="0"/>
          <w:color w:val="auto"/>
          <w:sz w:val="24"/>
          <w:szCs w:val="24"/>
          <w:lang w:val="en-US" w:eastAsia="zh-CN"/>
        </w:rPr>
      </w:pPr>
      <w:r>
        <w:rPr>
          <w:rFonts w:hint="eastAsia" w:ascii="黑体" w:hAnsi="黑体" w:eastAsia="黑体" w:cs="黑体"/>
          <w:b/>
          <w:bCs/>
          <w:color w:val="auto"/>
          <w:sz w:val="24"/>
          <w:szCs w:val="24"/>
          <w:lang w:val="en-US" w:eastAsia="zh-CN"/>
        </w:rPr>
        <w:t>服务区域：</w:t>
      </w:r>
      <w:r>
        <w:rPr>
          <w:rFonts w:hint="eastAsia" w:ascii="黑体" w:hAnsi="黑体" w:eastAsia="黑体" w:cs="黑体"/>
          <w:b w:val="0"/>
          <w:bCs w:val="0"/>
          <w:color w:val="auto"/>
          <w:sz w:val="24"/>
          <w:szCs w:val="24"/>
          <w:lang w:val="en-US" w:eastAsia="zh-CN"/>
        </w:rPr>
        <w:t>区局办公楼、赤港办公区、河浦分局及河浦分局原国税楼。</w:t>
      </w:r>
    </w:p>
    <w:p>
      <w:pPr>
        <w:widowControl w:val="0"/>
        <w:adjustRightInd w:val="0"/>
        <w:snapToGrid w:val="0"/>
        <w:spacing w:line="440" w:lineRule="exact"/>
        <w:ind w:firstLine="482" w:firstLineChars="200"/>
        <w:jc w:val="both"/>
        <w:rPr>
          <w:rFonts w:hint="eastAsia" w:ascii="黑体" w:hAnsi="黑体" w:eastAsia="黑体" w:cs="黑体"/>
          <w:b/>
          <w:bCs/>
          <w:spacing w:val="10"/>
          <w:kern w:val="0"/>
          <w:sz w:val="24"/>
          <w:szCs w:val="24"/>
          <w:lang w:val="en-US" w:eastAsia="zh-CN" w:bidi="ar-SA"/>
        </w:rPr>
      </w:pPr>
      <w:r>
        <w:rPr>
          <w:rFonts w:hint="eastAsia" w:ascii="黑体" w:hAnsi="黑体" w:eastAsia="黑体" w:cs="黑体"/>
          <w:b/>
          <w:bCs/>
          <w:sz w:val="24"/>
          <w:szCs w:val="24"/>
          <w:lang w:val="en-US" w:eastAsia="zh-CN"/>
        </w:rPr>
        <w:t>8.1</w:t>
      </w:r>
      <w:r>
        <w:rPr>
          <w:rFonts w:hint="eastAsia" w:ascii="黑体" w:hAnsi="黑体" w:eastAsia="黑体" w:cs="黑体"/>
          <w:b/>
          <w:bCs/>
          <w:spacing w:val="10"/>
          <w:kern w:val="0"/>
          <w:sz w:val="24"/>
          <w:szCs w:val="24"/>
          <w:lang w:val="en-US" w:eastAsia="zh-CN" w:bidi="ar-SA"/>
        </w:rPr>
        <w:t>外墙清洗</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lang w:val="en-US" w:eastAsia="zh-CN"/>
        </w:rPr>
        <w:t>1）</w:t>
      </w:r>
      <w:r>
        <w:rPr>
          <w:rFonts w:hint="eastAsia" w:ascii="黑体" w:hAnsi="黑体" w:eastAsia="黑体" w:cs="黑体"/>
          <w:color w:val="auto"/>
          <w:sz w:val="24"/>
          <w:szCs w:val="24"/>
        </w:rPr>
        <w:t>对区域内建筑物外立面进行清洗、清洁。</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 xml:space="preserve">做好高空清洁人员的安全保障措施，清洗区域下方划出隔离区域，提醒过路行人车辆，避免造成危险。 </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4）</w:t>
      </w:r>
      <w:r>
        <w:rPr>
          <w:rFonts w:hint="eastAsia" w:ascii="黑体" w:hAnsi="黑体" w:eastAsia="黑体" w:cs="黑体"/>
          <w:sz w:val="24"/>
          <w:szCs w:val="24"/>
        </w:rPr>
        <w:t>要求严格按照高空外墙清洗操作规范进行清洗，并有明显效果。</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5）</w:t>
      </w:r>
      <w:r>
        <w:rPr>
          <w:rFonts w:hint="eastAsia" w:ascii="黑体" w:hAnsi="黑体" w:eastAsia="黑体" w:cs="黑体"/>
          <w:sz w:val="24"/>
          <w:szCs w:val="24"/>
        </w:rPr>
        <w:t>根据采购方要求，对指定区域派人进行清洗、清洁。</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6）</w:t>
      </w:r>
      <w:r>
        <w:rPr>
          <w:rFonts w:hint="eastAsia" w:ascii="黑体" w:hAnsi="黑体" w:eastAsia="黑体" w:cs="黑体"/>
          <w:sz w:val="24"/>
          <w:szCs w:val="24"/>
        </w:rPr>
        <w:t>高空外墙、玻璃幕墙清洗费用每平方不超12元，相关人员需配高空作业证。</w:t>
      </w:r>
    </w:p>
    <w:p>
      <w:pPr>
        <w:pStyle w:val="2"/>
        <w:numPr>
          <w:ilvl w:val="0"/>
          <w:numId w:val="0"/>
        </w:numPr>
        <w:spacing w:line="360" w:lineRule="auto"/>
        <w:ind w:leftChars="0" w:firstLine="522" w:firstLineChars="200"/>
        <w:rPr>
          <w:rFonts w:hint="eastAsia" w:ascii="黑体" w:hAnsi="黑体" w:eastAsia="黑体" w:cs="黑体"/>
          <w:b/>
          <w:bCs/>
          <w:sz w:val="24"/>
          <w:szCs w:val="24"/>
          <w:lang w:val="en-US" w:eastAsia="zh-CN"/>
        </w:rPr>
      </w:pPr>
      <w:r>
        <w:rPr>
          <w:rFonts w:hint="eastAsia" w:ascii="黑体" w:hAnsi="黑体" w:eastAsia="黑体" w:cs="黑体"/>
          <w:b/>
          <w:bCs/>
          <w:sz w:val="24"/>
          <w:szCs w:val="24"/>
          <w:lang w:val="en-US" w:eastAsia="zh-CN"/>
        </w:rPr>
        <w:t>8.2其他清洗服务</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1）元旦、春节、五一、国庆四大节日委托专业公司协助清洁。</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2）厨房油烟机保洁和清洗，每半年区局、赤港办公区和河浦分局各清理一次。</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3）空调保洁和清洗（384台），每年清洗一次。</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4）水池清洗,需委托有清洗资格消毒队伍，每三个月区局和赤港清洗一次。</w:t>
      </w:r>
    </w:p>
    <w:p>
      <w:pPr>
        <w:spacing w:line="360" w:lineRule="auto"/>
        <w:ind w:firstLine="482" w:firstLineChars="200"/>
        <w:rPr>
          <w:rFonts w:hint="eastAsia" w:ascii="黑体" w:hAnsi="黑体" w:eastAsia="黑体" w:cs="黑体"/>
          <w:b/>
          <w:bCs/>
          <w:color w:val="auto"/>
          <w:sz w:val="24"/>
          <w:szCs w:val="24"/>
          <w:lang w:val="en-US" w:eastAsia="zh-CN"/>
        </w:rPr>
      </w:pPr>
      <w:r>
        <w:rPr>
          <w:rFonts w:hint="eastAsia" w:ascii="黑体" w:hAnsi="黑体" w:eastAsia="黑体" w:cs="黑体"/>
          <w:b/>
          <w:bCs/>
          <w:color w:val="auto"/>
          <w:sz w:val="24"/>
          <w:szCs w:val="24"/>
          <w:lang w:val="en-US" w:eastAsia="zh-CN"/>
        </w:rPr>
        <w:t>8.3临时垃圾清运服务</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b w:val="0"/>
          <w:bCs w:val="0"/>
          <w:color w:val="auto"/>
          <w:sz w:val="24"/>
          <w:szCs w:val="24"/>
          <w:lang w:val="en-US" w:eastAsia="zh-CN"/>
        </w:rPr>
        <w:t>1）垃圾清运、处理分为：生活</w:t>
      </w:r>
      <w:r>
        <w:rPr>
          <w:rFonts w:hint="eastAsia" w:ascii="黑体" w:hAnsi="黑体" w:eastAsia="黑体" w:cs="黑体"/>
          <w:b w:val="0"/>
          <w:bCs w:val="0"/>
          <w:sz w:val="24"/>
          <w:szCs w:val="24"/>
        </w:rPr>
        <w:t>垃圾（有机、无机、有害垃圾）</w:t>
      </w:r>
      <w:r>
        <w:rPr>
          <w:rFonts w:hint="eastAsia" w:ascii="黑体" w:hAnsi="黑体" w:eastAsia="黑体" w:cs="黑体"/>
          <w:sz w:val="24"/>
          <w:szCs w:val="24"/>
        </w:rPr>
        <w:t>清运处理、督促装修垃圾清运处理和废纸及可再生废物的回收。所有垃圾清运处理应符合广东省及当地有关法律、法规规定。</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垃圾清运、处理的范围分为：日常办公垃圾、日常生活垃圾、日常公共部位上通道、园林、道路等之综合</w:t>
      </w:r>
      <w:r>
        <w:rPr>
          <w:rFonts w:hint="eastAsia" w:ascii="黑体" w:hAnsi="黑体" w:eastAsia="黑体" w:cs="黑体"/>
          <w:sz w:val="24"/>
          <w:szCs w:val="24"/>
          <w:lang w:eastAsia="zh-CN"/>
        </w:rPr>
        <w:t>其他</w:t>
      </w:r>
      <w:r>
        <w:rPr>
          <w:rFonts w:hint="eastAsia" w:ascii="黑体" w:hAnsi="黑体" w:eastAsia="黑体" w:cs="黑体"/>
          <w:sz w:val="24"/>
          <w:szCs w:val="24"/>
        </w:rPr>
        <w:t>垃圾。</w:t>
      </w:r>
    </w:p>
    <w:p>
      <w:pPr>
        <w:spacing w:line="360" w:lineRule="auto"/>
        <w:ind w:firstLine="480" w:firstLineChars="200"/>
        <w:rPr>
          <w:rFonts w:hint="eastAsia" w:ascii="黑体" w:hAnsi="黑体" w:eastAsia="黑体" w:cs="黑体"/>
          <w:sz w:val="24"/>
          <w:szCs w:val="24"/>
          <w:lang w:eastAsia="zh-CN"/>
        </w:rPr>
      </w:pPr>
      <w:r>
        <w:rPr>
          <w:rFonts w:hint="eastAsia" w:ascii="黑体" w:hAnsi="黑体" w:eastAsia="黑体" w:cs="黑体"/>
          <w:sz w:val="24"/>
          <w:szCs w:val="24"/>
          <w:lang w:val="en-US" w:eastAsia="zh-CN"/>
        </w:rPr>
        <w:t>3）</w:t>
      </w:r>
      <w:r>
        <w:rPr>
          <w:rFonts w:hint="eastAsia" w:ascii="黑体" w:hAnsi="黑体" w:eastAsia="黑体" w:cs="黑体"/>
          <w:sz w:val="24"/>
          <w:szCs w:val="24"/>
        </w:rPr>
        <w:t>垃圾清运、处理工作分为：</w:t>
      </w:r>
      <w:r>
        <w:rPr>
          <w:rFonts w:hint="eastAsia" w:ascii="黑体" w:hAnsi="黑体" w:eastAsia="黑体" w:cs="黑体"/>
          <w:sz w:val="24"/>
          <w:szCs w:val="24"/>
          <w:lang w:eastAsia="zh-CN"/>
        </w:rPr>
        <w:t>清运服务</w:t>
      </w:r>
      <w:r>
        <w:rPr>
          <w:rFonts w:hint="eastAsia" w:ascii="黑体" w:hAnsi="黑体" w:eastAsia="黑体" w:cs="黑体"/>
          <w:sz w:val="24"/>
          <w:szCs w:val="24"/>
        </w:rPr>
        <w:t>区域内</w:t>
      </w:r>
      <w:r>
        <w:rPr>
          <w:rFonts w:hint="eastAsia" w:ascii="黑体" w:hAnsi="黑体" w:eastAsia="黑体" w:cs="黑体"/>
          <w:sz w:val="24"/>
          <w:szCs w:val="24"/>
          <w:lang w:eastAsia="zh-CN"/>
        </w:rPr>
        <w:t>绿化</w:t>
      </w:r>
      <w:r>
        <w:rPr>
          <w:rFonts w:hint="eastAsia" w:ascii="黑体" w:hAnsi="黑体" w:eastAsia="黑体" w:cs="黑体"/>
          <w:sz w:val="24"/>
          <w:szCs w:val="24"/>
        </w:rPr>
        <w:t>垃圾，</w:t>
      </w:r>
      <w:r>
        <w:rPr>
          <w:rFonts w:hint="eastAsia" w:ascii="黑体" w:hAnsi="黑体" w:eastAsia="黑体" w:cs="黑体"/>
          <w:sz w:val="24"/>
          <w:szCs w:val="24"/>
          <w:lang w:val="en-US" w:eastAsia="zh-CN"/>
        </w:rPr>
        <w:t>集中</w:t>
      </w:r>
      <w:r>
        <w:rPr>
          <w:rFonts w:hint="eastAsia" w:ascii="黑体" w:hAnsi="黑体" w:eastAsia="黑体" w:cs="黑体"/>
          <w:sz w:val="24"/>
          <w:szCs w:val="24"/>
        </w:rPr>
        <w:t>定时清运</w:t>
      </w:r>
      <w:r>
        <w:rPr>
          <w:rFonts w:hint="eastAsia" w:ascii="黑体" w:hAnsi="黑体" w:eastAsia="黑体" w:cs="黑体"/>
          <w:sz w:val="24"/>
          <w:szCs w:val="24"/>
          <w:lang w:eastAsia="zh-CN"/>
        </w:rPr>
        <w:t>。</w:t>
      </w:r>
    </w:p>
    <w:p>
      <w:pPr>
        <w:spacing w:line="360" w:lineRule="auto"/>
        <w:ind w:firstLine="482" w:firstLineChars="200"/>
        <w:rPr>
          <w:rFonts w:hint="eastAsia" w:ascii="黑体" w:hAnsi="黑体" w:eastAsia="黑体" w:cs="黑体"/>
          <w:b/>
          <w:bCs/>
          <w:kern w:val="2"/>
          <w:sz w:val="24"/>
          <w:szCs w:val="24"/>
          <w:lang w:val="en-US" w:eastAsia="zh-CN" w:bidi="ar-SA"/>
        </w:rPr>
      </w:pPr>
      <w:r>
        <w:rPr>
          <w:rFonts w:hint="eastAsia" w:ascii="黑体" w:hAnsi="黑体" w:eastAsia="黑体" w:cs="黑体"/>
          <w:b/>
          <w:bCs/>
          <w:kern w:val="2"/>
          <w:sz w:val="24"/>
          <w:szCs w:val="24"/>
          <w:lang w:val="en-US" w:eastAsia="zh-CN" w:bidi="ar-SA"/>
        </w:rPr>
        <w:t>8.4 临时</w:t>
      </w:r>
      <w:r>
        <w:rPr>
          <w:rFonts w:hint="eastAsia" w:ascii="黑体" w:hAnsi="黑体" w:eastAsia="黑体" w:cs="黑体"/>
          <w:b/>
          <w:bCs/>
          <w:sz w:val="24"/>
          <w:szCs w:val="24"/>
          <w:lang w:val="en-US" w:eastAsia="zh-CN"/>
        </w:rPr>
        <w:t>闲置资产设备</w:t>
      </w:r>
      <w:r>
        <w:rPr>
          <w:rFonts w:hint="eastAsia" w:ascii="黑体" w:hAnsi="黑体" w:eastAsia="黑体" w:cs="黑体"/>
          <w:b/>
          <w:bCs/>
          <w:kern w:val="2"/>
          <w:sz w:val="24"/>
          <w:szCs w:val="24"/>
          <w:lang w:val="en-US" w:eastAsia="zh-CN" w:bidi="ar-SA"/>
        </w:rPr>
        <w:t>搬运</w:t>
      </w:r>
    </w:p>
    <w:p>
      <w:pPr>
        <w:spacing w:line="360" w:lineRule="auto"/>
        <w:ind w:firstLine="480" w:firstLineChars="200"/>
        <w:rPr>
          <w:rFonts w:hint="eastAsia" w:ascii="黑体" w:hAnsi="黑体" w:eastAsia="黑体" w:cs="黑体"/>
          <w:sz w:val="24"/>
          <w:szCs w:val="24"/>
          <w:lang w:eastAsia="zh-CN"/>
        </w:rPr>
      </w:pPr>
      <w:r>
        <w:rPr>
          <w:rFonts w:hint="eastAsia" w:ascii="黑体" w:hAnsi="黑体" w:eastAsia="黑体" w:cs="黑体"/>
          <w:sz w:val="24"/>
          <w:szCs w:val="24"/>
          <w:lang w:val="en-US" w:eastAsia="zh-CN"/>
        </w:rPr>
        <w:t>1）</w:t>
      </w:r>
      <w:r>
        <w:rPr>
          <w:rFonts w:hint="eastAsia" w:ascii="黑体" w:hAnsi="黑体" w:eastAsia="黑体" w:cs="黑体"/>
          <w:sz w:val="24"/>
          <w:szCs w:val="24"/>
        </w:rPr>
        <w:t>与物业管理有关的临时性、突发性服务</w:t>
      </w:r>
      <w:r>
        <w:rPr>
          <w:rFonts w:hint="eastAsia" w:ascii="黑体" w:hAnsi="黑体" w:eastAsia="黑体" w:cs="黑体"/>
          <w:sz w:val="24"/>
          <w:szCs w:val="24"/>
          <w:lang w:eastAsia="zh-CN"/>
        </w:rPr>
        <w:t>。</w:t>
      </w:r>
    </w:p>
    <w:p>
      <w:pPr>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lang w:val="en-US" w:eastAsia="zh-CN"/>
        </w:rPr>
        <w:t>2）</w:t>
      </w:r>
      <w:r>
        <w:rPr>
          <w:rFonts w:hint="eastAsia" w:ascii="黑体" w:hAnsi="黑体" w:eastAsia="黑体" w:cs="黑体"/>
          <w:sz w:val="24"/>
          <w:szCs w:val="24"/>
        </w:rPr>
        <w:t>协助搬运小件物品、清理废旧物品等其他与物业管理有关的临时性、突发性服务。</w:t>
      </w:r>
    </w:p>
    <w:p>
      <w:pPr>
        <w:spacing w:line="360" w:lineRule="auto"/>
        <w:ind w:firstLine="480" w:firstLineChars="200"/>
        <w:rPr>
          <w:rFonts w:hint="eastAsia" w:ascii="黑体" w:hAnsi="黑体" w:eastAsia="黑体" w:cs="黑体"/>
          <w:sz w:val="24"/>
          <w:szCs w:val="24"/>
          <w:highlight w:val="none"/>
        </w:rPr>
      </w:pPr>
      <w:r>
        <w:rPr>
          <w:rFonts w:hint="eastAsia" w:ascii="黑体" w:hAnsi="黑体" w:eastAsia="黑体" w:cs="黑体"/>
          <w:sz w:val="24"/>
          <w:szCs w:val="24"/>
          <w:highlight w:val="none"/>
          <w:lang w:val="en-US" w:eastAsia="zh-CN"/>
        </w:rPr>
        <w:t>3）</w:t>
      </w:r>
      <w:r>
        <w:rPr>
          <w:rFonts w:hint="eastAsia" w:ascii="黑体" w:hAnsi="黑体" w:eastAsia="黑体" w:cs="黑体"/>
          <w:sz w:val="24"/>
          <w:szCs w:val="24"/>
          <w:highlight w:val="none"/>
        </w:rPr>
        <w:t>根据采购方工作需要，由中标人提供其他物业服务，涉及人员费用标准为</w:t>
      </w:r>
      <w:r>
        <w:rPr>
          <w:rFonts w:hint="eastAsia" w:ascii="黑体" w:hAnsi="黑体" w:eastAsia="黑体" w:cs="黑体"/>
          <w:sz w:val="24"/>
          <w:szCs w:val="24"/>
          <w:highlight w:val="none"/>
          <w:lang w:eastAsia="zh-CN"/>
        </w:rPr>
        <w:t>：</w:t>
      </w:r>
      <w:r>
        <w:rPr>
          <w:rFonts w:hint="eastAsia" w:ascii="黑体" w:hAnsi="黑体" w:eastAsia="黑体" w:cs="黑体"/>
          <w:sz w:val="24"/>
          <w:szCs w:val="24"/>
          <w:highlight w:val="none"/>
        </w:rPr>
        <w:t>每人每</w:t>
      </w:r>
      <w:r>
        <w:rPr>
          <w:rFonts w:hint="eastAsia" w:ascii="黑体" w:hAnsi="黑体" w:eastAsia="黑体" w:cs="黑体"/>
          <w:sz w:val="24"/>
          <w:szCs w:val="24"/>
          <w:highlight w:val="none"/>
          <w:lang w:eastAsia="zh-CN"/>
        </w:rPr>
        <w:t>天</w:t>
      </w:r>
      <w:r>
        <w:rPr>
          <w:rFonts w:hint="eastAsia" w:ascii="黑体" w:hAnsi="黑体" w:eastAsia="黑体" w:cs="黑体"/>
          <w:sz w:val="24"/>
          <w:szCs w:val="24"/>
          <w:highlight w:val="none"/>
        </w:rPr>
        <w:t>不超过</w:t>
      </w:r>
      <w:r>
        <w:rPr>
          <w:rFonts w:hint="eastAsia" w:ascii="黑体" w:hAnsi="黑体" w:eastAsia="黑体" w:cs="黑体"/>
          <w:sz w:val="24"/>
          <w:szCs w:val="24"/>
          <w:highlight w:val="none"/>
          <w:lang w:val="en-US" w:eastAsia="zh-CN"/>
        </w:rPr>
        <w:t>300</w:t>
      </w:r>
      <w:r>
        <w:rPr>
          <w:rFonts w:hint="eastAsia" w:ascii="黑体" w:hAnsi="黑体" w:eastAsia="黑体" w:cs="黑体"/>
          <w:sz w:val="24"/>
          <w:szCs w:val="24"/>
          <w:highlight w:val="none"/>
        </w:rPr>
        <w:t>元</w:t>
      </w:r>
      <w:r>
        <w:rPr>
          <w:rFonts w:hint="eastAsia" w:ascii="黑体" w:hAnsi="黑体" w:eastAsia="黑体" w:cs="黑体"/>
          <w:sz w:val="24"/>
          <w:szCs w:val="24"/>
          <w:highlight w:val="none"/>
          <w:lang w:eastAsia="zh-CN"/>
        </w:rPr>
        <w:t>。临时应急的时工费用标准为：</w:t>
      </w:r>
      <w:r>
        <w:rPr>
          <w:rFonts w:hint="eastAsia" w:ascii="黑体" w:hAnsi="黑体" w:eastAsia="黑体" w:cs="黑体"/>
          <w:sz w:val="24"/>
          <w:szCs w:val="24"/>
          <w:highlight w:val="none"/>
        </w:rPr>
        <w:t>每人每</w:t>
      </w:r>
      <w:r>
        <w:rPr>
          <w:rFonts w:hint="eastAsia" w:ascii="黑体" w:hAnsi="黑体" w:eastAsia="黑体" w:cs="黑体"/>
          <w:sz w:val="24"/>
          <w:szCs w:val="24"/>
          <w:highlight w:val="none"/>
          <w:lang w:eastAsia="zh-CN"/>
        </w:rPr>
        <w:t>小时</w:t>
      </w:r>
      <w:r>
        <w:rPr>
          <w:rFonts w:hint="eastAsia" w:ascii="黑体" w:hAnsi="黑体" w:eastAsia="黑体" w:cs="黑体"/>
          <w:sz w:val="24"/>
          <w:szCs w:val="24"/>
          <w:highlight w:val="none"/>
        </w:rPr>
        <w:t>不超过</w:t>
      </w:r>
      <w:r>
        <w:rPr>
          <w:rFonts w:hint="eastAsia" w:ascii="黑体" w:hAnsi="黑体" w:eastAsia="黑体" w:cs="黑体"/>
          <w:sz w:val="24"/>
          <w:szCs w:val="24"/>
          <w:highlight w:val="none"/>
          <w:lang w:val="en-US" w:eastAsia="zh-CN"/>
        </w:rPr>
        <w:t>30</w:t>
      </w:r>
      <w:r>
        <w:rPr>
          <w:rFonts w:hint="eastAsia" w:ascii="黑体" w:hAnsi="黑体" w:eastAsia="黑体" w:cs="黑体"/>
          <w:sz w:val="24"/>
          <w:szCs w:val="24"/>
          <w:highlight w:val="none"/>
        </w:rPr>
        <w:t>元。</w:t>
      </w:r>
    </w:p>
    <w:p>
      <w:pPr>
        <w:spacing w:line="360" w:lineRule="auto"/>
        <w:ind w:firstLine="482" w:firstLineChars="200"/>
        <w:rPr>
          <w:rFonts w:hint="eastAsia" w:ascii="黑体" w:hAnsi="黑体" w:eastAsia="黑体" w:cs="黑体"/>
          <w:b/>
          <w:bCs/>
          <w:kern w:val="2"/>
          <w:sz w:val="24"/>
          <w:szCs w:val="24"/>
          <w:lang w:val="en-US" w:eastAsia="zh-CN" w:bidi="ar-SA"/>
        </w:rPr>
      </w:pPr>
      <w:r>
        <w:rPr>
          <w:rFonts w:hint="eastAsia" w:ascii="黑体" w:hAnsi="黑体" w:eastAsia="黑体" w:cs="黑体"/>
          <w:b/>
          <w:bCs/>
          <w:kern w:val="2"/>
          <w:sz w:val="24"/>
          <w:szCs w:val="24"/>
          <w:lang w:val="en-US" w:eastAsia="zh-CN" w:bidi="ar-SA"/>
        </w:rPr>
        <w:t>8.5 油、粪池下水道清通服务</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 xml:space="preserve">1）区域内生活污水经污水管道集中排放处理。 </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2）为保持污水管通畅，保洁员每周对排水沟进行巡查，发现问题及时报采购方同意后进行清通。</w:t>
      </w:r>
    </w:p>
    <w:p>
      <w:pPr>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3）保持化粪池工作正常，每月检查1次，发现异常应及时进行清理。检查发现管道、化粪池损坏的，报采购方进行维修。</w:t>
      </w:r>
    </w:p>
    <w:p>
      <w:pPr>
        <w:spacing w:line="360" w:lineRule="auto"/>
        <w:ind w:firstLine="480" w:firstLineChars="200"/>
        <w:rPr>
          <w:rFonts w:hint="eastAsia" w:ascii="黑体" w:hAnsi="黑体" w:eastAsia="黑体" w:cs="黑体"/>
          <w:lang w:val="en-US" w:eastAsia="zh-CN"/>
        </w:rPr>
      </w:pPr>
      <w:r>
        <w:rPr>
          <w:rFonts w:hint="eastAsia" w:ascii="黑体" w:hAnsi="黑体" w:eastAsia="黑体" w:cs="黑体"/>
          <w:sz w:val="24"/>
          <w:szCs w:val="24"/>
          <w:lang w:val="en-US" w:eastAsia="zh-CN"/>
        </w:rPr>
        <w:t>4）要求相关清通服务必须使用高压管道清洗车、专业密封吸粪清运车等专业设备。</w:t>
      </w:r>
    </w:p>
    <w:p>
      <w:pPr>
        <w:widowControl w:val="0"/>
        <w:spacing w:line="440" w:lineRule="exact"/>
        <w:rPr>
          <w:rFonts w:hint="eastAsia" w:ascii="黑体" w:hAnsi="黑体" w:eastAsia="黑体" w:cs="黑体"/>
          <w:b/>
          <w:bCs/>
          <w:color w:val="auto"/>
          <w:sz w:val="24"/>
          <w:szCs w:val="24"/>
        </w:rPr>
      </w:pPr>
      <w:r>
        <w:rPr>
          <w:rFonts w:hint="eastAsia" w:ascii="黑体" w:hAnsi="黑体" w:eastAsia="黑体" w:cs="黑体"/>
          <w:color w:val="auto"/>
          <w:kern w:val="0"/>
          <w:sz w:val="28"/>
        </w:rPr>
        <w:t xml:space="preserve">  </w:t>
      </w:r>
      <w:r>
        <w:rPr>
          <w:rFonts w:hint="eastAsia" w:ascii="黑体" w:hAnsi="黑体" w:eastAsia="黑体" w:cs="黑体"/>
          <w:color w:val="auto"/>
          <w:kern w:val="0"/>
          <w:sz w:val="28"/>
          <w:lang w:val="en-US" w:eastAsia="zh-CN"/>
        </w:rPr>
        <w:t xml:space="preserve"> </w:t>
      </w:r>
      <w:r>
        <w:rPr>
          <w:rFonts w:hint="eastAsia" w:ascii="黑体" w:hAnsi="黑体" w:eastAsia="黑体" w:cs="黑体"/>
          <w:b/>
          <w:bCs/>
          <w:color w:val="auto"/>
          <w:sz w:val="24"/>
          <w:szCs w:val="24"/>
          <w:lang w:val="en-US" w:eastAsia="zh-CN"/>
        </w:rPr>
        <w:t>9</w:t>
      </w:r>
      <w:r>
        <w:rPr>
          <w:rFonts w:hint="eastAsia" w:ascii="黑体" w:hAnsi="黑体" w:eastAsia="黑体" w:cs="黑体"/>
          <w:b/>
          <w:bCs/>
          <w:color w:val="auto"/>
          <w:sz w:val="24"/>
          <w:szCs w:val="24"/>
        </w:rPr>
        <w:t>、人员要求</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lang w:val="en-US" w:eastAsia="zh-CN"/>
        </w:rPr>
        <w:t>9</w:t>
      </w:r>
      <w:r>
        <w:rPr>
          <w:rFonts w:hint="eastAsia" w:ascii="黑体" w:hAnsi="黑体" w:eastAsia="黑体" w:cs="黑体"/>
          <w:color w:val="auto"/>
          <w:sz w:val="24"/>
          <w:szCs w:val="24"/>
        </w:rPr>
        <w:t>.</w:t>
      </w:r>
      <w:r>
        <w:rPr>
          <w:rFonts w:hint="eastAsia" w:ascii="黑体" w:hAnsi="黑体" w:eastAsia="黑体" w:cs="黑体"/>
          <w:color w:val="auto"/>
          <w:sz w:val="24"/>
          <w:szCs w:val="24"/>
          <w:lang w:val="hr-HR"/>
        </w:rPr>
        <w:t>1物业管理服务人员按岗位要求统一着装、言行规范，要注意仪容仪表、公众形象，一些公众岗位录用人员体型、身高要有规定。</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lang w:val="en-US" w:eastAsia="zh-CN"/>
        </w:rPr>
        <w:t>9</w:t>
      </w:r>
      <w:r>
        <w:rPr>
          <w:rFonts w:hint="eastAsia" w:ascii="黑体" w:hAnsi="黑体" w:eastAsia="黑体" w:cs="黑体"/>
          <w:color w:val="auto"/>
          <w:sz w:val="24"/>
          <w:szCs w:val="24"/>
          <w:lang w:val="hr-HR"/>
        </w:rPr>
        <w:t>.2中标人应制订切实可行的管理规章制度、各岗位工作计划、工作流程、员工守则等，负责抓好员工思想教育、业务培训，加强班组建设，营造良好的企业文化氛围。</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lang w:val="hr-HR"/>
        </w:rPr>
      </w:pPr>
      <w:r>
        <w:rPr>
          <w:rFonts w:hint="eastAsia" w:ascii="黑体" w:hAnsi="黑体" w:eastAsia="黑体" w:cs="黑体"/>
          <w:color w:val="auto"/>
          <w:sz w:val="24"/>
          <w:szCs w:val="24"/>
          <w:lang w:val="en-US" w:eastAsia="zh-CN"/>
        </w:rPr>
        <w:t>9</w:t>
      </w:r>
      <w:r>
        <w:rPr>
          <w:rFonts w:hint="eastAsia" w:ascii="黑体" w:hAnsi="黑体" w:eastAsia="黑体" w:cs="黑体"/>
          <w:color w:val="auto"/>
          <w:sz w:val="24"/>
          <w:szCs w:val="24"/>
        </w:rPr>
        <w:t>.3</w:t>
      </w:r>
      <w:r>
        <w:rPr>
          <w:rFonts w:hint="eastAsia" w:ascii="黑体" w:hAnsi="黑体" w:eastAsia="黑体" w:cs="黑体"/>
          <w:color w:val="auto"/>
          <w:sz w:val="24"/>
          <w:szCs w:val="24"/>
          <w:lang w:val="hr-HR"/>
        </w:rPr>
        <w:t>保安人员用工要求，</w:t>
      </w:r>
      <w:r>
        <w:rPr>
          <w:rFonts w:hint="eastAsia" w:ascii="黑体" w:hAnsi="黑体" w:eastAsia="黑体" w:cs="黑体"/>
          <w:color w:val="auto"/>
          <w:sz w:val="24"/>
          <w:szCs w:val="24"/>
          <w:lang w:val="en-US" w:eastAsia="zh-CN"/>
        </w:rPr>
        <w:t>在法定用工年龄</w:t>
      </w:r>
      <w:r>
        <w:rPr>
          <w:rFonts w:hint="eastAsia" w:ascii="黑体" w:hAnsi="黑体" w:eastAsia="黑体" w:cs="黑体"/>
          <w:color w:val="auto"/>
          <w:sz w:val="24"/>
          <w:szCs w:val="24"/>
          <w:lang w:val="hr-HR"/>
        </w:rPr>
        <w:t>符合有关用工规定，有过类似从业经历</w:t>
      </w:r>
      <w:r>
        <w:rPr>
          <w:rFonts w:hint="eastAsia" w:ascii="黑体" w:hAnsi="黑体" w:eastAsia="黑体" w:cs="黑体"/>
          <w:color w:val="auto"/>
          <w:sz w:val="24"/>
          <w:szCs w:val="24"/>
          <w:lang w:val="en-US" w:eastAsia="zh-CN"/>
        </w:rPr>
        <w:t>，</w:t>
      </w:r>
      <w:r>
        <w:rPr>
          <w:rFonts w:hint="eastAsia" w:ascii="黑体" w:hAnsi="黑体" w:eastAsia="黑体" w:cs="黑体"/>
          <w:color w:val="auto"/>
          <w:sz w:val="24"/>
          <w:szCs w:val="24"/>
          <w:lang w:val="hr-HR"/>
        </w:rPr>
        <w:t>身体健康</w:t>
      </w:r>
      <w:r>
        <w:rPr>
          <w:rFonts w:hint="eastAsia" w:ascii="黑体" w:hAnsi="黑体" w:eastAsia="黑体" w:cs="黑体"/>
          <w:color w:val="auto"/>
          <w:sz w:val="24"/>
          <w:szCs w:val="24"/>
          <w:lang w:val="hr-HR" w:eastAsia="zh-CN"/>
        </w:rPr>
        <w:t>、</w:t>
      </w:r>
      <w:r>
        <w:rPr>
          <w:rFonts w:hint="eastAsia" w:ascii="黑体" w:hAnsi="黑体" w:eastAsia="黑体" w:cs="黑体"/>
          <w:color w:val="auto"/>
          <w:sz w:val="24"/>
          <w:szCs w:val="24"/>
          <w:lang w:val="hr-HR"/>
        </w:rPr>
        <w:t>五官端正、能使用普通话和潮汕话正常对话的。</w:t>
      </w:r>
    </w:p>
    <w:p>
      <w:pPr>
        <w:pStyle w:val="3"/>
        <w:spacing w:before="0" w:beforeAutospacing="0" w:after="0" w:afterAutospacing="0" w:line="360" w:lineRule="auto"/>
        <w:ind w:right="424"/>
        <w:jc w:val="both"/>
        <w:rPr>
          <w:rFonts w:hint="eastAsia" w:ascii="黑体" w:hAnsi="黑体" w:eastAsia="黑体" w:cs="黑体"/>
          <w:b/>
          <w:bCs/>
          <w:color w:val="FF0000"/>
          <w:kern w:val="2"/>
          <w:sz w:val="24"/>
          <w:szCs w:val="24"/>
        </w:rPr>
      </w:pPr>
      <w:r>
        <w:rPr>
          <w:rFonts w:hint="eastAsia" w:ascii="黑体" w:hAnsi="黑体" w:eastAsia="黑体" w:cs="黑体"/>
          <w:b/>
          <w:bCs/>
          <w:color w:val="FF0000"/>
          <w:kern w:val="2"/>
          <w:sz w:val="24"/>
          <w:szCs w:val="24"/>
          <w:lang w:eastAsia="zh-CN"/>
        </w:rPr>
        <w:t>四</w:t>
      </w:r>
      <w:r>
        <w:rPr>
          <w:rFonts w:hint="eastAsia" w:ascii="黑体" w:hAnsi="黑体" w:eastAsia="黑体" w:cs="黑体"/>
          <w:b/>
          <w:bCs/>
          <w:color w:val="FF0000"/>
          <w:kern w:val="2"/>
          <w:sz w:val="24"/>
          <w:szCs w:val="24"/>
        </w:rPr>
        <w:t>、付款方式：</w:t>
      </w:r>
    </w:p>
    <w:p>
      <w:pPr>
        <w:spacing w:line="360" w:lineRule="auto"/>
        <w:ind w:firstLine="480" w:firstLineChars="200"/>
        <w:rPr>
          <w:rFonts w:hint="eastAsia" w:ascii="黑体" w:hAnsi="黑体" w:eastAsia="黑体" w:cs="黑体"/>
          <w:color w:val="FF0000"/>
          <w:lang w:val="hr-HR"/>
        </w:rPr>
      </w:pPr>
      <w:r>
        <w:rPr>
          <w:rFonts w:hint="eastAsia" w:ascii="黑体" w:hAnsi="黑体" w:eastAsia="黑体" w:cs="黑体"/>
          <w:color w:val="FF0000"/>
          <w:sz w:val="24"/>
          <w:szCs w:val="24"/>
        </w:rPr>
        <w:t>付款方式：合同期内按月支付，</w:t>
      </w:r>
      <w:r>
        <w:rPr>
          <w:rFonts w:hint="eastAsia" w:ascii="黑体" w:hAnsi="黑体" w:eastAsia="黑体" w:cs="黑体"/>
          <w:color w:val="FF0000"/>
          <w:sz w:val="24"/>
          <w:szCs w:val="24"/>
          <w:lang w:val="hr-HR"/>
        </w:rPr>
        <w:t>由</w:t>
      </w:r>
      <w:r>
        <w:rPr>
          <w:rFonts w:hint="eastAsia" w:ascii="黑体" w:hAnsi="黑体" w:eastAsia="黑体" w:cs="黑体"/>
          <w:color w:val="FF0000"/>
          <w:sz w:val="24"/>
          <w:szCs w:val="24"/>
        </w:rPr>
        <w:t>乙方</w:t>
      </w:r>
      <w:r>
        <w:rPr>
          <w:rFonts w:hint="eastAsia" w:ascii="黑体" w:hAnsi="黑体" w:eastAsia="黑体" w:cs="黑体"/>
          <w:color w:val="FF0000"/>
          <w:sz w:val="24"/>
          <w:szCs w:val="24"/>
          <w:lang w:val="hr-HR"/>
        </w:rPr>
        <w:t>提交有效发票到甲方收取服务管理费，甲方在收到发票后</w:t>
      </w:r>
      <w:r>
        <w:rPr>
          <w:rFonts w:hint="eastAsia" w:ascii="黑体" w:hAnsi="黑体" w:eastAsia="黑体" w:cs="黑体"/>
          <w:color w:val="FF0000"/>
          <w:sz w:val="24"/>
          <w:szCs w:val="24"/>
          <w:lang w:val="en-US" w:eastAsia="zh-CN"/>
        </w:rPr>
        <w:t>1</w:t>
      </w:r>
      <w:r>
        <w:rPr>
          <w:rFonts w:hint="eastAsia" w:ascii="黑体" w:hAnsi="黑体" w:eastAsia="黑体" w:cs="黑体"/>
          <w:color w:val="FF0000"/>
          <w:sz w:val="24"/>
          <w:szCs w:val="24"/>
        </w:rPr>
        <w:t>5个工作日内</w:t>
      </w:r>
      <w:r>
        <w:rPr>
          <w:rFonts w:hint="eastAsia" w:ascii="黑体" w:hAnsi="黑体" w:eastAsia="黑体" w:cs="黑体"/>
          <w:color w:val="FF0000"/>
          <w:sz w:val="24"/>
          <w:szCs w:val="24"/>
          <w:lang w:val="hr-HR"/>
        </w:rPr>
        <w:t>以转帐方式支付给</w:t>
      </w:r>
      <w:r>
        <w:rPr>
          <w:rFonts w:hint="eastAsia" w:ascii="黑体" w:hAnsi="黑体" w:eastAsia="黑体" w:cs="黑体"/>
          <w:color w:val="FF0000"/>
          <w:sz w:val="24"/>
          <w:szCs w:val="24"/>
        </w:rPr>
        <w:t>乙方，如有特殊情况，付款时间和方式可另行商定；若不属于本合同约定服务范围内的项目而</w:t>
      </w:r>
      <w:r>
        <w:rPr>
          <w:rFonts w:hint="eastAsia" w:ascii="黑体" w:hAnsi="黑体" w:eastAsia="黑体" w:cs="黑体"/>
          <w:color w:val="FF0000"/>
          <w:sz w:val="24"/>
          <w:szCs w:val="24"/>
          <w:lang w:val="hr-HR"/>
        </w:rPr>
        <w:t>甲方</w:t>
      </w:r>
      <w:r>
        <w:rPr>
          <w:rFonts w:hint="eastAsia" w:ascii="黑体" w:hAnsi="黑体" w:eastAsia="黑体" w:cs="黑体"/>
          <w:color w:val="FF0000"/>
          <w:sz w:val="24"/>
          <w:szCs w:val="24"/>
        </w:rPr>
        <w:t>要求服务的，其发生的费用由双方协商后另行支付。</w:t>
      </w:r>
    </w:p>
    <w:p>
      <w:pPr>
        <w:widowControl w:val="0"/>
        <w:adjustRightInd w:val="0"/>
        <w:snapToGrid w:val="0"/>
        <w:spacing w:line="440" w:lineRule="exact"/>
        <w:jc w:val="both"/>
        <w:rPr>
          <w:rFonts w:hint="eastAsia" w:ascii="黑体" w:hAnsi="黑体" w:eastAsia="黑体" w:cs="黑体"/>
          <w:b/>
          <w:color w:val="auto"/>
          <w:sz w:val="24"/>
          <w:szCs w:val="24"/>
        </w:rPr>
      </w:pPr>
      <w:r>
        <w:rPr>
          <w:rFonts w:hint="eastAsia" w:ascii="黑体" w:hAnsi="黑体" w:eastAsia="黑体" w:cs="黑体"/>
          <w:b/>
          <w:color w:val="auto"/>
          <w:sz w:val="24"/>
          <w:szCs w:val="24"/>
          <w:lang w:eastAsia="zh-CN"/>
        </w:rPr>
        <w:t>五</w:t>
      </w:r>
      <w:r>
        <w:rPr>
          <w:rFonts w:hint="eastAsia" w:ascii="黑体" w:hAnsi="黑体" w:eastAsia="黑体" w:cs="黑体"/>
          <w:b/>
          <w:color w:val="auto"/>
          <w:sz w:val="24"/>
          <w:szCs w:val="24"/>
        </w:rPr>
        <w:t>、其他事项</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1、中标人全力配合采购人完成各项突击任务（如大型接待、防台风等），及时提供临时辅助性人员，满足采购人的需要，并保证物业管理服务员工服从采购人的工作安排。加班费及误餐费由采购人按实支付给中标人。</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2、根据采购人要求中标人派遣人员开展其他日常相关专项服务工作，如高空外墙清洗、化粪池下水道清通、环境防疫消毒服务、大埋石、花岗岩地面的晶面专业处理、临时应急重大活动增员等，中标人应积极配合完成，所产生劳务等相关费用按实支付给中标人。</w:t>
      </w:r>
    </w:p>
    <w:p>
      <w:pPr>
        <w:widowControl w:val="0"/>
        <w:adjustRightInd w:val="0"/>
        <w:snapToGrid w:val="0"/>
        <w:spacing w:line="440" w:lineRule="exact"/>
        <w:ind w:firstLine="480" w:firstLineChars="200"/>
        <w:jc w:val="both"/>
        <w:rPr>
          <w:rFonts w:hint="eastAsia" w:ascii="黑体" w:hAnsi="黑体" w:eastAsia="黑体" w:cs="黑体"/>
          <w:color w:val="auto"/>
          <w:sz w:val="24"/>
          <w:szCs w:val="24"/>
        </w:rPr>
      </w:pPr>
      <w:r>
        <w:rPr>
          <w:rFonts w:hint="eastAsia" w:ascii="黑体" w:hAnsi="黑体" w:eastAsia="黑体" w:cs="黑体"/>
          <w:color w:val="auto"/>
          <w:sz w:val="24"/>
          <w:szCs w:val="24"/>
        </w:rPr>
        <w:t>3、采购人如</w:t>
      </w:r>
      <w:r>
        <w:rPr>
          <w:rFonts w:hint="eastAsia" w:ascii="黑体" w:hAnsi="黑体" w:eastAsia="黑体" w:cs="黑体"/>
          <w:color w:val="auto"/>
          <w:sz w:val="24"/>
          <w:szCs w:val="24"/>
          <w:lang w:val="hr-HR"/>
        </w:rPr>
        <w:t>遇其他不包括在《用户采购需求书》里的服务要求，可委托中标人提供服务，费用由采购人负责，付费方式及费用由双方协商。</w:t>
      </w:r>
    </w:p>
    <w:p>
      <w:pPr>
        <w:widowControl w:val="0"/>
        <w:spacing w:line="440" w:lineRule="exact"/>
        <w:ind w:firstLine="480" w:firstLineChars="200"/>
        <w:jc w:val="both"/>
        <w:rPr>
          <w:rFonts w:hint="eastAsia" w:ascii="黑体" w:hAnsi="黑体" w:eastAsia="黑体" w:cs="黑体"/>
          <w:color w:val="auto"/>
          <w:sz w:val="24"/>
          <w:szCs w:val="24"/>
          <w:shd w:val="clear" w:color="FFFFFF" w:fill="D9D9D9"/>
        </w:rPr>
      </w:pPr>
      <w:r>
        <w:rPr>
          <w:rFonts w:hint="eastAsia" w:ascii="黑体" w:hAnsi="黑体" w:eastAsia="黑体" w:cs="黑体"/>
          <w:color w:val="auto"/>
          <w:sz w:val="24"/>
          <w:szCs w:val="24"/>
        </w:rPr>
        <w:t>4、委托管理合同期拟定为一年。服务期限内每季度进行综合考评，采购人对中标人进行定期与不定期检查和监督，对检查中发现的问题可口头或书面通知中标人并限期整改，对中标人个别素质不符合使用要求的员工，采购人有权用书面形式通知中标人辞退、调换。</w:t>
      </w:r>
    </w:p>
    <w:p>
      <w:pPr>
        <w:widowControl w:val="0"/>
        <w:autoSpaceDE w:val="0"/>
        <w:autoSpaceDN w:val="0"/>
        <w:adjustRightInd w:val="0"/>
        <w:spacing w:line="500" w:lineRule="exact"/>
        <w:jc w:val="both"/>
        <w:rPr>
          <w:rFonts w:hint="eastAsia" w:ascii="黑体" w:hAnsi="黑体" w:eastAsia="黑体" w:cs="黑体"/>
          <w:color w:val="auto"/>
          <w:sz w:val="28"/>
          <w:szCs w:val="28"/>
        </w:rPr>
      </w:pPr>
    </w:p>
    <w:p>
      <w:pPr>
        <w:widowControl w:val="0"/>
        <w:autoSpaceDE w:val="0"/>
        <w:autoSpaceDN w:val="0"/>
        <w:adjustRightInd w:val="0"/>
        <w:spacing w:line="500" w:lineRule="exact"/>
        <w:jc w:val="both"/>
        <w:rPr>
          <w:rFonts w:hint="eastAsia" w:ascii="黑体" w:hAnsi="黑体" w:eastAsia="黑体" w:cs="黑体"/>
          <w:color w:val="auto"/>
          <w:sz w:val="28"/>
          <w:szCs w:val="28"/>
        </w:rPr>
      </w:pPr>
      <w:r>
        <w:rPr>
          <w:rFonts w:hint="eastAsia" w:ascii="黑体" w:hAnsi="黑体" w:eastAsia="黑体" w:cs="黑体"/>
          <w:color w:val="auto"/>
          <w:sz w:val="28"/>
          <w:szCs w:val="28"/>
        </w:rPr>
        <w:br w:type="page"/>
      </w:r>
      <w:r>
        <w:rPr>
          <w:rFonts w:hint="eastAsia" w:ascii="黑体" w:hAnsi="黑体" w:eastAsia="黑体" w:cs="黑体"/>
          <w:color w:val="auto"/>
          <w:sz w:val="28"/>
          <w:szCs w:val="28"/>
        </w:rPr>
        <w:t>附表：</w:t>
      </w:r>
    </w:p>
    <w:p>
      <w:pPr>
        <w:widowControl w:val="0"/>
        <w:autoSpaceDE w:val="0"/>
        <w:autoSpaceDN w:val="0"/>
        <w:adjustRightInd w:val="0"/>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物业管理服务质量考核表</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4"/>
        <w:gridCol w:w="2746"/>
        <w:gridCol w:w="3440"/>
        <w:gridCol w:w="1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序号</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考核项目</w:t>
            </w:r>
          </w:p>
        </w:tc>
        <w:tc>
          <w:tcPr>
            <w:tcW w:w="3440"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评价意见（请在相应选项打√）</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1</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服务人员形象规范性</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2</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服务人员服务态度</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3</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管理制度规范性</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4</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物业服务及时性</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5</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服务需求响应程度</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6</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安全生产管理</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7</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安全整改响应程度</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应急预案管理</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9</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协作主动性</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10</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沟通渠道畅顺程度</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（8分）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（6分）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（3分）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11</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投诉处理效率与效果</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（10分）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（10分）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（5分）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4"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12</w:t>
            </w:r>
          </w:p>
        </w:tc>
        <w:tc>
          <w:tcPr>
            <w:tcW w:w="2746"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总体服务质量</w:t>
            </w:r>
          </w:p>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（10分）</w:t>
            </w:r>
          </w:p>
        </w:tc>
        <w:tc>
          <w:tcPr>
            <w:tcW w:w="3440" w:type="dxa"/>
            <w:noWrap w:val="0"/>
            <w:vAlign w:val="center"/>
          </w:tcPr>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优秀</w:t>
            </w:r>
            <w:r>
              <w:rPr>
                <w:rFonts w:hint="eastAsia" w:ascii="黑体" w:hAnsi="黑体" w:eastAsia="黑体" w:cs="黑体"/>
                <w:color w:val="auto"/>
                <w:kern w:val="0"/>
                <w:sz w:val="28"/>
                <w:szCs w:val="24"/>
              </w:rPr>
              <w:t>（10分）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良好</w:t>
            </w:r>
            <w:r>
              <w:rPr>
                <w:rFonts w:hint="eastAsia" w:ascii="黑体" w:hAnsi="黑体" w:eastAsia="黑体" w:cs="黑体"/>
                <w:color w:val="auto"/>
                <w:kern w:val="0"/>
                <w:sz w:val="28"/>
                <w:szCs w:val="24"/>
              </w:rPr>
              <w:t>（8分）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一般</w:t>
            </w:r>
            <w:r>
              <w:rPr>
                <w:rFonts w:hint="eastAsia" w:ascii="黑体" w:hAnsi="黑体" w:eastAsia="黑体" w:cs="黑体"/>
                <w:color w:val="auto"/>
                <w:kern w:val="0"/>
                <w:sz w:val="28"/>
                <w:szCs w:val="24"/>
              </w:rPr>
              <w:t>（5分）</w:t>
            </w:r>
            <w:r>
              <w:rPr>
                <w:rFonts w:hint="eastAsia" w:ascii="黑体" w:hAnsi="黑体" w:eastAsia="黑体" w:cs="黑体"/>
                <w:color w:val="auto"/>
                <w:kern w:val="0"/>
                <w:sz w:val="24"/>
                <w:szCs w:val="24"/>
              </w:rPr>
              <w:t xml:space="preserve">□   </w:t>
            </w:r>
          </w:p>
          <w:p>
            <w:pPr>
              <w:widowControl w:val="0"/>
              <w:autoSpaceDE w:val="0"/>
              <w:autoSpaceDN w:val="0"/>
              <w:adjustRightInd w:val="0"/>
              <w:spacing w:line="300" w:lineRule="exact"/>
              <w:jc w:val="both"/>
              <w:rPr>
                <w:rFonts w:hint="eastAsia" w:ascii="黑体" w:hAnsi="黑体" w:eastAsia="黑体" w:cs="黑体"/>
                <w:color w:val="auto"/>
                <w:kern w:val="0"/>
                <w:sz w:val="24"/>
                <w:szCs w:val="24"/>
              </w:rPr>
            </w:pPr>
            <w:r>
              <w:rPr>
                <w:rFonts w:hint="eastAsia" w:ascii="黑体" w:hAnsi="黑体" w:eastAsia="黑体" w:cs="黑体"/>
                <w:color w:val="auto"/>
                <w:kern w:val="0"/>
                <w:sz w:val="24"/>
                <w:szCs w:val="24"/>
              </w:rPr>
              <w:t>较差</w:t>
            </w:r>
            <w:r>
              <w:rPr>
                <w:rFonts w:hint="eastAsia" w:ascii="黑体" w:hAnsi="黑体" w:eastAsia="黑体" w:cs="黑体"/>
                <w:color w:val="auto"/>
                <w:kern w:val="0"/>
                <w:sz w:val="28"/>
                <w:szCs w:val="24"/>
              </w:rPr>
              <w:t>（0分）</w:t>
            </w:r>
            <w:r>
              <w:rPr>
                <w:rFonts w:hint="eastAsia" w:ascii="黑体" w:hAnsi="黑体" w:eastAsia="黑体" w:cs="黑体"/>
                <w:color w:val="auto"/>
                <w:kern w:val="0"/>
                <w:sz w:val="24"/>
                <w:szCs w:val="24"/>
              </w:rPr>
              <w:t>□</w:t>
            </w:r>
          </w:p>
        </w:tc>
        <w:tc>
          <w:tcPr>
            <w:tcW w:w="1359" w:type="dxa"/>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184" w:type="dxa"/>
            <w:noWrap w:val="0"/>
            <w:vAlign w:val="center"/>
          </w:tcPr>
          <w:p>
            <w:pPr>
              <w:widowControl w:val="0"/>
              <w:spacing w:line="300" w:lineRule="exact"/>
              <w:jc w:val="center"/>
              <w:rPr>
                <w:rFonts w:hint="eastAsia" w:ascii="黑体" w:hAnsi="黑体" w:eastAsia="黑体" w:cs="黑体"/>
                <w:color w:val="auto"/>
                <w:szCs w:val="24"/>
              </w:rPr>
            </w:pPr>
            <w:r>
              <w:rPr>
                <w:rFonts w:hint="eastAsia" w:ascii="黑体" w:hAnsi="黑体" w:eastAsia="黑体" w:cs="黑体"/>
                <w:color w:val="auto"/>
                <w:szCs w:val="24"/>
              </w:rPr>
              <w:t>考评结果</w:t>
            </w:r>
          </w:p>
        </w:tc>
        <w:tc>
          <w:tcPr>
            <w:tcW w:w="7545" w:type="dxa"/>
            <w:gridSpan w:val="3"/>
            <w:noWrap w:val="0"/>
            <w:vAlign w:val="center"/>
          </w:tcPr>
          <w:p>
            <w:pPr>
              <w:widowControl w:val="0"/>
              <w:autoSpaceDE w:val="0"/>
              <w:autoSpaceDN w:val="0"/>
              <w:adjustRightInd w:val="0"/>
              <w:spacing w:line="300" w:lineRule="exact"/>
              <w:jc w:val="center"/>
              <w:rPr>
                <w:rFonts w:hint="eastAsia" w:ascii="黑体" w:hAnsi="黑体" w:eastAsia="黑体" w:cs="黑体"/>
                <w:color w:val="auto"/>
                <w:kern w:val="0"/>
                <w:sz w:val="24"/>
                <w:szCs w:val="24"/>
              </w:rPr>
            </w:pPr>
            <w:r>
              <w:rPr>
                <w:rFonts w:hint="eastAsia" w:ascii="黑体" w:hAnsi="黑体" w:eastAsia="黑体" w:cs="黑体"/>
                <w:color w:val="auto"/>
                <w:szCs w:val="24"/>
              </w:rPr>
              <w:t>数合计（满分100分）</w:t>
            </w:r>
          </w:p>
        </w:tc>
      </w:tr>
    </w:tbl>
    <w:p>
      <w:r>
        <w:rPr>
          <w:rFonts w:hint="eastAsia" w:ascii="黑体" w:hAnsi="黑体" w:eastAsia="黑体" w:cs="黑体"/>
          <w:color w:val="auto"/>
          <w:kern w:val="0"/>
          <w:sz w:val="28"/>
          <w:szCs w:val="24"/>
        </w:rPr>
        <w:t>考核单位（盖章）：                    被考核单位（盖章）：</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imes">
    <w:altName w:val="Times New Roman"/>
    <w:panose1 w:val="02020603050405020304"/>
    <w:charset w:val="00"/>
    <w:family w:val="roman"/>
    <w:pitch w:val="default"/>
    <w:sig w:usb0="00000000" w:usb1="00000000"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FF5973"/>
    <w:rsid w:val="51FF59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表格文字"/>
    <w:basedOn w:val="1"/>
    <w:next w:val="3"/>
    <w:qFormat/>
    <w:uiPriority w:val="0"/>
    <w:pPr>
      <w:spacing w:before="25" w:beforeLines="0" w:after="25" w:afterLines="0" w:line="300" w:lineRule="auto"/>
    </w:pPr>
    <w:rPr>
      <w:rFonts w:ascii="Times" w:hAnsi="Times"/>
      <w:spacing w:val="10"/>
      <w:kern w:val="0"/>
      <w:szCs w:val="20"/>
    </w:rPr>
  </w:style>
  <w:style w:type="paragraph" w:styleId="3">
    <w:name w:val="Body Text"/>
    <w:basedOn w:val="1"/>
    <w:next w:val="1"/>
    <w:qFormat/>
    <w:uiPriority w:val="0"/>
    <w:pPr>
      <w:spacing w:after="12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2021-12-01T08:04:00Z</dcterms:created>
  <dc:creator>M.</dc:creator>
  <cp:lastModifiedBy>M.</cp:lastModifiedBy>
  <dcterms:modified xsi:type="dcterms:W3CDTF">2021-12-01T08:04:40Z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C29CD03EE2DC4449AB2CC879FDD815C1</vt:lpwstr>
  </property>
</Properties>
</file>