
<file path=[Content_Types].xml><?xml version="1.0" encoding="utf-8"?>
<Types xmlns="http://schemas.openxmlformats.org/package/2006/content-types">
  <Default Extension="rels" ContentType="application/vnd.openxmlformats-package.relationships+xml"/>
  <Default Extension="xml" ContentType="application/xml"/>
  <Override PartName="/word/settings.xml" ContentType="application/vnd.openxmlformats-officedocument.wordprocessingml.setting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a14="http://schemas.microsoft.com/office/drawing/2010/main" mc:Ignorable="w14">
  <w:body>
    <w:p>
      <w:pPr>
        <w:pStyle w:val="17"/>
        <w:rPr>
          <w:rFonts w:ascii="宋体" w:eastAsia="宋体"/>
          <w:color w:val="000000"/>
        </w:rPr>
      </w:pPr>
      <w:r>
        <w:rPr>
          <w:rFonts w:ascii="宋体" w:eastAsia="宋体" w:hint="eastAsia"/>
          <w:color w:val="000000"/>
        </w:rPr>
        <w:t>A06493《增值税纳税申报表（一般纳税人适用）》</w:t>
      </w:r>
    </w:p>
    <w:p>
      <w:pPr>
        <w:pStyle w:val="18"/>
        <w:keepNext/>
        <w:widowControl/>
        <w:topLinePunct/>
        <w:adjustRightInd w:val="0"/>
        <w:ind w:firstLine="403"/>
        <w:rPr>
          <w:rFonts w:ascii="宋体" w:eastAsia="宋体"/>
          <w:color w:val="000000"/>
        </w:rPr>
      </w:pPr>
      <w:bookmarkStart w:id="0" w:name="_GoBack"/>
      <w:bookmarkEnd w:id="0"/>
    </w:p>
    <w:tbl>
      <w:tblPr>
        <w:jc w:val="left"/>
        <w:tblInd w:w="0" w:type="dxa"/>
        <w:tblW w:w="8516" w:type="dxa"/>
        <w:tblBorders>
          <w:top w:val="none" w:sz="0" w:space="0" w:color="auto"/>
          <w:left w:val="none" w:sz="0" w:space="0" w:color="auto"/>
          <w:bottom w:val="none" w:sz="0" w:space="0" w:color="auto"/>
          <w:right w:val="none" w:sz="0" w:space="0" w:color="auto"/>
        </w:tblBorders>
        <w:tblLayout w:type="fixed"/>
        <w:tblCellMar>
          <w:top w:w="0" w:type="dxa"/>
          <w:left w:w="0" w:type="dxa"/>
          <w:bottom w:w="0" w:type="dxa"/>
          <w:right w:w="0" w:type="dxa"/>
        </w:tblCellMar>
      </w:tblPr>
      <w:tblGrid>
        <w:gridCol w:w="1180"/>
        <w:gridCol w:w="7"/>
        <w:gridCol w:w="37"/>
        <w:gridCol w:w="181"/>
        <w:gridCol w:w="191"/>
        <w:gridCol w:w="191"/>
        <w:gridCol w:w="190"/>
        <w:gridCol w:w="190"/>
        <w:gridCol w:w="190"/>
        <w:gridCol w:w="190"/>
        <w:gridCol w:w="190"/>
        <w:gridCol w:w="191"/>
        <w:gridCol w:w="156"/>
        <w:gridCol w:w="156"/>
        <w:gridCol w:w="156"/>
        <w:gridCol w:w="167"/>
        <w:gridCol w:w="153"/>
        <w:gridCol w:w="146"/>
        <w:gridCol w:w="146"/>
        <w:gridCol w:w="146"/>
        <w:gridCol w:w="131"/>
        <w:gridCol w:w="131"/>
        <w:gridCol w:w="203"/>
        <w:gridCol w:w="208"/>
        <w:gridCol w:w="203"/>
        <w:gridCol w:w="203"/>
        <w:gridCol w:w="199"/>
        <w:gridCol w:w="199"/>
        <w:gridCol w:w="199"/>
        <w:gridCol w:w="20"/>
        <w:gridCol w:w="22"/>
        <w:gridCol w:w="380"/>
        <w:gridCol w:w="705"/>
        <w:gridCol w:w="425"/>
        <w:gridCol w:w="120"/>
        <w:gridCol w:w="206"/>
        <w:gridCol w:w="808"/>
      </w:tblGrid>
      <w:tr>
        <w:trPr>
          <w:trHeight w:val="360"/>
        </w:trPr>
        <w:tc>
          <w:tcPr>
            <w:tcW w:w="8516" w:type="dxa"/>
            <w:gridSpan w:val="37"/>
            <w:tcBorders>
              <w:top w:val="nil"/>
              <w:left w:val="nil"/>
              <w:bottom w:val="nil"/>
              <w:right w:val="nil"/>
            </w:tcBorders>
            <w:noWrap/>
            <w:tcMar>
              <w:top w:w="11" w:type="dxa"/>
              <w:left w:w="11" w:type="dxa"/>
              <w:right w:w="11" w:type="dxa"/>
            </w:tcMar>
            <w:vAlign w:val="center"/>
          </w:tcPr>
          <w:p>
            <w:pPr>
              <w:pStyle w:val="21"/>
              <w:jc w:val="center"/>
              <w:rPr>
                <w:rFonts w:ascii="宋体" w:cs="宋体" w:hAnsi="宋体"/>
                <w:b/>
                <w:bCs/>
                <w:color w:val="000000"/>
                <w:sz w:val="28"/>
                <w:szCs w:val="28"/>
              </w:rPr>
            </w:pPr>
            <w:r>
              <w:rPr>
                <w:rFonts w:ascii="宋体" w:cs="宋体" w:hAnsi="宋体" w:hint="eastAsia"/>
                <w:b/>
                <w:bCs/>
                <w:color w:val="000000"/>
                <w:sz w:val="28"/>
                <w:szCs w:val="28"/>
              </w:rPr>
              <w:t>增值税纳税申报表</w:t>
            </w:r>
          </w:p>
        </w:tc>
      </w:tr>
      <w:tr>
        <w:trPr>
          <w:trHeight w:val="398"/>
        </w:trPr>
        <w:tc>
          <w:tcPr>
            <w:tcW w:w="8516" w:type="dxa"/>
            <w:gridSpan w:val="37"/>
            <w:tcBorders>
              <w:top w:val="nil"/>
              <w:left w:val="nil"/>
              <w:bottom w:val="nil"/>
              <w:right w:val="nil"/>
            </w:tcBorders>
            <w:noWrap/>
            <w:tcMar>
              <w:top w:w="11" w:type="dxa"/>
              <w:left w:w="11" w:type="dxa"/>
              <w:right w:w="11" w:type="dxa"/>
            </w:tcMar>
            <w:vAlign w:val="center"/>
          </w:tcPr>
          <w:p>
            <w:pPr>
              <w:pStyle w:val="21"/>
              <w:jc w:val="center"/>
              <w:rPr>
                <w:rFonts w:ascii="宋体" w:cs="宋体" w:hAnsi="宋体"/>
                <w:b/>
                <w:bCs/>
                <w:color w:val="000000"/>
              </w:rPr>
            </w:pPr>
            <w:r>
              <w:rPr>
                <w:rFonts w:ascii="宋体" w:cs="宋体" w:hAnsi="宋体" w:hint="eastAsia"/>
                <w:b/>
                <w:bCs/>
                <w:color w:val="000000"/>
              </w:rPr>
              <w:t>（一般纳税人</w:t>
            </w:r>
            <w:r>
              <w:rPr>
                <w:rFonts w:ascii="宋体" w:eastAsia="宋体" w:cs="宋体" w:hint="eastAsia"/>
                <w:b/>
                <w:bCs/>
                <w:color w:val="000000"/>
              </w:rPr>
              <w:t>适用</w:t>
            </w:r>
            <w:r>
              <w:rPr>
                <w:rFonts w:ascii="宋体" w:cs="宋体" w:hAnsi="宋体" w:hint="eastAsia"/>
                <w:b/>
                <w:bCs/>
                <w:color w:val="000000"/>
              </w:rPr>
              <w:t>）</w:t>
            </w:r>
          </w:p>
        </w:tc>
      </w:tr>
      <w:tr>
        <w:trPr>
          <w:trHeight w:val="615"/>
        </w:trPr>
        <w:tc>
          <w:tcPr>
            <w:tcW w:w="8516" w:type="dxa"/>
            <w:gridSpan w:val="37"/>
            <w:tcBorders>
              <w:top w:val="nil"/>
              <w:left w:val="nil"/>
              <w:bottom w:val="nil"/>
              <w:right w:val="nil"/>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根据国家税收法律法规及增值税相关规定制定本表。纳税人不论有无销售额，均应按税务机关核定的纳税期限填写本表，并向当地税务机关申报。</w:t>
            </w:r>
          </w:p>
        </w:tc>
      </w:tr>
      <w:tr>
        <w:trPr>
          <w:trHeight w:val="338"/>
        </w:trPr>
        <w:tc>
          <w:tcPr>
            <w:tcW w:w="3563" w:type="dxa"/>
            <w:gridSpan w:val="16"/>
            <w:tcBorders>
              <w:top w:val="nil"/>
              <w:left w:val="nil"/>
              <w:bottom w:val="single" w:sz="4" w:space="0" w:color="auto"/>
              <w:right w:val="nil"/>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税款所属时间：自</w:t>
            </w:r>
            <w:r>
              <w:rPr>
                <w:rFonts w:ascii="宋体" w:cs="宋体" w:hAnsi="宋体"/>
                <w:color w:val="FF0000"/>
                <w:sz w:val="18"/>
                <w:szCs w:val="18"/>
              </w:rPr>
              <w:t>XXXX</w:t>
            </w:r>
            <w:r>
              <w:rPr>
                <w:rFonts w:ascii="宋体" w:cs="宋体" w:hAnsi="宋体" w:hint="eastAsia"/>
                <w:color w:val="000000"/>
                <w:sz w:val="18"/>
                <w:szCs w:val="18"/>
              </w:rPr>
              <w:t>年</w:t>
            </w:r>
            <w:r>
              <w:rPr>
                <w:rFonts w:ascii="宋体" w:cs="宋体" w:hAnsi="宋体"/>
                <w:color w:val="FF0000"/>
                <w:sz w:val="18"/>
                <w:szCs w:val="18"/>
              </w:rPr>
              <w:t>XX</w:t>
            </w:r>
            <w:r>
              <w:rPr>
                <w:rFonts w:ascii="宋体" w:cs="宋体" w:hAnsi="宋体" w:hint="eastAsia"/>
                <w:color w:val="000000"/>
                <w:sz w:val="18"/>
                <w:szCs w:val="18"/>
              </w:rPr>
              <w:t>月</w:t>
            </w:r>
            <w:r>
              <w:rPr>
                <w:rFonts w:ascii="宋体" w:cs="宋体" w:hAnsi="宋体"/>
                <w:color w:val="FF0000"/>
                <w:sz w:val="18"/>
                <w:szCs w:val="18"/>
              </w:rPr>
              <w:t>XX</w:t>
            </w:r>
            <w:r>
              <w:rPr>
                <w:rFonts w:ascii="宋体" w:cs="宋体" w:hAnsi="宋体" w:hint="eastAsia"/>
                <w:color w:val="000000"/>
                <w:sz w:val="18"/>
                <w:szCs w:val="18"/>
              </w:rPr>
              <w:t>日至</w:t>
            </w:r>
            <w:r>
              <w:rPr>
                <w:rFonts w:ascii="宋体" w:cs="宋体" w:hAnsi="宋体"/>
                <w:color w:val="FF0000"/>
                <w:sz w:val="18"/>
                <w:szCs w:val="18"/>
              </w:rPr>
              <w:t>XXXX</w:t>
            </w:r>
            <w:r>
              <w:rPr>
                <w:rFonts w:ascii="宋体" w:cs="宋体" w:hAnsi="宋体" w:hint="eastAsia"/>
                <w:color w:val="000000"/>
                <w:sz w:val="18"/>
                <w:szCs w:val="18"/>
              </w:rPr>
              <w:t>年</w:t>
            </w:r>
            <w:r>
              <w:rPr>
                <w:rFonts w:ascii="宋体" w:cs="宋体" w:hAnsi="宋体"/>
                <w:color w:val="FF0000"/>
                <w:sz w:val="18"/>
                <w:szCs w:val="18"/>
              </w:rPr>
              <w:t>XX</w:t>
            </w:r>
            <w:r>
              <w:rPr>
                <w:rFonts w:ascii="宋体" w:cs="宋体" w:hAnsi="宋体" w:hint="eastAsia"/>
                <w:color w:val="000000"/>
                <w:sz w:val="18"/>
                <w:szCs w:val="18"/>
              </w:rPr>
              <w:t>月</w:t>
            </w:r>
            <w:r>
              <w:rPr>
                <w:rFonts w:ascii="宋体" w:cs="宋体" w:hAnsi="宋体"/>
                <w:color w:val="FF0000"/>
                <w:sz w:val="18"/>
                <w:szCs w:val="18"/>
              </w:rPr>
              <w:t>XX</w:t>
            </w:r>
            <w:r>
              <w:rPr>
                <w:rFonts w:ascii="宋体" w:cs="宋体" w:hAnsi="宋体" w:hint="eastAsia"/>
                <w:color w:val="000000"/>
                <w:sz w:val="18"/>
                <w:szCs w:val="18"/>
              </w:rPr>
              <w:t>日</w:t>
            </w:r>
          </w:p>
        </w:tc>
        <w:tc>
          <w:tcPr>
            <w:tcW w:w="1670" w:type="dxa"/>
            <w:gridSpan w:val="10"/>
            <w:tcBorders>
              <w:top w:val="nil"/>
              <w:left w:val="nil"/>
              <w:bottom w:val="single" w:sz="4" w:space="0" w:color="auto"/>
              <w:right w:val="nil"/>
            </w:tcBorders>
            <w:noWrap/>
            <w:tcMar>
              <w:top w:w="11" w:type="dxa"/>
              <w:left w:w="11" w:type="dxa"/>
              <w:right w:w="11" w:type="dxa"/>
            </w:tcMar>
            <w:vAlign w:val="center"/>
          </w:tcPr>
          <w:p>
            <w:pPr>
              <w:pStyle w:val="21"/>
              <w:jc w:val="center"/>
              <w:rPr>
                <w:rFonts w:ascii="宋体" w:cs="宋体" w:hAnsi="宋体"/>
                <w:color w:val="000000"/>
                <w:sz w:val="18"/>
                <w:szCs w:val="18"/>
              </w:rPr>
            </w:pPr>
            <w:r>
              <w:rPr>
                <w:rFonts w:ascii="宋体" w:cs="宋体" w:hAnsi="宋体" w:hint="eastAsia"/>
                <w:color w:val="000000"/>
                <w:sz w:val="18"/>
                <w:szCs w:val="18"/>
              </w:rPr>
              <w:t>填表日期：</w:t>
            </w:r>
            <w:r>
              <w:rPr>
                <w:rFonts w:ascii="宋体" w:cs="宋体" w:hAnsi="宋体"/>
                <w:color w:val="FF0000"/>
                <w:sz w:val="18"/>
                <w:szCs w:val="18"/>
              </w:rPr>
              <w:t>XXXX</w:t>
            </w:r>
            <w:r>
              <w:rPr>
                <w:rFonts w:ascii="宋体" w:cs="宋体" w:hAnsi="宋体" w:hint="eastAsia"/>
                <w:color w:val="000000"/>
                <w:sz w:val="18"/>
                <w:szCs w:val="18"/>
              </w:rPr>
              <w:t>年</w:t>
            </w:r>
            <w:r>
              <w:rPr>
                <w:rFonts w:ascii="宋体" w:cs="宋体" w:hAnsi="宋体"/>
                <w:color w:val="FF0000"/>
                <w:sz w:val="18"/>
                <w:szCs w:val="18"/>
              </w:rPr>
              <w:t>XX</w:t>
            </w:r>
            <w:r>
              <w:rPr>
                <w:rFonts w:ascii="宋体" w:cs="宋体" w:hAnsi="宋体" w:hint="eastAsia"/>
                <w:color w:val="000000"/>
                <w:sz w:val="18"/>
                <w:szCs w:val="18"/>
              </w:rPr>
              <w:t>月</w:t>
            </w:r>
            <w:r>
              <w:rPr>
                <w:rFonts w:ascii="宋体" w:cs="宋体" w:hAnsi="宋体"/>
                <w:color w:val="FF0000"/>
                <w:sz w:val="18"/>
                <w:szCs w:val="18"/>
              </w:rPr>
              <w:t>XX</w:t>
            </w:r>
            <w:r>
              <w:rPr>
                <w:rFonts w:ascii="宋体" w:cs="宋体" w:hAnsi="宋体" w:hint="eastAsia"/>
                <w:color w:val="000000"/>
                <w:sz w:val="18"/>
                <w:szCs w:val="18"/>
              </w:rPr>
              <w:t>日</w:t>
            </w:r>
          </w:p>
        </w:tc>
        <w:tc>
          <w:tcPr>
            <w:tcW w:w="617" w:type="dxa"/>
            <w:gridSpan w:val="4"/>
            <w:tcBorders>
              <w:top w:val="nil"/>
              <w:left w:val="nil"/>
              <w:right w:val="nil"/>
            </w:tcBorders>
            <w:noWrap/>
            <w:tcMar>
              <w:top w:w="11" w:type="dxa"/>
              <w:left w:w="11" w:type="dxa"/>
              <w:right w:w="11" w:type="dxa"/>
            </w:tcMar>
            <w:vAlign w:val="center"/>
          </w:tcPr>
          <w:p>
            <w:pPr>
              <w:pStyle w:val="21"/>
              <w:rPr>
                <w:rFonts w:ascii="宋体" w:cs="宋体" w:hAnsi="宋体"/>
                <w:color w:val="000000"/>
                <w:sz w:val="18"/>
                <w:szCs w:val="18"/>
              </w:rPr>
            </w:pPr>
          </w:p>
        </w:tc>
        <w:tc>
          <w:tcPr>
            <w:tcW w:w="1107" w:type="dxa"/>
            <w:gridSpan w:val="3"/>
            <w:tcBorders>
              <w:top w:val="nil"/>
              <w:left w:val="nil"/>
              <w:right w:val="nil"/>
            </w:tcBorders>
            <w:noWrap/>
            <w:tcMar>
              <w:top w:w="11" w:type="dxa"/>
              <w:left w:w="11" w:type="dxa"/>
              <w:right w:w="11" w:type="dxa"/>
            </w:tcMar>
            <w:vAlign w:val="center"/>
          </w:tcPr>
          <w:p>
            <w:pPr>
              <w:pStyle w:val="21"/>
              <w:rPr>
                <w:rFonts w:ascii="宋体" w:cs="宋体" w:hAnsi="宋体"/>
                <w:color w:val="000000"/>
                <w:sz w:val="18"/>
                <w:szCs w:val="18"/>
              </w:rPr>
            </w:pPr>
          </w:p>
        </w:tc>
        <w:tc>
          <w:tcPr>
            <w:tcW w:w="1559" w:type="dxa"/>
            <w:gridSpan w:val="4"/>
            <w:tcBorders>
              <w:top w:val="nil"/>
              <w:left w:val="nil"/>
              <w:right w:val="nil"/>
            </w:tcBorders>
            <w:noWrap/>
            <w:tcMar>
              <w:top w:w="11" w:type="dxa"/>
              <w:left w:w="11" w:type="dxa"/>
              <w:right w:w="11" w:type="dxa"/>
            </w:tcMar>
            <w:vAlign w:val="center"/>
          </w:tcPr>
          <w:p>
            <w:pPr>
              <w:pStyle w:val="21"/>
              <w:jc w:val="right"/>
              <w:rPr>
                <w:rFonts w:ascii="宋体" w:cs="宋体" w:hAnsi="宋体"/>
                <w:color w:val="000000"/>
                <w:sz w:val="18"/>
                <w:szCs w:val="18"/>
              </w:rPr>
            </w:pPr>
            <w:r>
              <w:rPr>
                <w:rFonts w:ascii="宋体" w:cs="宋体" w:hAnsi="宋体" w:hint="eastAsia"/>
                <w:color w:val="000000"/>
                <w:sz w:val="18"/>
                <w:szCs w:val="18"/>
              </w:rPr>
              <w:t>金额单位：元至角分</w:t>
            </w:r>
          </w:p>
        </w:tc>
      </w:tr>
      <w:tr>
        <w:trPr>
          <w:trHeight w:val="360"/>
          <w:gridAfter w:val="4"/>
          <w:wAfter w:w="1559" w:type="dxa"/>
        </w:trPr>
        <w:tc>
          <w:tcPr>
            <w:tcW w:w="1224" w:type="dxa"/>
            <w:gridSpan w:val="3"/>
            <w:tcBorders>
              <w:top w:val="single" w:sz="4" w:space="0" w:color="auto"/>
              <w:left w:val="single" w:sz="4" w:space="0" w:color="auto"/>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纳税人识别号</w:t>
            </w:r>
          </w:p>
        </w:tc>
        <w:tc>
          <w:tcPr>
            <w:tcW w:w="181" w:type="dxa"/>
            <w:tcBorders>
              <w:top w:val="single" w:sz="4" w:space="0" w:color="auto"/>
              <w:left w:val="single" w:sz="4" w:space="0" w:color="auto"/>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FF0000"/>
                <w:sz w:val="18"/>
                <w:szCs w:val="18"/>
              </w:rPr>
            </w:pPr>
            <w:r>
              <w:rPr>
                <w:rFonts w:ascii="宋体" w:cs="宋体" w:hAnsi="宋体"/>
                <w:color w:val="FF0000"/>
                <w:sz w:val="18"/>
                <w:szCs w:val="18"/>
              </w:rPr>
              <w:t>9</w:t>
            </w:r>
          </w:p>
        </w:tc>
        <w:tc>
          <w:tcPr>
            <w:tcW w:w="191" w:type="dxa"/>
            <w:tcBorders>
              <w:top w:val="single" w:sz="4" w:space="0" w:color="auto"/>
              <w:left w:val="single" w:sz="4" w:space="0" w:color="auto"/>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FF0000"/>
                <w:sz w:val="18"/>
                <w:szCs w:val="18"/>
              </w:rPr>
            </w:pPr>
            <w:r>
              <w:rPr>
                <w:rFonts w:ascii="宋体" w:cs="宋体" w:hAnsi="宋体"/>
                <w:color w:val="FF0000"/>
                <w:sz w:val="18"/>
                <w:szCs w:val="18"/>
              </w:rPr>
              <w:t>1</w:t>
            </w:r>
          </w:p>
        </w:tc>
        <w:tc>
          <w:tcPr>
            <w:tcW w:w="191" w:type="dxa"/>
            <w:tcBorders>
              <w:top w:val="single" w:sz="4" w:space="0" w:color="auto"/>
              <w:left w:val="single" w:sz="4" w:space="0" w:color="auto"/>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FF0000"/>
                <w:sz w:val="18"/>
                <w:szCs w:val="18"/>
              </w:rPr>
            </w:pPr>
            <w:r>
              <w:rPr>
                <w:rFonts w:ascii="宋体" w:cs="宋体" w:hAnsi="宋体"/>
                <w:color w:val="FF0000"/>
                <w:sz w:val="18"/>
                <w:szCs w:val="18"/>
              </w:rPr>
              <w:t>4</w:t>
            </w:r>
            <w:r>
              <w:rPr>
                <w:rFonts w:ascii="宋体" w:cs="宋体" w:hAnsi="宋体" w:hint="eastAsia"/>
                <w:color w:val="FF0000"/>
                <w:sz w:val="18"/>
                <w:szCs w:val="18"/>
              </w:rPr>
              <w:t>　</w:t>
            </w:r>
          </w:p>
        </w:tc>
        <w:tc>
          <w:tcPr>
            <w:tcW w:w="190" w:type="dxa"/>
            <w:tcBorders>
              <w:top w:val="single" w:sz="4" w:space="0" w:color="auto"/>
              <w:left w:val="single" w:sz="4" w:space="0" w:color="auto"/>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FF0000"/>
                <w:sz w:val="18"/>
                <w:szCs w:val="18"/>
              </w:rPr>
            </w:pPr>
            <w:r>
              <w:rPr>
                <w:rFonts w:ascii="宋体" w:cs="宋体" w:hAnsi="宋体"/>
                <w:color w:val="FF0000"/>
                <w:sz w:val="18"/>
                <w:szCs w:val="18"/>
              </w:rPr>
              <w:t>4</w:t>
            </w:r>
            <w:r>
              <w:rPr>
                <w:rFonts w:ascii="宋体" w:cs="宋体" w:hAnsi="宋体" w:hint="eastAsia"/>
                <w:color w:val="FF0000"/>
                <w:sz w:val="18"/>
                <w:szCs w:val="18"/>
              </w:rPr>
              <w:t>　</w:t>
            </w:r>
          </w:p>
        </w:tc>
        <w:tc>
          <w:tcPr>
            <w:tcW w:w="190" w:type="dxa"/>
            <w:tcBorders>
              <w:top w:val="single" w:sz="4" w:space="0" w:color="auto"/>
              <w:left w:val="single" w:sz="4" w:space="0" w:color="auto"/>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FF0000"/>
                <w:sz w:val="18"/>
                <w:szCs w:val="18"/>
              </w:rPr>
            </w:pPr>
            <w:r>
              <w:rPr>
                <w:rFonts w:ascii="宋体" w:cs="宋体" w:hAnsi="宋体"/>
                <w:color w:val="FF0000"/>
                <w:sz w:val="18"/>
                <w:szCs w:val="18"/>
              </w:rPr>
              <w:t>X</w:t>
            </w:r>
            <w:r>
              <w:rPr>
                <w:rFonts w:ascii="宋体" w:cs="宋体" w:hAnsi="宋体" w:hint="eastAsia"/>
                <w:color w:val="FF0000"/>
                <w:sz w:val="18"/>
                <w:szCs w:val="18"/>
              </w:rPr>
              <w:t>　</w:t>
            </w:r>
          </w:p>
        </w:tc>
        <w:tc>
          <w:tcPr>
            <w:tcW w:w="190" w:type="dxa"/>
            <w:tcBorders>
              <w:top w:val="single" w:sz="4" w:space="0" w:color="auto"/>
              <w:left w:val="single" w:sz="4" w:space="0" w:color="auto"/>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FF0000"/>
                <w:sz w:val="18"/>
                <w:szCs w:val="18"/>
              </w:rPr>
            </w:pPr>
            <w:r>
              <w:rPr>
                <w:rFonts w:ascii="宋体" w:cs="宋体" w:hAnsi="宋体"/>
                <w:color w:val="FF0000"/>
                <w:sz w:val="18"/>
                <w:szCs w:val="18"/>
              </w:rPr>
              <w:t>X</w:t>
            </w:r>
          </w:p>
        </w:tc>
        <w:tc>
          <w:tcPr>
            <w:tcW w:w="190" w:type="dxa"/>
            <w:tcBorders>
              <w:top w:val="single" w:sz="4" w:space="0" w:color="auto"/>
              <w:left w:val="single" w:sz="4" w:space="0" w:color="auto"/>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FF0000"/>
                <w:sz w:val="18"/>
                <w:szCs w:val="18"/>
              </w:rPr>
            </w:pPr>
            <w:r>
              <w:rPr>
                <w:rFonts w:ascii="宋体" w:cs="宋体" w:hAnsi="宋体"/>
                <w:color w:val="FF0000"/>
                <w:sz w:val="18"/>
                <w:szCs w:val="18"/>
              </w:rPr>
              <w:t>X</w:t>
            </w:r>
            <w:r>
              <w:rPr>
                <w:rFonts w:ascii="宋体" w:cs="宋体" w:hAnsi="宋体" w:hint="eastAsia"/>
                <w:color w:val="FF0000"/>
                <w:sz w:val="18"/>
                <w:szCs w:val="18"/>
              </w:rPr>
              <w:t>　</w:t>
            </w:r>
          </w:p>
        </w:tc>
        <w:tc>
          <w:tcPr>
            <w:tcW w:w="190" w:type="dxa"/>
            <w:tcBorders>
              <w:top w:val="single" w:sz="4" w:space="0" w:color="auto"/>
              <w:left w:val="single" w:sz="4" w:space="0" w:color="auto"/>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FF0000"/>
                <w:sz w:val="18"/>
                <w:szCs w:val="18"/>
              </w:rPr>
            </w:pPr>
            <w:r>
              <w:rPr>
                <w:rFonts w:ascii="宋体" w:cs="宋体" w:hAnsi="宋体"/>
                <w:color w:val="FF0000"/>
                <w:sz w:val="18"/>
                <w:szCs w:val="18"/>
              </w:rPr>
              <w:t>X</w:t>
            </w:r>
          </w:p>
        </w:tc>
        <w:tc>
          <w:tcPr>
            <w:tcW w:w="191" w:type="dxa"/>
            <w:tcBorders>
              <w:top w:val="single" w:sz="4" w:space="0" w:color="auto"/>
              <w:left w:val="single" w:sz="4" w:space="0" w:color="auto"/>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FF0000"/>
                <w:sz w:val="18"/>
                <w:szCs w:val="18"/>
              </w:rPr>
            </w:pPr>
            <w:r>
              <w:rPr>
                <w:rFonts w:ascii="宋体" w:cs="宋体" w:hAnsi="宋体"/>
                <w:color w:val="FF0000"/>
                <w:sz w:val="18"/>
                <w:szCs w:val="18"/>
              </w:rPr>
              <w:t>X</w:t>
            </w:r>
            <w:r>
              <w:rPr>
                <w:rFonts w:ascii="宋体" w:cs="宋体" w:hAnsi="宋体" w:hint="eastAsia"/>
                <w:color w:val="FF0000"/>
                <w:sz w:val="18"/>
                <w:szCs w:val="18"/>
              </w:rPr>
              <w:t>　</w:t>
            </w:r>
          </w:p>
        </w:tc>
        <w:tc>
          <w:tcPr>
            <w:tcW w:w="156" w:type="dxa"/>
            <w:tcBorders>
              <w:top w:val="single" w:sz="4" w:space="0" w:color="auto"/>
              <w:left w:val="single" w:sz="4" w:space="0" w:color="auto"/>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FF0000"/>
                <w:sz w:val="18"/>
                <w:szCs w:val="18"/>
              </w:rPr>
            </w:pPr>
            <w:r>
              <w:rPr>
                <w:rFonts w:ascii="宋体" w:cs="宋体" w:hAnsi="宋体"/>
                <w:color w:val="FF0000"/>
                <w:sz w:val="18"/>
                <w:szCs w:val="18"/>
              </w:rPr>
              <w:t>X</w:t>
            </w:r>
          </w:p>
        </w:tc>
        <w:tc>
          <w:tcPr>
            <w:tcW w:w="156" w:type="dxa"/>
            <w:tcBorders>
              <w:top w:val="single" w:sz="4" w:space="0" w:color="auto"/>
              <w:left w:val="single" w:sz="4" w:space="0" w:color="auto"/>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FF0000"/>
                <w:sz w:val="18"/>
                <w:szCs w:val="18"/>
              </w:rPr>
            </w:pPr>
            <w:r>
              <w:rPr>
                <w:rFonts w:ascii="宋体" w:cs="宋体" w:hAnsi="宋体"/>
                <w:color w:val="FF0000"/>
                <w:sz w:val="18"/>
                <w:szCs w:val="18"/>
              </w:rPr>
              <w:t>X</w:t>
            </w:r>
            <w:r>
              <w:rPr>
                <w:rFonts w:ascii="宋体" w:cs="宋体" w:hAnsi="宋体" w:hint="eastAsia"/>
                <w:color w:val="FF0000"/>
                <w:sz w:val="18"/>
                <w:szCs w:val="18"/>
              </w:rPr>
              <w:t>　</w:t>
            </w:r>
          </w:p>
        </w:tc>
        <w:tc>
          <w:tcPr>
            <w:tcW w:w="156" w:type="dxa"/>
            <w:tcBorders>
              <w:top w:val="single" w:sz="4" w:space="0" w:color="auto"/>
              <w:left w:val="single" w:sz="4" w:space="0" w:color="auto"/>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FF0000"/>
                <w:sz w:val="18"/>
                <w:szCs w:val="18"/>
              </w:rPr>
            </w:pPr>
            <w:r>
              <w:rPr>
                <w:rFonts w:ascii="宋体" w:cs="宋体" w:hAnsi="宋体"/>
                <w:color w:val="FF0000"/>
                <w:sz w:val="18"/>
                <w:szCs w:val="18"/>
              </w:rPr>
              <w:t>X</w:t>
            </w:r>
          </w:p>
        </w:tc>
        <w:tc>
          <w:tcPr>
            <w:tcW w:w="167" w:type="dxa"/>
            <w:tcBorders>
              <w:top w:val="single" w:sz="4" w:space="0" w:color="auto"/>
              <w:left w:val="single" w:sz="4" w:space="0" w:color="auto"/>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FF0000"/>
                <w:sz w:val="18"/>
                <w:szCs w:val="18"/>
              </w:rPr>
            </w:pPr>
            <w:r>
              <w:rPr>
                <w:rFonts w:ascii="宋体" w:cs="宋体" w:hAnsi="宋体"/>
                <w:color w:val="FF0000"/>
                <w:sz w:val="18"/>
                <w:szCs w:val="18"/>
              </w:rPr>
              <w:t>X</w:t>
            </w:r>
            <w:r>
              <w:rPr>
                <w:rFonts w:ascii="宋体" w:cs="宋体" w:hAnsi="宋体" w:hint="eastAsia"/>
                <w:color w:val="FF0000"/>
                <w:sz w:val="18"/>
                <w:szCs w:val="18"/>
              </w:rPr>
              <w:t>　</w:t>
            </w:r>
          </w:p>
        </w:tc>
        <w:tc>
          <w:tcPr>
            <w:tcW w:w="153" w:type="dxa"/>
            <w:tcBorders>
              <w:top w:val="single" w:sz="4" w:space="0" w:color="auto"/>
              <w:left w:val="single" w:sz="4" w:space="0" w:color="auto"/>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FF0000"/>
                <w:sz w:val="18"/>
                <w:szCs w:val="18"/>
              </w:rPr>
            </w:pPr>
            <w:r>
              <w:rPr>
                <w:rFonts w:ascii="宋体" w:cs="宋体" w:hAnsi="宋体"/>
                <w:color w:val="FF0000"/>
                <w:sz w:val="18"/>
                <w:szCs w:val="18"/>
              </w:rPr>
              <w:t>X</w:t>
            </w:r>
          </w:p>
        </w:tc>
        <w:tc>
          <w:tcPr>
            <w:tcW w:w="146" w:type="dxa"/>
            <w:tcBorders>
              <w:top w:val="single" w:sz="4" w:space="0" w:color="auto"/>
              <w:left w:val="single" w:sz="4" w:space="0" w:color="auto"/>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FF0000"/>
                <w:sz w:val="18"/>
                <w:szCs w:val="18"/>
              </w:rPr>
            </w:pPr>
            <w:r>
              <w:rPr>
                <w:rFonts w:ascii="宋体" w:cs="宋体" w:hAnsi="宋体"/>
                <w:color w:val="FF0000"/>
                <w:sz w:val="18"/>
                <w:szCs w:val="18"/>
              </w:rPr>
              <w:t>X</w:t>
            </w:r>
            <w:r>
              <w:rPr>
                <w:rFonts w:ascii="宋体" w:cs="宋体" w:hAnsi="宋体" w:hint="eastAsia"/>
                <w:color w:val="FF0000"/>
                <w:sz w:val="18"/>
                <w:szCs w:val="18"/>
              </w:rPr>
              <w:t>　</w:t>
            </w:r>
          </w:p>
        </w:tc>
        <w:tc>
          <w:tcPr>
            <w:tcW w:w="146" w:type="dxa"/>
            <w:tcBorders>
              <w:top w:val="single" w:sz="4" w:space="0" w:color="auto"/>
              <w:left w:val="single" w:sz="4" w:space="0" w:color="auto"/>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FF0000"/>
                <w:sz w:val="18"/>
                <w:szCs w:val="18"/>
              </w:rPr>
            </w:pPr>
            <w:r>
              <w:rPr>
                <w:rFonts w:ascii="宋体" w:cs="宋体" w:hAnsi="宋体"/>
                <w:color w:val="FF0000"/>
                <w:sz w:val="18"/>
                <w:szCs w:val="18"/>
              </w:rPr>
              <w:t>X</w:t>
            </w:r>
          </w:p>
        </w:tc>
        <w:tc>
          <w:tcPr>
            <w:tcW w:w="146" w:type="dxa"/>
            <w:tcBorders>
              <w:top w:val="single" w:sz="4" w:space="0" w:color="auto"/>
              <w:left w:val="single" w:sz="4" w:space="0" w:color="auto"/>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FF0000"/>
                <w:sz w:val="18"/>
                <w:szCs w:val="18"/>
              </w:rPr>
            </w:pPr>
            <w:r>
              <w:rPr>
                <w:rFonts w:ascii="宋体" w:cs="宋体" w:hAnsi="宋体"/>
                <w:color w:val="FF0000"/>
                <w:sz w:val="18"/>
                <w:szCs w:val="18"/>
              </w:rPr>
              <w:t>X</w:t>
            </w:r>
            <w:r>
              <w:rPr>
                <w:rFonts w:ascii="宋体" w:cs="宋体" w:hAnsi="宋体" w:hint="eastAsia"/>
                <w:color w:val="FF0000"/>
                <w:sz w:val="18"/>
                <w:szCs w:val="18"/>
              </w:rPr>
              <w:t>　</w:t>
            </w:r>
          </w:p>
        </w:tc>
        <w:tc>
          <w:tcPr>
            <w:tcW w:w="131" w:type="dxa"/>
            <w:tcBorders>
              <w:top w:val="single" w:sz="4" w:space="0" w:color="auto"/>
              <w:left w:val="single" w:sz="4" w:space="0" w:color="auto"/>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FF0000"/>
                <w:sz w:val="18"/>
                <w:szCs w:val="18"/>
              </w:rPr>
            </w:pPr>
            <w:r>
              <w:rPr>
                <w:rFonts w:ascii="宋体" w:cs="宋体" w:hAnsi="宋体"/>
                <w:color w:val="FF0000"/>
                <w:sz w:val="18"/>
                <w:szCs w:val="18"/>
              </w:rPr>
              <w:t>X</w:t>
            </w:r>
          </w:p>
        </w:tc>
        <w:tc>
          <w:tcPr>
            <w:tcW w:w="131" w:type="dxa"/>
            <w:tcBorders>
              <w:top w:val="single" w:sz="4" w:space="0" w:color="auto"/>
              <w:left w:val="single" w:sz="4" w:space="0" w:color="auto"/>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FF0000"/>
                <w:sz w:val="18"/>
                <w:szCs w:val="18"/>
              </w:rPr>
            </w:pPr>
            <w:r>
              <w:rPr>
                <w:rFonts w:ascii="宋体" w:cs="宋体" w:hAnsi="宋体"/>
                <w:color w:val="FF0000"/>
                <w:sz w:val="18"/>
                <w:szCs w:val="18"/>
              </w:rPr>
              <w:t>X</w:t>
            </w:r>
            <w:r>
              <w:rPr>
                <w:rFonts w:ascii="宋体" w:cs="宋体" w:hAnsi="宋体" w:hint="eastAsia"/>
                <w:color w:val="FF0000"/>
                <w:sz w:val="18"/>
                <w:szCs w:val="18"/>
              </w:rPr>
              <w:t>　</w:t>
            </w:r>
          </w:p>
        </w:tc>
        <w:tc>
          <w:tcPr>
            <w:tcW w:w="203" w:type="dxa"/>
            <w:tcBorders>
              <w:top w:val="single" w:sz="4" w:space="0" w:color="auto"/>
              <w:left w:val="single" w:sz="4" w:space="0" w:color="auto"/>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FF0000"/>
                <w:sz w:val="18"/>
                <w:szCs w:val="18"/>
              </w:rPr>
            </w:pPr>
            <w:r>
              <w:rPr>
                <w:rFonts w:ascii="宋体" w:cs="宋体" w:hAnsi="宋体"/>
                <w:color w:val="FF0000"/>
                <w:sz w:val="18"/>
                <w:szCs w:val="18"/>
              </w:rPr>
              <w:t>X</w:t>
            </w:r>
          </w:p>
        </w:tc>
        <w:tc>
          <w:tcPr>
            <w:tcW w:w="208" w:type="dxa"/>
            <w:tcBorders>
              <w:top w:val="single" w:sz="4" w:space="0" w:color="auto"/>
              <w:left w:val="single" w:sz="4" w:space="0" w:color="auto"/>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FF0000"/>
                <w:sz w:val="18"/>
                <w:szCs w:val="18"/>
              </w:rPr>
            </w:pPr>
            <w:r>
              <w:rPr>
                <w:rFonts w:ascii="宋体" w:cs="宋体" w:hAnsi="宋体"/>
                <w:color w:val="FF0000"/>
                <w:sz w:val="18"/>
                <w:szCs w:val="18"/>
              </w:rPr>
              <w:t>X</w:t>
            </w:r>
            <w:r>
              <w:rPr>
                <w:rFonts w:ascii="宋体" w:cs="宋体" w:hAnsi="宋体" w:hint="eastAsia"/>
                <w:color w:val="FF0000"/>
                <w:sz w:val="18"/>
                <w:szCs w:val="18"/>
              </w:rPr>
              <w:t>　</w:t>
            </w:r>
          </w:p>
        </w:tc>
        <w:tc>
          <w:tcPr>
            <w:tcW w:w="203" w:type="dxa"/>
            <w:tcBorders>
              <w:top w:val="single" w:sz="4" w:space="0" w:color="auto"/>
              <w:left w:val="single" w:sz="4" w:space="0" w:color="auto"/>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FF0000"/>
                <w:sz w:val="18"/>
                <w:szCs w:val="18"/>
              </w:rPr>
            </w:pPr>
            <w:r>
              <w:rPr>
                <w:rFonts w:ascii="宋体" w:cs="宋体" w:hAnsi="宋体"/>
                <w:color w:val="FF0000"/>
                <w:sz w:val="18"/>
                <w:szCs w:val="18"/>
              </w:rPr>
              <w:t>X</w:t>
            </w:r>
            <w:r>
              <w:rPr>
                <w:rFonts w:ascii="宋体" w:cs="宋体" w:hAnsi="宋体" w:hint="eastAsia"/>
                <w:color w:val="FF0000"/>
                <w:sz w:val="18"/>
                <w:szCs w:val="18"/>
              </w:rPr>
              <w:t>　</w:t>
            </w:r>
          </w:p>
        </w:tc>
        <w:tc>
          <w:tcPr>
            <w:tcW w:w="203" w:type="dxa"/>
            <w:tcBorders>
              <w:top w:val="single" w:sz="4" w:space="0" w:color="auto"/>
              <w:left w:val="single" w:sz="4" w:space="0" w:color="auto"/>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FF0000"/>
                <w:sz w:val="18"/>
                <w:szCs w:val="18"/>
              </w:rPr>
            </w:pPr>
            <w:r>
              <w:rPr>
                <w:rFonts w:ascii="宋体" w:cs="宋体" w:hAnsi="宋体"/>
                <w:color w:val="FF0000"/>
                <w:sz w:val="18"/>
                <w:szCs w:val="18"/>
              </w:rPr>
              <w:t>X</w:t>
            </w:r>
          </w:p>
        </w:tc>
        <w:tc>
          <w:tcPr>
            <w:tcW w:w="199" w:type="dxa"/>
            <w:tcBorders>
              <w:top w:val="single" w:sz="4" w:space="0" w:color="auto"/>
              <w:left w:val="single" w:sz="4" w:space="0" w:color="auto"/>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FF0000"/>
                <w:sz w:val="18"/>
                <w:szCs w:val="18"/>
              </w:rPr>
            </w:pPr>
            <w:r>
              <w:rPr>
                <w:rFonts w:ascii="宋体" w:cs="宋体" w:hAnsi="宋体"/>
                <w:color w:val="FF0000"/>
                <w:sz w:val="18"/>
                <w:szCs w:val="18"/>
              </w:rPr>
              <w:t>X</w:t>
            </w:r>
            <w:r>
              <w:rPr>
                <w:rFonts w:ascii="宋体" w:cs="宋体" w:hAnsi="宋体" w:hint="eastAsia"/>
                <w:color w:val="FF0000"/>
                <w:sz w:val="18"/>
                <w:szCs w:val="18"/>
              </w:rPr>
              <w:t>　</w:t>
            </w:r>
          </w:p>
        </w:tc>
        <w:tc>
          <w:tcPr>
            <w:tcW w:w="199" w:type="dxa"/>
            <w:tcBorders>
              <w:top w:val="single" w:sz="4" w:space="0" w:color="auto"/>
              <w:left w:val="single" w:sz="4" w:space="0" w:color="auto"/>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FF0000"/>
                <w:sz w:val="18"/>
                <w:szCs w:val="18"/>
              </w:rPr>
            </w:pPr>
            <w:r>
              <w:rPr>
                <w:rFonts w:ascii="宋体" w:cs="宋体" w:hAnsi="宋体"/>
                <w:color w:val="FF0000"/>
                <w:sz w:val="18"/>
                <w:szCs w:val="18"/>
              </w:rPr>
              <w:t>X</w:t>
            </w:r>
          </w:p>
        </w:tc>
        <w:tc>
          <w:tcPr>
            <w:tcW w:w="199" w:type="dxa"/>
            <w:tcBorders>
              <w:top w:val="single" w:sz="4" w:space="0" w:color="auto"/>
              <w:left w:val="single" w:sz="4" w:space="0" w:color="auto"/>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FF0000"/>
                <w:sz w:val="18"/>
                <w:szCs w:val="18"/>
              </w:rPr>
            </w:pPr>
            <w:r>
              <w:rPr>
                <w:rFonts w:ascii="宋体" w:cs="宋体" w:hAnsi="宋体"/>
                <w:color w:val="FF0000"/>
                <w:sz w:val="18"/>
                <w:szCs w:val="18"/>
              </w:rPr>
              <w:t>X</w:t>
            </w:r>
            <w:r>
              <w:rPr>
                <w:rFonts w:ascii="宋体" w:cs="宋体" w:hAnsi="宋体" w:hint="eastAsia"/>
                <w:color w:val="FF0000"/>
                <w:sz w:val="18"/>
                <w:szCs w:val="18"/>
              </w:rPr>
              <w:t>　</w:t>
            </w:r>
          </w:p>
        </w:tc>
        <w:tc>
          <w:tcPr>
            <w:tcW w:w="42" w:type="dxa"/>
            <w:gridSpan w:val="2"/>
            <w:tcBorders>
              <w:left w:val="single" w:sz="4" w:space="0" w:color="auto"/>
              <w:bottom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color w:val="000000"/>
                <w:sz w:val="18"/>
                <w:szCs w:val="18"/>
              </w:rPr>
              <w:t>X</w:t>
            </w:r>
          </w:p>
        </w:tc>
        <w:tc>
          <w:tcPr>
            <w:tcW w:w="1085" w:type="dxa"/>
            <w:gridSpan w:val="2"/>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所属行业：</w:t>
            </w:r>
          </w:p>
        </w:tc>
      </w:tr>
      <w:tr>
        <w:trPr>
          <w:trHeight w:val="360"/>
        </w:trPr>
        <w:tc>
          <w:tcPr>
            <w:tcW w:w="1224" w:type="dxa"/>
            <w:gridSpan w:val="3"/>
            <w:tcBorders>
              <w:top w:val="single" w:sz="4" w:space="0" w:color="auto"/>
              <w:left w:val="single" w:sz="4" w:space="0" w:color="auto"/>
              <w:bottom w:val="single" w:sz="4" w:space="0" w:color="auto"/>
              <w:right w:val="single" w:sz="4" w:space="0" w:color="auto"/>
            </w:tcBorders>
            <w:noWrap/>
            <w:tcMar>
              <w:top w:w="11" w:type="dxa"/>
              <w:left w:w="11" w:type="dxa"/>
              <w:right w:w="11" w:type="dxa"/>
            </w:tcMar>
            <w:vAlign w:val="center"/>
          </w:tcPr>
          <w:p>
            <w:pPr>
              <w:pStyle w:val="21"/>
              <w:rPr>
                <w:rFonts w:ascii="宋体" w:cs="宋体"/>
                <w:color w:val="000000"/>
                <w:sz w:val="18"/>
                <w:szCs w:val="18"/>
              </w:rPr>
            </w:pPr>
            <w:r>
              <w:rPr>
                <w:rFonts w:ascii="宋体" w:eastAsia="宋体"/>
                <w:color w:val="000000"/>
              </w:rPr>
              <mc:AlternateContent>
                <mc:Choice Requires="wps">
                  <w:drawing>
                    <wp:anchor distT="0" distB="0" distL="114300" distR="114300" simplePos="0" relativeHeight="10" behindDoc="0" locked="0" layoutInCell="1" hidden="0" allowOverlap="1">
                      <wp:simplePos x="0" y="0"/>
                      <wp:positionH relativeFrom="column">
                        <wp:posOffset>199423</wp:posOffset>
                      </wp:positionH>
                      <wp:positionV relativeFrom="paragraph">
                        <wp:posOffset>26667</wp:posOffset>
                      </wp:positionV>
                      <wp:extent cx="1209674" cy="1141730"/>
                      <wp:effectExtent l="0" t="0" r="0" b="0"/>
                      <wp:wrapNone/>
                      <wp:docPr id="1" name="椭圆 7 1"/>
                      <wp:cNvGraphicFramePr>
                        <a:graphicFrameLocks noChangeAspect="0"/>
                      </wp:cNvGraphicFramePr>
                      <a:graphic>
                        <a:graphicData uri="http://schemas.microsoft.com/office/word/2010/wordprocessingShape">
                          <wps:wsp>
                            <wps:cNvSpPr/>
                            <wps:spPr>
                              <a:xfrm rot="0">
                                <a:off x="0" y="0"/>
                                <a:ext cx="1209674" cy="1141730"/>
                              </a:xfrm>
                              <a:prstGeom prst="ellipse"/>
                              <a:noFill/>
                              <a:ln w="38100" cmpd="sng" cap="flat">
                                <a:solidFill>
                                  <a:srgbClr val="FF0000"/>
                                </a:solidFill>
                                <a:prstDash val="solid"/>
                                <a:miter/>
                              </a:ln>
                            </wps:spPr>
                            <wps:txbx id="2">
                              <w:txbxContent>
                                <w:p>
                                  <w:pPr>
                                    <w:rPr>
                                      <w:b/>
                                      <w:color w:val="FF0000"/>
                                      <w:sz w:val="48"/>
                                      <w:szCs w:val="48"/>
                                    </w:rPr>
                                  </w:pPr>
                                  <w:r>
                                    <w:rPr>
                                      <w:rFonts w:hint="eastAsia"/>
                                      <w:b/>
                                      <w:color w:val="FF0000"/>
                                      <w:sz w:val="48"/>
                                      <w:szCs w:val="48"/>
                                    </w:rPr>
                                    <w:t>公章</w:t>
                                  </w:r>
                                </w:p>
                              </w:txbxContent>
                            </wps:txbx>
                            <wps:bodyPr vert="horz" wrap="square" lIns="91440" tIns="45720" rIns="91440" bIns="45720" anchor="t" anchorCtr="0" upright="1">
                              <a:noAutofit/>
                            </wps:bodyPr>
                          </wps:wsp>
                        </a:graphicData>
                      </a:graphic>
                    </wp:anchor>
                  </w:drawing>
                </mc:Choice>
                <mc:Fallback>
                  <w:pict>
                    <v:oval type="#_x0000_t3" id="椭圆 7 3" o:spid="_x0000_s3" filled="f" stroked="t" strokeweight="3.0pt" style="position:absolute;&#13;&#10;margin-left:15.702611pt;&#13;&#10;margin-top:2.0997732pt;&#13;&#10;width:95.24999pt;&#13;&#10;height:89.90003pt;&#13;&#10;z-index:10;&#13;&#10;mso-position-horizontal:absolute;&#13;&#10;mso-position-vertical:absolute;&#13;&#10;mso-wrap-style:square;">
                      <v:stroke color="FF0000"/>
                      <v:textbox id="848" inset="2.54mm,1.27mm,2.54mm,1.27mm" o:insetmode="custom" style="layout-flow:horizontal;&#13;&#10;v-text-anchor:top;">
                        <w:txbxContent>
                          <w:p>
                            <w:pPr>
                              <w:rPr>
                                <w:b/>
                                <w:color w:val="FF0000"/>
                                <w:sz w:val="48"/>
                                <w:szCs w:val="48"/>
                              </w:rPr>
                            </w:pPr>
                            <w:r>
                              <w:rPr>
                                <w:rFonts w:hint="eastAsia"/>
                                <w:b/>
                                <w:color w:val="FF0000"/>
                                <w:sz w:val="48"/>
                                <w:szCs w:val="48"/>
                              </w:rPr>
                              <w:t>公章</w:t>
                            </w:r>
                          </w:p>
                        </w:txbxContent>
                      </v:textbox>
                    </v:oval>
                  </w:pict>
                </mc:Fallback>
              </mc:AlternateContent>
            </w:r>
            <w:r>
              <w:rPr>
                <w:rFonts w:ascii="宋体" w:cs="宋体" w:hint="eastAsia"/>
                <w:color w:val="000000"/>
                <w:sz w:val="18"/>
                <w:szCs w:val="18"/>
              </w:rPr>
              <w:t>纳税人名称</w:t>
            </w:r>
          </w:p>
        </w:tc>
        <w:tc>
          <w:tcPr>
            <w:tcW w:w="1704"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right"/>
              <w:rPr>
                <w:rFonts w:ascii="宋体" w:cs="宋体" w:hAnsi="宋体"/>
                <w:color w:val="000000"/>
                <w:sz w:val="18"/>
                <w:szCs w:val="18"/>
              </w:rPr>
            </w:pPr>
            <w:r>
              <w:rPr>
                <w:rFonts w:ascii="宋体" w:cs="宋体" w:hAnsi="宋体" w:hint="eastAsia"/>
                <w:color w:val="000000"/>
                <w:sz w:val="18"/>
                <w:szCs w:val="18"/>
              </w:rPr>
              <w:t>（公章）</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8"/>
                <w:szCs w:val="18"/>
              </w:rPr>
            </w:pPr>
            <w:r>
              <w:rPr>
                <w:rFonts w:ascii="宋体" w:cs="宋体" w:hAnsi="宋体" w:hint="eastAsia"/>
                <w:color w:val="000000"/>
                <w:sz w:val="18"/>
                <w:szCs w:val="18"/>
              </w:rPr>
              <w:t>法定代表人姓名</w:t>
            </w:r>
          </w:p>
        </w:tc>
        <w:tc>
          <w:tcPr>
            <w:tcW w:w="438" w:type="dxa"/>
            <w:gridSpan w:val="3"/>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8"/>
                <w:szCs w:val="18"/>
              </w:rPr>
            </w:pPr>
            <w:r>
              <w:rPr>
                <w:rFonts w:ascii="宋体" w:cs="宋体" w:hAnsi="宋体"/>
                <w:color w:val="FF0000"/>
                <w:sz w:val="18"/>
                <w:szCs w:val="18"/>
              </w:rPr>
              <w:t>XXX</w:t>
            </w:r>
            <w:r>
              <w:rPr>
                <w:rFonts w:ascii="宋体" w:cs="宋体" w:hAnsi="宋体" w:hint="eastAsia"/>
                <w:color w:val="000000"/>
                <w:sz w:val="18"/>
                <w:szCs w:val="18"/>
              </w:rPr>
              <w:t>　</w:t>
            </w:r>
          </w:p>
        </w:tc>
        <w:tc>
          <w:tcPr>
            <w:tcW w:w="465" w:type="dxa"/>
            <w:gridSpan w:val="3"/>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8"/>
                <w:szCs w:val="18"/>
              </w:rPr>
            </w:pPr>
            <w:r>
              <w:rPr>
                <w:rFonts w:ascii="宋体" w:cs="宋体" w:hAnsi="宋体" w:hint="eastAsia"/>
                <w:color w:val="000000"/>
                <w:sz w:val="18"/>
                <w:szCs w:val="18"/>
              </w:rPr>
              <w:t>注册地址</w:t>
            </w:r>
          </w:p>
        </w:tc>
        <w:tc>
          <w:tcPr>
            <w:tcW w:w="2338" w:type="dxa"/>
            <w:gridSpan w:val="10"/>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8"/>
                <w:szCs w:val="18"/>
              </w:rPr>
            </w:pPr>
            <w:r>
              <w:rPr>
                <w:rFonts w:ascii="宋体" w:cs="宋体" w:hAnsi="宋体"/>
                <w:color w:val="FF0000"/>
                <w:sz w:val="18"/>
                <w:szCs w:val="18"/>
              </w:rPr>
              <w:t>XXX(如实填写)</w:t>
            </w:r>
          </w:p>
        </w:tc>
        <w:tc>
          <w:tcPr>
            <w:tcW w:w="425" w:type="dxa"/>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8"/>
                <w:szCs w:val="18"/>
              </w:rPr>
            </w:pPr>
            <w:r>
              <w:rPr>
                <w:rFonts w:ascii="宋体" w:cs="宋体" w:hAnsi="宋体" w:hint="eastAsia"/>
                <w:color w:val="000000"/>
                <w:sz w:val="18"/>
                <w:szCs w:val="18"/>
              </w:rPr>
              <w:t>生产经营地址</w:t>
            </w:r>
          </w:p>
        </w:tc>
        <w:tc>
          <w:tcPr>
            <w:tcW w:w="1134" w:type="dxa"/>
            <w:gridSpan w:val="3"/>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8"/>
                <w:szCs w:val="18"/>
              </w:rPr>
            </w:pPr>
            <w:r>
              <w:rPr>
                <w:rFonts w:ascii="宋体" w:cs="宋体" w:hAnsi="宋体" w:hint="eastAsia"/>
                <w:color w:val="000000"/>
                <w:sz w:val="18"/>
                <w:szCs w:val="18"/>
              </w:rPr>
              <w:t>　</w:t>
            </w:r>
            <w:r>
              <w:rPr>
                <w:rFonts w:ascii="宋体" w:cs="宋体" w:hAnsi="宋体"/>
                <w:color w:val="FF0000"/>
                <w:sz w:val="18"/>
                <w:szCs w:val="18"/>
              </w:rPr>
              <w:t>XXX(如实填写)</w:t>
            </w:r>
          </w:p>
        </w:tc>
      </w:tr>
      <w:tr>
        <w:trPr>
          <w:trHeight w:val="933"/>
        </w:trPr>
        <w:tc>
          <w:tcPr>
            <w:tcW w:w="1224" w:type="dxa"/>
            <w:gridSpan w:val="3"/>
            <w:tcBorders>
              <w:top w:val="single" w:sz="4" w:space="0" w:color="auto"/>
              <w:left w:val="single" w:sz="4" w:space="0" w:color="auto"/>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8"/>
                <w:szCs w:val="18"/>
              </w:rPr>
            </w:pPr>
            <w:r>
              <w:rPr>
                <w:rFonts w:ascii="宋体" w:cs="宋体" w:hAnsi="宋体" w:hint="eastAsia"/>
                <w:color w:val="000000"/>
                <w:sz w:val="18"/>
                <w:szCs w:val="18"/>
              </w:rPr>
              <w:t>开户银行及帐号</w:t>
            </w:r>
          </w:p>
        </w:tc>
        <w:tc>
          <w:tcPr>
            <w:tcW w:w="2172" w:type="dxa"/>
            <w:gridSpan w:val="1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8"/>
                <w:szCs w:val="18"/>
              </w:rPr>
            </w:pPr>
            <w:r>
              <w:rPr>
                <w:rFonts w:ascii="宋体" w:cs="宋体" w:hAnsi="宋体"/>
                <w:color w:val="FF0000"/>
                <w:sz w:val="18"/>
                <w:szCs w:val="18"/>
              </w:rPr>
              <w:t>XXX(如实填写)</w:t>
            </w:r>
            <w:r>
              <w:rPr>
                <w:rFonts w:ascii="宋体" w:cs="宋体" w:hAnsi="宋体" w:hint="eastAsia"/>
                <w:color w:val="000000"/>
                <w:sz w:val="18"/>
                <w:szCs w:val="18"/>
              </w:rPr>
              <w:t>　</w:t>
            </w:r>
          </w:p>
        </w:tc>
        <w:tc>
          <w:tcPr>
            <w:tcW w:w="75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登记注册类型</w:t>
            </w:r>
          </w:p>
        </w:tc>
        <w:tc>
          <w:tcPr>
            <w:tcW w:w="3228" w:type="dxa"/>
            <w:gridSpan w:val="14"/>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8"/>
                <w:szCs w:val="18"/>
              </w:rPr>
            </w:pPr>
            <w:r>
              <w:rPr>
                <w:rFonts w:ascii="宋体" w:cs="宋体" w:hAnsi="宋体"/>
                <w:color w:val="FF0000"/>
                <w:sz w:val="18"/>
                <w:szCs w:val="18"/>
              </w:rPr>
              <w:t>XXX(如实填写)</w:t>
            </w:r>
            <w:r>
              <w:rPr>
                <w:rFonts w:ascii="宋体" w:cs="宋体" w:hAnsi="宋体" w:hint="eastAsia"/>
                <w:color w:val="000000"/>
                <w:sz w:val="18"/>
                <w:szCs w:val="18"/>
              </w:rPr>
              <w:t>　</w:t>
            </w:r>
          </w:p>
        </w:tc>
        <w:tc>
          <w:tcPr>
            <w:tcW w:w="326"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8"/>
                <w:szCs w:val="18"/>
              </w:rPr>
            </w:pPr>
            <w:r>
              <w:rPr>
                <w:rFonts w:ascii="宋体" w:cs="宋体" w:hAnsi="宋体" w:hint="eastAsia"/>
                <w:color w:val="000000"/>
                <w:sz w:val="18"/>
                <w:szCs w:val="18"/>
              </w:rPr>
              <w:t>电话号码</w:t>
            </w:r>
          </w:p>
        </w:tc>
        <w:tc>
          <w:tcPr>
            <w:tcW w:w="808" w:type="dxa"/>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8"/>
                <w:szCs w:val="18"/>
              </w:rPr>
            </w:pPr>
            <w:r>
              <w:rPr>
                <w:rFonts w:ascii="宋体" w:cs="宋体" w:hAnsi="宋体" w:hint="eastAsia"/>
                <w:color w:val="000000"/>
                <w:sz w:val="18"/>
                <w:szCs w:val="18"/>
              </w:rPr>
              <w:t>　</w:t>
            </w:r>
            <w:r>
              <w:rPr>
                <w:rFonts w:ascii="宋体" w:cs="宋体" w:hAnsi="宋体"/>
                <w:color w:val="FF0000"/>
                <w:sz w:val="18"/>
                <w:szCs w:val="18"/>
              </w:rPr>
              <w:t>13XXXXXXXXX</w:t>
            </w:r>
          </w:p>
        </w:tc>
      </w:tr>
      <w:tr>
        <w:trPr>
          <w:trHeight w:val="360"/>
        </w:trPr>
        <w:tc>
          <w:tcPr>
            <w:tcW w:w="2928" w:type="dxa"/>
            <w:gridSpan w:val="12"/>
            <w:vMerge w:val="restart"/>
            <w:tcBorders>
              <w:top w:val="single" w:sz="4" w:space="0" w:color="auto"/>
              <w:left w:val="single" w:sz="4" w:space="0" w:color="auto"/>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8"/>
                <w:szCs w:val="18"/>
              </w:rPr>
            </w:pPr>
            <w:r>
              <w:rPr>
                <w:rFonts w:ascii="宋体" w:cs="宋体" w:hAnsi="宋体" w:hint="eastAsia"/>
                <w:color w:val="000000"/>
                <w:sz w:val="18"/>
                <w:szCs w:val="18"/>
              </w:rPr>
              <w:t>项目</w:t>
            </w:r>
          </w:p>
        </w:tc>
        <w:tc>
          <w:tcPr>
            <w:tcW w:w="788" w:type="dxa"/>
            <w:gridSpan w:val="5"/>
            <w:vMerge w:val="restart"/>
            <w:tcBorders>
              <w:top w:val="single" w:sz="4" w:space="0" w:color="auto"/>
              <w:left w:val="single" w:sz="4" w:space="0" w:color="auto"/>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8"/>
                <w:szCs w:val="18"/>
              </w:rPr>
            </w:pPr>
            <w:r>
              <w:rPr>
                <w:rFonts w:ascii="宋体" w:cs="宋体" w:hAnsi="宋体" w:hint="eastAsia"/>
                <w:color w:val="000000"/>
                <w:sz w:val="18"/>
                <w:szCs w:val="18"/>
              </w:rPr>
              <w:t>栏次</w:t>
            </w:r>
          </w:p>
        </w:tc>
        <w:tc>
          <w:tcPr>
            <w:tcW w:w="3241" w:type="dxa"/>
            <w:gridSpan w:val="16"/>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8"/>
                <w:szCs w:val="18"/>
              </w:rPr>
            </w:pPr>
            <w:r>
              <w:rPr>
                <w:rFonts w:ascii="宋体" w:cs="宋体" w:hAnsi="宋体" w:hint="eastAsia"/>
                <w:color w:val="000000"/>
                <w:sz w:val="18"/>
                <w:szCs w:val="18"/>
              </w:rPr>
              <w:t>一般项目</w:t>
            </w:r>
          </w:p>
        </w:tc>
        <w:tc>
          <w:tcPr>
            <w:tcW w:w="1559" w:type="dxa"/>
            <w:gridSpan w:val="4"/>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8"/>
                <w:szCs w:val="18"/>
              </w:rPr>
            </w:pPr>
            <w:r>
              <w:rPr>
                <w:rFonts w:ascii="宋体" w:cs="宋体" w:hAnsi="宋体" w:hint="eastAsia"/>
                <w:color w:val="000000"/>
                <w:sz w:val="18"/>
                <w:szCs w:val="18"/>
              </w:rPr>
              <w:t>即征即退项目</w:t>
            </w:r>
          </w:p>
        </w:tc>
      </w:tr>
      <w:tr>
        <w:trPr>
          <w:trHeight w:val="360"/>
        </w:trPr>
        <w:tc>
          <w:tcPr>
            <w:tcW w:w="2928" w:type="dxa"/>
            <w:gridSpan w:val="12"/>
            <w:vMerge/>
            <w:tcBorders>
              <w:top w:val="single" w:sz="4" w:space="0" w:color="auto"/>
              <w:left w:val="single" w:sz="4" w:space="0" w:color="auto"/>
              <w:bottom w:val="single" w:sz="4" w:space="0" w:color="auto"/>
              <w:right w:val="single" w:sz="4" w:space="0" w:color="auto"/>
            </w:tcBorders>
            <w:noWrap/>
            <w:vAlign w:val="center"/>
          </w:tcPr>
          <w:p/>
        </w:tc>
        <w:tc>
          <w:tcPr>
            <w:tcW w:w="788" w:type="dxa"/>
            <w:gridSpan w:val="5"/>
            <w:vMerge/>
            <w:tcBorders>
              <w:top w:val="single" w:sz="4" w:space="0" w:color="auto"/>
              <w:left w:val="single" w:sz="4" w:space="0" w:color="auto"/>
              <w:bottom w:val="single" w:sz="4" w:space="0" w:color="auto"/>
              <w:right w:val="single" w:sz="4" w:space="0" w:color="auto"/>
            </w:tcBorders>
            <w:noWrap/>
            <w:vAlign w:val="center"/>
          </w:tcP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8"/>
                <w:szCs w:val="18"/>
              </w:rPr>
            </w:pPr>
            <w:r>
              <w:rPr>
                <w:rFonts w:ascii="宋体" w:cs="宋体" w:hAnsi="宋体" w:hint="eastAsia"/>
                <w:color w:val="000000"/>
                <w:sz w:val="18"/>
                <w:szCs w:val="18"/>
              </w:rPr>
              <w:t>本月数</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8"/>
                <w:szCs w:val="18"/>
              </w:rPr>
            </w:pPr>
            <w:r>
              <w:rPr>
                <w:rFonts w:ascii="宋体" w:cs="宋体" w:hAnsi="宋体" w:hint="eastAsia"/>
                <w:color w:val="000000"/>
                <w:sz w:val="18"/>
                <w:szCs w:val="18"/>
              </w:rPr>
              <w:t>本年累计</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8"/>
                <w:szCs w:val="18"/>
              </w:rPr>
            </w:pPr>
            <w:r>
              <w:rPr>
                <w:rFonts w:ascii="宋体" w:cs="宋体" w:hAnsi="宋体" w:hint="eastAsia"/>
                <w:color w:val="000000"/>
                <w:sz w:val="18"/>
                <w:szCs w:val="18"/>
              </w:rPr>
              <w:t>本月数</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8"/>
                <w:szCs w:val="18"/>
              </w:rPr>
            </w:pPr>
            <w:r>
              <w:rPr>
                <w:rFonts w:ascii="宋体" w:cs="宋体" w:hAnsi="宋体" w:hint="eastAsia"/>
                <w:color w:val="000000"/>
                <w:sz w:val="18"/>
                <w:szCs w:val="18"/>
              </w:rPr>
              <w:t>本年累计</w:t>
            </w:r>
          </w:p>
        </w:tc>
      </w:tr>
      <w:tr>
        <w:trPr>
          <w:trHeight w:val="360"/>
        </w:trPr>
        <w:tc>
          <w:tcPr>
            <w:tcW w:w="1180" w:type="dxa"/>
            <w:vMerge w:val="restart"/>
            <w:tcBorders>
              <w:top w:val="single" w:sz="4" w:space="0" w:color="auto"/>
              <w:left w:val="single" w:sz="4" w:space="0" w:color="auto"/>
              <w:bottom w:val="single" w:sz="4" w:space="0" w:color="auto"/>
              <w:right w:val="single" w:sz="4" w:space="0" w:color="auto"/>
            </w:tcBorders>
            <w:noWrap/>
            <w:tcMar>
              <w:top w:w="11" w:type="dxa"/>
              <w:left w:w="11" w:type="dxa"/>
              <w:right w:w="11" w:type="dxa"/>
            </w:tcMar>
            <w:textDirection w:val="tbRlV"/>
            <w:vAlign w:val="center"/>
          </w:tcPr>
          <w:p>
            <w:pPr>
              <w:pStyle w:val="21"/>
              <w:jc w:val="center"/>
              <w:rPr>
                <w:rFonts w:ascii="宋体" w:cs="宋体" w:hAnsi="宋体"/>
                <w:color w:val="000000"/>
                <w:sz w:val="18"/>
                <w:szCs w:val="18"/>
              </w:rPr>
            </w:pPr>
            <w:r>
              <w:rPr>
                <w:rFonts w:ascii="宋体" w:cs="宋体" w:hAnsi="宋体" w:hint="eastAsia"/>
                <w:color w:val="000000"/>
                <w:sz w:val="18"/>
                <w:szCs w:val="18"/>
              </w:rPr>
              <w:t>销售额</w:t>
            </w: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（一）按适用税率计税销售额</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1</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其中：应税货物销售额</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2</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 xml:space="preserve">      应税劳务销售额</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3</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 xml:space="preserve">      纳税检查调整的销售额</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4</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（二）按简易办法计税销售额</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5</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其中：纳税检查调整的销售额</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6</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（三）免、抵、退办法出口销售额</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7</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（四）免税销售额</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8</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其中：免税货物销售额</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9</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color w:val="000000"/>
                <w:sz w:val="18"/>
                <w:szCs w:val="18"/>
              </w:rPr>
            </w:pPr>
            <w:r>
              <w:rPr>
                <w:color w:val="000000"/>
                <w:sz w:val="18"/>
                <w:szCs w:val="18"/>
              </w:rPr>
              <w:t>免税劳务销售额</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10</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r>
      <w:tr>
        <w:trPr>
          <w:trHeight w:val="360"/>
        </w:trPr>
        <w:tc>
          <w:tcPr>
            <w:tcW w:w="1180" w:type="dxa"/>
            <w:vMerge w:val="restart"/>
            <w:tcBorders>
              <w:top w:val="single" w:sz="4" w:space="0" w:color="auto"/>
              <w:left w:val="single" w:sz="4" w:space="0" w:color="auto"/>
              <w:bottom w:val="single" w:sz="4" w:space="0" w:color="auto"/>
              <w:right w:val="single" w:sz="4" w:space="0" w:color="auto"/>
            </w:tcBorders>
            <w:noWrap/>
            <w:tcMar>
              <w:top w:w="11" w:type="dxa"/>
              <w:left w:w="11" w:type="dxa"/>
              <w:right w:w="11" w:type="dxa"/>
            </w:tcMar>
            <w:textDirection w:val="tbRlV"/>
            <w:vAlign w:val="center"/>
          </w:tcPr>
          <w:p>
            <w:pPr>
              <w:pStyle w:val="21"/>
              <w:jc w:val="center"/>
              <w:rPr>
                <w:rFonts w:ascii="宋体" w:cs="宋体" w:hAnsi="宋体"/>
                <w:color w:val="000000"/>
                <w:sz w:val="18"/>
                <w:szCs w:val="18"/>
              </w:rPr>
            </w:pPr>
            <w:r>
              <w:rPr>
                <w:rFonts w:ascii="宋体" w:cs="宋体" w:hAnsi="宋体" w:hint="eastAsia"/>
                <w:color w:val="000000"/>
                <w:sz w:val="18"/>
                <w:szCs w:val="18"/>
              </w:rPr>
              <w:t>税款计算</w:t>
            </w: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销项税额</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11</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w:t>
            </w:r>
            <w:r>
              <w:rPr>
                <w:rFonts w:ascii="宋体" w:cs="宋体" w:hAnsi="宋体" w:hint="eastAsia"/>
                <w:color w:val="000000"/>
                <w:sz w:val="16"/>
                <w:szCs w:val="16"/>
              </w:rPr>
              <w:t>　</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进项税额</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12</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w:t>
            </w:r>
            <w:r>
              <w:rPr>
                <w:rFonts w:ascii="宋体" w:cs="宋体" w:hAnsi="宋体" w:hint="eastAsia"/>
                <w:color w:val="000000"/>
                <w:sz w:val="16"/>
                <w:szCs w:val="16"/>
              </w:rPr>
              <w:t>　</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上期留抵税额</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13</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　</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进项税额转出</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14</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　</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　</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免、抵、退应退税额</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15</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按适用税率计算的纳税检查应补缴税额</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16</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应抵扣税额合计</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17=12+13-14-15+16</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color w:val="000000"/>
                <w:sz w:val="16"/>
                <w:szCs w:val="16"/>
              </w:rPr>
            </w:pPr>
            <w:r>
              <w:rPr>
                <w:color w:val="000000"/>
                <w:sz w:val="16"/>
                <w:szCs w:val="16"/>
              </w:rPr>
              <w:t>——</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　</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r>
      <w:tr>
        <w:trPr>
          <w:trHeight w:val="48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实际抵扣税额</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18（如17&lt;11，则为17，否则为11）</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rPr>
            </w:pPr>
            <w:r>
              <w:rPr>
                <w:rFonts w:ascii="宋体" w:cs="宋体" w:hAnsi="宋体" w:hint="eastAsia"/>
                <w:color w:val="000000"/>
              </w:rPr>
              <w:t>　</w:t>
            </w:r>
            <w:r>
              <w:rPr>
                <w:rFonts w:ascii="宋体" w:cs="宋体" w:hAnsi="宋体"/>
                <w:color w:val="FF0000"/>
                <w:sz w:val="18"/>
                <w:szCs w:val="18"/>
              </w:rPr>
              <w:t>XXX.XX</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应纳税额</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19=11-18</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color w:val="000000"/>
                <w:sz w:val="16"/>
                <w:szCs w:val="16"/>
              </w:rPr>
            </w:pPr>
            <w:r>
              <w:rPr>
                <w:rFonts w:ascii="宋体" w:cs="宋体" w:hAnsi="宋体"/>
                <w:color w:val="FF0000"/>
                <w:sz w:val="18"/>
                <w:szCs w:val="18"/>
              </w:rPr>
              <w:t>XXX.XX</w:t>
            </w:r>
            <w:r>
              <w:rPr>
                <w:color w:val="000000"/>
                <w:sz w:val="16"/>
                <w:szCs w:val="16"/>
              </w:rPr>
              <w:t>　</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期末留抵税额</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20=17-18</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rPr>
            </w:pPr>
            <w:r>
              <w:rPr>
                <w:rFonts w:ascii="宋体" w:cs="宋体" w:hAnsi="宋体"/>
                <w:color w:val="FF0000"/>
                <w:sz w:val="18"/>
                <w:szCs w:val="18"/>
              </w:rPr>
              <w:t>XXX.XX</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简易计税办法计算的应纳税额</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21</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按简易计税办法计算的纳税检查应补缴税额</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22</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应纳税额减征额</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23</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应纳税额合计</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24=19+21-23</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r>
      <w:tr>
        <w:trPr>
          <w:trHeight w:val="360"/>
        </w:trPr>
        <w:tc>
          <w:tcPr>
            <w:tcW w:w="1180" w:type="dxa"/>
            <w:vMerge w:val="restart"/>
            <w:tcBorders>
              <w:top w:val="single" w:sz="4" w:space="0" w:color="auto"/>
              <w:left w:val="single" w:sz="4" w:space="0" w:color="auto"/>
              <w:bottom w:val="single" w:sz="4" w:space="0" w:color="auto"/>
              <w:right w:val="single" w:sz="4" w:space="0" w:color="auto"/>
            </w:tcBorders>
            <w:noWrap/>
            <w:tcMar>
              <w:top w:w="11" w:type="dxa"/>
              <w:left w:w="11" w:type="dxa"/>
              <w:right w:w="11" w:type="dxa"/>
            </w:tcMar>
            <w:textDirection w:val="tbRlV"/>
            <w:vAlign w:val="center"/>
          </w:tcPr>
          <w:p>
            <w:pPr>
              <w:pStyle w:val="21"/>
              <w:jc w:val="center"/>
              <w:rPr>
                <w:rFonts w:ascii="宋体" w:cs="宋体" w:hAnsi="宋体"/>
                <w:color w:val="000000"/>
                <w:sz w:val="18"/>
                <w:szCs w:val="18"/>
              </w:rPr>
            </w:pPr>
            <w:r>
              <w:rPr>
                <w:rFonts w:ascii="宋体" w:cs="宋体" w:hAnsi="宋体" w:hint="eastAsia"/>
                <w:color w:val="000000"/>
                <w:sz w:val="18"/>
                <w:szCs w:val="18"/>
              </w:rPr>
              <w:t>税款缴纳</w:t>
            </w: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期初未缴税额（多缴为负数）</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25</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实收出口开具专用缴款书退税额</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26</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本期已缴税额</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27=28+29+30+31</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①分次预缴税额</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28</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　</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②出口开具专用缴款书预缴税额</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29</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③本期缴纳上期应纳税额</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30</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④本期缴纳欠缴税额</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31</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期末未缴税额（多缴为负数）</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32=24+25+26-27</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其中：欠缴税额（≥</w:t>
            </w:r>
            <w:r>
              <w:rPr>
                <w:color w:val="000000"/>
                <w:sz w:val="18"/>
                <w:szCs w:val="18"/>
              </w:rPr>
              <w:t>0</w:t>
            </w:r>
            <w:r>
              <w:rPr>
                <w:rFonts w:ascii="宋体" w:cs="宋体" w:hAnsi="宋体" w:hint="eastAsia"/>
                <w:color w:val="000000"/>
                <w:sz w:val="18"/>
                <w:szCs w:val="18"/>
              </w:rPr>
              <w:t>）</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33=25+26-27</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　</w:t>
            </w:r>
            <w:r>
              <w:rPr>
                <w:rFonts w:ascii="宋体" w:cs="宋体" w:hAnsi="宋体"/>
                <w:color w:val="FF0000"/>
                <w:sz w:val="18"/>
                <w:szCs w:val="18"/>
              </w:rPr>
              <w:t>XXX.XX</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本期应补</w:t>
            </w:r>
            <w:r>
              <w:rPr>
                <w:color w:val="000000"/>
                <w:sz w:val="18"/>
                <w:szCs w:val="18"/>
              </w:rPr>
              <w:t>(</w:t>
            </w:r>
            <w:r>
              <w:rPr>
                <w:rFonts w:ascii="宋体" w:cs="宋体" w:hAnsi="宋体" w:hint="eastAsia"/>
                <w:color w:val="000000"/>
                <w:sz w:val="18"/>
                <w:szCs w:val="18"/>
              </w:rPr>
              <w:t>退</w:t>
            </w:r>
            <w:r>
              <w:rPr>
                <w:color w:val="000000"/>
                <w:sz w:val="18"/>
                <w:szCs w:val="18"/>
              </w:rPr>
              <w:t>)</w:t>
            </w:r>
            <w:r>
              <w:rPr>
                <w:rFonts w:ascii="宋体" w:cs="宋体" w:hAnsi="宋体" w:hint="eastAsia"/>
                <w:color w:val="000000"/>
                <w:sz w:val="18"/>
                <w:szCs w:val="18"/>
              </w:rPr>
              <w:t>税额</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34＝24-28-29</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rPr>
            </w:pPr>
            <w:r>
              <w:rPr>
                <w:rFonts w:ascii="宋体" w:cs="宋体" w:hAnsi="宋体"/>
                <w:color w:val="FF0000"/>
                <w:sz w:val="18"/>
                <w:szCs w:val="18"/>
              </w:rPr>
              <w:t>XXX.XX</w:t>
            </w:r>
            <w:r>
              <w:rPr>
                <w:rFonts w:ascii="宋体" w:cs="宋体" w:hAnsi="宋体" w:hint="eastAsia"/>
                <w:color w:val="000000"/>
              </w:rPr>
              <w:t>　</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rPr>
            </w:pPr>
            <w:r>
              <w:rPr>
                <w:rFonts w:ascii="宋体" w:cs="宋体" w:hAnsi="宋体" w:hint="eastAsia"/>
                <w:color w:val="000000"/>
              </w:rPr>
              <w:t>——</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rPr>
            </w:pPr>
            <w:r>
              <w:rPr>
                <w:rFonts w:ascii="宋体" w:cs="宋体" w:hAnsi="宋体"/>
                <w:color w:val="FF0000"/>
                <w:sz w:val="18"/>
                <w:szCs w:val="18"/>
              </w:rPr>
              <w:t>XXX.XX</w:t>
            </w:r>
            <w:r>
              <w:rPr>
                <w:rFonts w:ascii="宋体" w:cs="宋体" w:hAnsi="宋体" w:hint="eastAsia"/>
                <w:color w:val="000000"/>
              </w:rPr>
              <w:t>　</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rPr>
            </w:pPr>
            <w:r>
              <w:rPr>
                <w:rFonts w:ascii="宋体" w:cs="宋体" w:hAnsi="宋体" w:hint="eastAsia"/>
                <w:color w:val="000000"/>
              </w:rPr>
              <w:t>——</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即征即退实际退税额</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35</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期初未缴查补税额</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36</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本期入库查补税额</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37</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r>
      <w:tr>
        <w:trPr>
          <w:trHeight w:val="360"/>
        </w:trPr>
        <w:tc>
          <w:tcPr>
            <w:tcW w:w="1180" w:type="dxa"/>
            <w:vMerge/>
            <w:tcBorders>
              <w:top w:val="single" w:sz="4" w:space="0" w:color="auto"/>
              <w:left w:val="single" w:sz="4" w:space="0" w:color="auto"/>
              <w:bottom w:val="single" w:sz="4" w:space="0" w:color="auto"/>
              <w:right w:val="single" w:sz="4" w:space="0" w:color="auto"/>
            </w:tcBorders>
            <w:noWrap/>
            <w:vAlign w:val="center"/>
          </w:tcPr>
          <w:p/>
        </w:tc>
        <w:tc>
          <w:tcPr>
            <w:tcW w:w="1748" w:type="dxa"/>
            <w:gridSpan w:val="11"/>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期末未缴查补税额</w:t>
            </w:r>
          </w:p>
        </w:tc>
        <w:tc>
          <w:tcPr>
            <w:tcW w:w="788" w:type="dxa"/>
            <w:gridSpan w:val="5"/>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38=16+22+36-37</w:t>
            </w:r>
          </w:p>
        </w:tc>
        <w:tc>
          <w:tcPr>
            <w:tcW w:w="1111" w:type="dxa"/>
            <w:gridSpan w:val="7"/>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2130" w:type="dxa"/>
            <w:gridSpan w:val="9"/>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color w:val="FF0000"/>
                <w:sz w:val="18"/>
                <w:szCs w:val="18"/>
              </w:rPr>
              <w:t>XXX.XX</w:t>
            </w:r>
            <w:r>
              <w:rPr>
                <w:rFonts w:ascii="宋体" w:cs="宋体" w:hAnsi="宋体" w:hint="eastAsia"/>
                <w:color w:val="000000"/>
                <w:sz w:val="16"/>
                <w:szCs w:val="16"/>
              </w:rPr>
              <w:t>　</w:t>
            </w:r>
          </w:p>
        </w:tc>
        <w:tc>
          <w:tcPr>
            <w:tcW w:w="545"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c>
          <w:tcPr>
            <w:tcW w:w="1014" w:type="dxa"/>
            <w:gridSpan w:val="2"/>
            <w:tcBorders>
              <w:top w:val="single" w:sz="4" w:space="0" w:color="auto"/>
              <w:left w:val="nil"/>
              <w:bottom w:val="single" w:sz="4" w:space="0" w:color="auto"/>
              <w:right w:val="single" w:sz="4" w:space="0" w:color="auto"/>
            </w:tcBorders>
            <w:noWrap/>
            <w:tcMar>
              <w:top w:w="11" w:type="dxa"/>
              <w:left w:w="11" w:type="dxa"/>
              <w:right w:w="11" w:type="dxa"/>
            </w:tcMar>
            <w:vAlign w:val="center"/>
          </w:tcPr>
          <w:p>
            <w:pPr>
              <w:pStyle w:val="21"/>
              <w:jc w:val="center"/>
              <w:rPr>
                <w:rFonts w:ascii="宋体" w:cs="宋体" w:hAnsi="宋体"/>
                <w:color w:val="000000"/>
                <w:sz w:val="16"/>
                <w:szCs w:val="16"/>
              </w:rPr>
            </w:pPr>
            <w:r>
              <w:rPr>
                <w:rFonts w:ascii="宋体" w:cs="宋体" w:hAnsi="宋体" w:hint="eastAsia"/>
                <w:color w:val="000000"/>
                <w:sz w:val="16"/>
                <w:szCs w:val="16"/>
              </w:rPr>
              <w:t>——</w:t>
            </w:r>
          </w:p>
        </w:tc>
      </w:tr>
      <w:tr>
        <w:trPr>
          <w:trHeight w:val="360"/>
        </w:trPr>
        <w:tc>
          <w:tcPr>
            <w:tcW w:w="1187" w:type="dxa"/>
            <w:gridSpan w:val="2"/>
            <w:vMerge w:val="restart"/>
            <w:tcBorders>
              <w:top w:val="single" w:sz="4" w:space="0" w:color="auto"/>
              <w:left w:val="single" w:sz="4" w:space="0" w:color="auto"/>
              <w:bottom w:val="single" w:sz="4" w:space="0" w:color="auto"/>
              <w:right w:val="single" w:sz="4" w:space="0" w:color="auto"/>
            </w:tcBorders>
            <w:noWrap/>
            <w:tcMar>
              <w:top w:w="11" w:type="dxa"/>
              <w:left w:w="11" w:type="dxa"/>
              <w:right w:w="11" w:type="dxa"/>
            </w:tcMar>
            <w:textDirection w:val="tbRlV"/>
            <w:vAlign w:val="center"/>
          </w:tcPr>
          <w:p>
            <w:pPr>
              <w:pStyle w:val="21"/>
              <w:jc w:val="center"/>
              <w:rPr>
                <w:rFonts w:ascii="宋体" w:cs="宋体" w:hAnsi="宋体"/>
                <w:color w:val="000000"/>
                <w:sz w:val="18"/>
                <w:szCs w:val="18"/>
              </w:rPr>
            </w:pPr>
            <w:r>
              <w:rPr>
                <w:rFonts w:ascii="宋体" w:cs="宋体" w:hAnsi="宋体" w:hint="eastAsia"/>
                <w:color w:val="000000"/>
                <w:sz w:val="18"/>
                <w:szCs w:val="18"/>
              </w:rPr>
              <w:t>授权声明</w:t>
            </w:r>
          </w:p>
        </w:tc>
        <w:tc>
          <w:tcPr>
            <w:tcW w:w="2967" w:type="dxa"/>
            <w:gridSpan w:val="18"/>
            <w:tcBorders>
              <w:top w:val="single" w:sz="4" w:space="0" w:color="auto"/>
              <w:left w:val="nil"/>
              <w:bottom w:val="nil"/>
              <w:right w:val="single" w:sz="4" w:space="0" w:color="auto"/>
            </w:tcBorders>
            <w:noWrap/>
            <w:tcMar>
              <w:top w:w="11" w:type="dxa"/>
              <w:left w:w="11" w:type="dxa"/>
              <w:right w:w="11" w:type="dxa"/>
            </w:tcMar>
            <w:vAlign w:val="bottom"/>
          </w:tcPr>
          <w:p>
            <w:pPr>
              <w:pStyle w:val="21"/>
              <w:rPr>
                <w:color w:val="000000"/>
                <w:sz w:val="18"/>
                <w:szCs w:val="18"/>
              </w:rPr>
            </w:pPr>
            <w:r>
              <w:rPr>
                <w:color w:val="000000"/>
                <w:sz w:val="18"/>
                <w:szCs w:val="18"/>
              </w:rPr>
              <w:t>如果你已委托代理人申报，请填写下列资料：</w:t>
            </w:r>
          </w:p>
        </w:tc>
        <w:tc>
          <w:tcPr>
            <w:tcW w:w="673" w:type="dxa"/>
            <w:gridSpan w:val="4"/>
            <w:vMerge w:val="restart"/>
            <w:tcBorders>
              <w:top w:val="single" w:sz="4" w:space="0" w:color="auto"/>
              <w:left w:val="single" w:sz="4" w:space="0" w:color="auto"/>
              <w:bottom w:val="single" w:sz="4" w:space="0" w:color="auto"/>
              <w:right w:val="single" w:sz="4" w:space="0" w:color="auto"/>
            </w:tcBorders>
            <w:noWrap/>
            <w:tcMar>
              <w:top w:w="11" w:type="dxa"/>
              <w:left w:w="11" w:type="dxa"/>
              <w:right w:w="11" w:type="dxa"/>
            </w:tcMar>
            <w:textDirection w:val="tbRlV"/>
            <w:vAlign w:val="center"/>
          </w:tcPr>
          <w:p>
            <w:pPr>
              <w:pStyle w:val="21"/>
              <w:jc w:val="center"/>
              <w:rPr>
                <w:rFonts w:ascii="宋体" w:cs="宋体" w:hAnsi="宋体"/>
                <w:color w:val="000000"/>
                <w:sz w:val="18"/>
                <w:szCs w:val="18"/>
              </w:rPr>
            </w:pPr>
            <w:r>
              <w:rPr>
                <w:rFonts w:ascii="宋体" w:cs="宋体" w:hAnsi="宋体" w:hint="eastAsia"/>
                <w:color w:val="000000"/>
                <w:sz w:val="18"/>
                <w:szCs w:val="18"/>
              </w:rPr>
              <w:t>申报人声明</w:t>
            </w:r>
          </w:p>
        </w:tc>
        <w:tc>
          <w:tcPr>
            <w:tcW w:w="3689" w:type="dxa"/>
            <w:gridSpan w:val="13"/>
            <w:tcBorders>
              <w:top w:val="single" w:sz="4" w:space="0" w:color="auto"/>
              <w:left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　</w:t>
            </w:r>
          </w:p>
        </w:tc>
      </w:tr>
      <w:tr>
        <w:trPr>
          <w:trHeight w:val="360"/>
        </w:trPr>
        <w:tc>
          <w:tcPr>
            <w:tcW w:w="1187" w:type="dxa"/>
            <w:gridSpan w:val="2"/>
            <w:vMerge/>
            <w:tcBorders>
              <w:top w:val="single" w:sz="4" w:space="0" w:color="auto"/>
              <w:left w:val="single" w:sz="4" w:space="0" w:color="auto"/>
              <w:bottom w:val="single" w:sz="4" w:space="0" w:color="auto"/>
              <w:right w:val="single" w:sz="4" w:space="0" w:color="auto"/>
            </w:tcBorders>
            <w:noWrap/>
            <w:vAlign w:val="center"/>
          </w:tcPr>
          <w:p/>
        </w:tc>
        <w:tc>
          <w:tcPr>
            <w:tcW w:w="2967" w:type="dxa"/>
            <w:gridSpan w:val="18"/>
            <w:tcBorders>
              <w:top w:val="nil"/>
              <w:left w:val="nil"/>
              <w:bottom w:val="nil"/>
              <w:right w:val="single" w:sz="4" w:space="0" w:color="auto"/>
            </w:tcBorders>
            <w:noWrap/>
            <w:tcMar>
              <w:top w:w="11" w:type="dxa"/>
              <w:left w:w="11" w:type="dxa"/>
              <w:right w:w="11" w:type="dxa"/>
            </w:tcMar>
            <w:vAlign w:val="bottom"/>
          </w:tcPr>
          <w:p>
            <w:pPr>
              <w:pStyle w:val="21"/>
              <w:rPr>
                <w:color w:val="000000"/>
                <w:sz w:val="18"/>
                <w:szCs w:val="18"/>
              </w:rPr>
            </w:pPr>
            <w:r>
              <w:rPr>
                <w:color w:val="000000"/>
                <w:sz w:val="18"/>
                <w:szCs w:val="18"/>
              </w:rPr>
              <w:t>为代理一切税务事宜，现授权</w:t>
            </w:r>
          </w:p>
        </w:tc>
        <w:tc>
          <w:tcPr>
            <w:tcW w:w="673" w:type="dxa"/>
            <w:gridSpan w:val="4"/>
            <w:vMerge/>
            <w:tcBorders>
              <w:left w:val="single" w:sz="4" w:space="0" w:color="auto"/>
              <w:bottom w:val="single" w:sz="4" w:space="0" w:color="auto"/>
              <w:right w:val="single" w:sz="4" w:space="0" w:color="auto"/>
            </w:tcBorders>
            <w:noWrap/>
            <w:vAlign w:val="center"/>
          </w:tcPr>
          <w:p/>
        </w:tc>
        <w:tc>
          <w:tcPr>
            <w:tcW w:w="3689" w:type="dxa"/>
            <w:gridSpan w:val="13"/>
            <w:vMerge w:val="restart"/>
            <w:tcBorders>
              <w:left w:val="single" w:sz="4" w:space="0" w:color="auto"/>
              <w:right w:val="single" w:sz="4" w:space="0" w:color="auto"/>
            </w:tcBorders>
            <w:noWrap/>
            <w:tcMar>
              <w:top w:w="11" w:type="dxa"/>
              <w:left w:w="11" w:type="dxa"/>
              <w:right w:w="11" w:type="dxa"/>
            </w:tcMar>
            <w:vAlign w:val="center"/>
          </w:tcPr>
          <w:p>
            <w:pPr>
              <w:pStyle w:val="21"/>
              <w:rPr>
                <w:color w:val="000000"/>
                <w:sz w:val="18"/>
                <w:szCs w:val="18"/>
              </w:rPr>
            </w:pPr>
            <w:r>
              <w:rPr>
                <w:rFonts w:hint="eastAsia"/>
                <w:color w:val="000000"/>
                <w:sz w:val="18"/>
                <w:szCs w:val="18"/>
              </w:rPr>
              <w:t>本</w:t>
            </w:r>
            <w:r>
              <w:rPr>
                <w:color w:val="000000"/>
                <w:sz w:val="18"/>
                <w:szCs w:val="18"/>
              </w:rPr>
              <w:t>纳税申报表是根据</w:t>
            </w:r>
            <w:r>
              <w:rPr>
                <w:rFonts w:hint="eastAsia"/>
                <w:color w:val="000000"/>
                <w:sz w:val="18"/>
                <w:szCs w:val="18"/>
              </w:rPr>
              <w:t>国家税收法律法规及相关规定</w:t>
            </w:r>
            <w:r>
              <w:rPr>
                <w:color w:val="000000"/>
                <w:sz w:val="18"/>
                <w:szCs w:val="18"/>
              </w:rPr>
              <w:t>填报的，我</w:t>
            </w:r>
            <w:r>
              <w:rPr>
                <w:rFonts w:hint="eastAsia"/>
                <w:color w:val="000000"/>
                <w:sz w:val="18"/>
                <w:szCs w:val="18"/>
              </w:rPr>
              <w:t>确定</w:t>
            </w:r>
            <w:r>
              <w:rPr>
                <w:rFonts w:ascii="宋体" w:cs="宋体" w:hAnsi="宋体" w:hint="eastAsia"/>
                <w:color w:val="000000"/>
                <w:sz w:val="18"/>
                <w:szCs w:val="18"/>
              </w:rPr>
              <w:t>它是真实的、可靠的、完整的。</w:t>
            </w:r>
          </w:p>
          <w:p>
            <w:pPr>
              <w:pStyle w:val="21"/>
              <w:rPr>
                <w:color w:val="000000"/>
                <w:sz w:val="18"/>
                <w:szCs w:val="18"/>
              </w:rPr>
            </w:pPr>
          </w:p>
        </w:tc>
      </w:tr>
      <w:tr>
        <w:trPr>
          <w:trHeight w:val="360"/>
        </w:trPr>
        <w:tc>
          <w:tcPr>
            <w:tcW w:w="1187" w:type="dxa"/>
            <w:gridSpan w:val="2"/>
            <w:vMerge/>
            <w:tcBorders>
              <w:top w:val="single" w:sz="4" w:space="0" w:color="auto"/>
              <w:left w:val="single" w:sz="4" w:space="0" w:color="auto"/>
              <w:bottom w:val="single" w:sz="4" w:space="0" w:color="auto"/>
              <w:right w:val="single" w:sz="4" w:space="0" w:color="auto"/>
            </w:tcBorders>
            <w:noWrap/>
            <w:vAlign w:val="center"/>
          </w:tcPr>
          <w:p/>
        </w:tc>
        <w:tc>
          <w:tcPr>
            <w:tcW w:w="2967" w:type="dxa"/>
            <w:gridSpan w:val="18"/>
            <w:tcBorders>
              <w:top w:val="nil"/>
              <w:left w:val="nil"/>
              <w:bottom w:val="nil"/>
              <w:right w:val="single" w:sz="4" w:space="0" w:color="auto"/>
            </w:tcBorders>
            <w:noWrap/>
            <w:tcMar>
              <w:top w:w="11" w:type="dxa"/>
              <w:left w:w="11" w:type="dxa"/>
              <w:right w:w="11" w:type="dxa"/>
            </w:tcMar>
            <w:vAlign w:val="bottom"/>
          </w:tcPr>
          <w:p>
            <w:pPr>
              <w:pStyle w:val="21"/>
              <w:rPr>
                <w:rFonts w:ascii="宋体" w:cs="宋体" w:hAnsi="宋体"/>
                <w:color w:val="000000"/>
                <w:sz w:val="18"/>
                <w:szCs w:val="18"/>
              </w:rPr>
            </w:pPr>
            <w:r>
              <w:rPr>
                <w:rFonts w:ascii="宋体" w:cs="宋体" w:hAnsi="宋体" w:hint="eastAsia"/>
                <w:color w:val="000000"/>
                <w:sz w:val="18"/>
                <w:szCs w:val="18"/>
              </w:rPr>
              <w:t>（地址）为本纳税人的代理申报人，任何与本</w:t>
            </w:r>
          </w:p>
        </w:tc>
        <w:tc>
          <w:tcPr>
            <w:tcW w:w="673" w:type="dxa"/>
            <w:gridSpan w:val="4"/>
            <w:vMerge/>
            <w:tcBorders>
              <w:left w:val="single" w:sz="4" w:space="0" w:color="auto"/>
              <w:bottom w:val="single" w:sz="4" w:space="0" w:color="auto"/>
              <w:right w:val="single" w:sz="4" w:space="0" w:color="auto"/>
            </w:tcBorders>
            <w:noWrap/>
            <w:vAlign w:val="center"/>
          </w:tcPr>
          <w:p/>
        </w:tc>
        <w:tc>
          <w:tcPr>
            <w:tcW w:w="3689" w:type="dxa"/>
            <w:gridSpan w:val="13"/>
            <w:vMerge/>
            <w:tcBorders>
              <w:left w:val="single" w:sz="4" w:space="0" w:color="auto"/>
              <w:right w:val="single" w:sz="4" w:space="0" w:color="auto"/>
            </w:tcBorders>
            <w:noWrap/>
            <w:tcMar>
              <w:top w:w="11" w:type="dxa"/>
              <w:left w:w="11" w:type="dxa"/>
              <w:right w:w="11" w:type="dxa"/>
            </w:tcMar>
            <w:vAlign w:val="center"/>
          </w:tcPr>
          <w:p/>
        </w:tc>
      </w:tr>
      <w:tr>
        <w:trPr>
          <w:trHeight w:val="360"/>
        </w:trPr>
        <w:tc>
          <w:tcPr>
            <w:tcW w:w="1187" w:type="dxa"/>
            <w:gridSpan w:val="2"/>
            <w:vMerge/>
            <w:tcBorders>
              <w:top w:val="single" w:sz="4" w:space="0" w:color="auto"/>
              <w:left w:val="single" w:sz="4" w:space="0" w:color="auto"/>
              <w:bottom w:val="single" w:sz="4" w:space="0" w:color="auto"/>
              <w:right w:val="single" w:sz="4" w:space="0" w:color="auto"/>
            </w:tcBorders>
            <w:noWrap/>
            <w:vAlign w:val="center"/>
          </w:tcPr>
          <w:p/>
        </w:tc>
        <w:tc>
          <w:tcPr>
            <w:tcW w:w="2967" w:type="dxa"/>
            <w:gridSpan w:val="18"/>
            <w:tcBorders>
              <w:top w:val="nil"/>
              <w:left w:val="nil"/>
              <w:bottom w:val="nil"/>
              <w:right w:val="single" w:sz="4" w:space="0" w:color="auto"/>
            </w:tcBorders>
            <w:noWrap/>
            <w:tcMar>
              <w:top w:w="11" w:type="dxa"/>
              <w:left w:w="11" w:type="dxa"/>
              <w:right w:w="11" w:type="dxa"/>
            </w:tcMar>
            <w:vAlign w:val="bottom"/>
          </w:tcPr>
          <w:p>
            <w:pPr>
              <w:pStyle w:val="21"/>
              <w:rPr>
                <w:rFonts w:ascii="宋体" w:cs="宋体" w:hAnsi="宋体"/>
                <w:color w:val="000000"/>
                <w:sz w:val="18"/>
                <w:szCs w:val="18"/>
              </w:rPr>
            </w:pPr>
            <w:r>
              <w:rPr>
                <w:rFonts w:ascii="宋体" w:cs="宋体" w:hAnsi="宋体" w:hint="eastAsia"/>
                <w:color w:val="000000"/>
                <w:sz w:val="18"/>
                <w:szCs w:val="18"/>
              </w:rPr>
              <w:t>申报表有关的往来文件，都可寄予此人。</w:t>
            </w:r>
          </w:p>
        </w:tc>
        <w:tc>
          <w:tcPr>
            <w:tcW w:w="673" w:type="dxa"/>
            <w:gridSpan w:val="4"/>
            <w:vMerge/>
            <w:tcBorders>
              <w:left w:val="single" w:sz="4" w:space="0" w:color="auto"/>
              <w:bottom w:val="single" w:sz="4" w:space="0" w:color="auto"/>
              <w:right w:val="single" w:sz="4" w:space="0" w:color="auto"/>
            </w:tcBorders>
            <w:noWrap/>
            <w:vAlign w:val="center"/>
          </w:tcPr>
          <w:p/>
        </w:tc>
        <w:tc>
          <w:tcPr>
            <w:tcW w:w="3689" w:type="dxa"/>
            <w:gridSpan w:val="13"/>
            <w:tcBorders>
              <w:left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　</w:t>
            </w:r>
          </w:p>
        </w:tc>
      </w:tr>
      <w:tr>
        <w:trPr>
          <w:trHeight w:val="360"/>
        </w:trPr>
        <w:tc>
          <w:tcPr>
            <w:tcW w:w="1187" w:type="dxa"/>
            <w:gridSpan w:val="2"/>
            <w:vMerge/>
            <w:tcBorders>
              <w:top w:val="single" w:sz="4" w:space="0" w:color="auto"/>
              <w:left w:val="single" w:sz="4" w:space="0" w:color="auto"/>
              <w:bottom w:val="single" w:sz="4" w:space="0" w:color="auto"/>
              <w:right w:val="single" w:sz="4" w:space="0" w:color="auto"/>
            </w:tcBorders>
            <w:noWrap/>
            <w:vAlign w:val="center"/>
          </w:tcPr>
          <w:p/>
        </w:tc>
        <w:tc>
          <w:tcPr>
            <w:tcW w:w="2967" w:type="dxa"/>
            <w:gridSpan w:val="18"/>
            <w:tcBorders>
              <w:top w:val="nil"/>
              <w:left w:val="nil"/>
              <w:bottom w:val="nil"/>
              <w:right w:val="single" w:sz="4" w:space="0" w:color="auto"/>
            </w:tcBorders>
            <w:noWrap/>
            <w:tcMar>
              <w:top w:w="11" w:type="dxa"/>
              <w:left w:w="11" w:type="dxa"/>
              <w:right w:w="11" w:type="dxa"/>
            </w:tcMar>
            <w:textDirection w:val="tbRlV"/>
            <w:vAlign w:val="center"/>
          </w:tcPr>
          <w:p>
            <w:pPr>
              <w:pStyle w:val="21"/>
              <w:jc w:val="center"/>
              <w:rPr>
                <w:rFonts w:ascii="宋体" w:cs="宋体" w:hAnsi="宋体"/>
                <w:color w:val="000000"/>
                <w:sz w:val="18"/>
                <w:szCs w:val="18"/>
              </w:rPr>
            </w:pPr>
            <w:r>
              <w:rPr>
                <w:rFonts w:ascii="宋体" w:cs="宋体" w:hAnsi="宋体" w:hint="eastAsia"/>
                <w:color w:val="000000"/>
                <w:sz w:val="18"/>
                <w:szCs w:val="18"/>
              </w:rPr>
              <w:t>　</w:t>
            </w:r>
          </w:p>
        </w:tc>
        <w:tc>
          <w:tcPr>
            <w:tcW w:w="673" w:type="dxa"/>
            <w:gridSpan w:val="4"/>
            <w:vMerge/>
            <w:tcBorders>
              <w:left w:val="single" w:sz="4" w:space="0" w:color="auto"/>
              <w:bottom w:val="single" w:sz="4" w:space="0" w:color="auto"/>
              <w:right w:val="single" w:sz="4" w:space="0" w:color="auto"/>
            </w:tcBorders>
            <w:noWrap/>
            <w:vAlign w:val="center"/>
          </w:tcPr>
          <w:p/>
        </w:tc>
        <w:tc>
          <w:tcPr>
            <w:tcW w:w="3689" w:type="dxa"/>
            <w:gridSpan w:val="13"/>
            <w:tcBorders>
              <w:left w:val="single" w:sz="4" w:space="0" w:color="auto"/>
              <w:right w:val="single" w:sz="4" w:space="0" w:color="auto"/>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　</w:t>
            </w:r>
          </w:p>
        </w:tc>
      </w:tr>
      <w:tr>
        <w:trPr>
          <w:trHeight w:val="360"/>
        </w:trPr>
        <w:tc>
          <w:tcPr>
            <w:tcW w:w="1187" w:type="dxa"/>
            <w:gridSpan w:val="2"/>
            <w:vMerge/>
            <w:tcBorders>
              <w:top w:val="single" w:sz="4" w:space="0" w:color="auto"/>
              <w:left w:val="single" w:sz="4" w:space="0" w:color="auto"/>
              <w:bottom w:val="single" w:sz="4" w:space="0" w:color="auto"/>
              <w:right w:val="single" w:sz="4" w:space="0" w:color="auto"/>
            </w:tcBorders>
            <w:noWrap/>
            <w:vAlign w:val="center"/>
          </w:tcPr>
          <w:p/>
        </w:tc>
        <w:tc>
          <w:tcPr>
            <w:tcW w:w="2967" w:type="dxa"/>
            <w:gridSpan w:val="18"/>
            <w:tcBorders>
              <w:top w:val="nil"/>
              <w:left w:val="nil"/>
              <w:bottom w:val="single" w:sz="4" w:space="0" w:color="auto"/>
              <w:right w:val="single" w:sz="4" w:space="0" w:color="auto"/>
            </w:tcBorders>
            <w:noWrap/>
            <w:tcMar>
              <w:top w:w="11" w:type="dxa"/>
              <w:left w:w="11" w:type="dxa"/>
              <w:right w:w="11" w:type="dxa"/>
            </w:tcMar>
            <w:vAlign w:val="center"/>
          </w:tcPr>
          <w:p>
            <w:pPr>
              <w:pStyle w:val="21"/>
              <w:ind w:left="720" w:hanging="720"/>
              <w:rPr>
                <w:color w:val="000000"/>
                <w:sz w:val="18"/>
                <w:szCs w:val="18"/>
              </w:rPr>
            </w:pPr>
            <w:r>
              <w:rPr>
                <w:color w:val="000000"/>
                <w:sz w:val="18"/>
                <w:szCs w:val="18"/>
              </w:rPr>
              <w:t>授权人签字：</w:t>
            </w:r>
            <w:r>
              <w:rPr>
                <w:rFonts w:ascii="宋体" w:cs="宋体" w:hAnsi="宋体"/>
                <w:color w:val="FF0000"/>
                <w:sz w:val="18"/>
                <w:szCs w:val="18"/>
              </w:rPr>
              <w:t>XXX</w:t>
            </w:r>
          </w:p>
        </w:tc>
        <w:tc>
          <w:tcPr>
            <w:tcW w:w="673" w:type="dxa"/>
            <w:gridSpan w:val="4"/>
            <w:vMerge/>
            <w:tcBorders>
              <w:left w:val="single" w:sz="4" w:space="0" w:color="auto"/>
              <w:bottom w:val="single" w:sz="4" w:space="0" w:color="auto"/>
              <w:right w:val="single" w:sz="4" w:space="0" w:color="auto"/>
            </w:tcBorders>
            <w:noWrap/>
            <w:vAlign w:val="center"/>
          </w:tcPr>
          <w:p/>
        </w:tc>
        <w:tc>
          <w:tcPr>
            <w:tcW w:w="3689" w:type="dxa"/>
            <w:gridSpan w:val="13"/>
            <w:tcBorders>
              <w:left w:val="single" w:sz="4" w:space="0" w:color="auto"/>
              <w:bottom w:val="single" w:sz="4" w:space="0" w:color="auto"/>
              <w:right w:val="single" w:sz="4" w:space="0" w:color="auto"/>
            </w:tcBorders>
            <w:noWrap/>
            <w:tcMar>
              <w:top w:w="11" w:type="dxa"/>
              <w:left w:w="11" w:type="dxa"/>
              <w:right w:w="11" w:type="dxa"/>
            </w:tcMar>
            <w:vAlign w:val="center"/>
          </w:tcPr>
          <w:p>
            <w:pPr>
              <w:pStyle w:val="21"/>
              <w:ind w:left="1260" w:hanging="1260"/>
              <w:rPr>
                <w:color w:val="000000"/>
                <w:sz w:val="18"/>
                <w:szCs w:val="18"/>
              </w:rPr>
            </w:pPr>
            <w:r>
              <w:rPr>
                <w:color w:val="000000"/>
                <w:sz w:val="18"/>
                <w:szCs w:val="18"/>
              </w:rPr>
              <w:t>声明人签字：</w:t>
            </w:r>
            <w:r>
              <w:rPr>
                <w:rFonts w:ascii="宋体" w:cs="宋体" w:hAnsi="宋体"/>
                <w:color w:val="FF0000"/>
                <w:sz w:val="18"/>
                <w:szCs w:val="18"/>
              </w:rPr>
              <w:t>XXX</w:t>
            </w:r>
          </w:p>
        </w:tc>
      </w:tr>
      <w:tr>
        <w:trPr>
          <w:trHeight w:val="360"/>
        </w:trPr>
        <w:tc>
          <w:tcPr>
            <w:tcW w:w="1977" w:type="dxa"/>
            <w:gridSpan w:val="7"/>
            <w:tcBorders>
              <w:top w:val="nil"/>
              <w:left w:val="nil"/>
              <w:bottom w:val="nil"/>
              <w:right w:val="nil"/>
            </w:tcBorders>
            <w:noWrap/>
            <w:tcMar>
              <w:top w:w="11" w:type="dxa"/>
              <w:left w:w="11" w:type="dxa"/>
              <w:right w:w="11" w:type="dxa"/>
            </w:tcMar>
            <w:vAlign w:val="center"/>
          </w:tcPr>
          <w:p>
            <w:pPr>
              <w:pStyle w:val="21"/>
              <w:rPr>
                <w:rFonts w:ascii="宋体" w:cs="宋体" w:hAnsi="宋体"/>
                <w:color w:val="000000"/>
                <w:sz w:val="18"/>
                <w:szCs w:val="18"/>
              </w:rPr>
            </w:pPr>
            <w:r>
              <w:rPr>
                <w:rFonts w:ascii="宋体" w:cs="宋体" w:hAnsi="宋体" w:hint="eastAsia"/>
                <w:color w:val="000000"/>
                <w:sz w:val="18"/>
                <w:szCs w:val="18"/>
              </w:rPr>
              <w:t>主管税务机关：</w:t>
            </w:r>
          </w:p>
        </w:tc>
        <w:tc>
          <w:tcPr>
            <w:tcW w:w="1739" w:type="dxa"/>
            <w:gridSpan w:val="10"/>
            <w:tcBorders>
              <w:top w:val="nil"/>
              <w:left w:val="nil"/>
              <w:bottom w:val="nil"/>
              <w:right w:val="nil"/>
            </w:tcBorders>
            <w:noWrap/>
            <w:tcMar>
              <w:top w:w="11" w:type="dxa"/>
              <w:left w:w="11" w:type="dxa"/>
              <w:right w:w="11" w:type="dxa"/>
            </w:tcMar>
            <w:vAlign w:val="center"/>
          </w:tcPr>
          <w:p>
            <w:pPr>
              <w:pStyle w:val="21"/>
              <w:rPr>
                <w:rFonts w:ascii="宋体" w:cs="宋体" w:hAnsi="宋体"/>
                <w:color w:val="000000"/>
                <w:sz w:val="18"/>
                <w:szCs w:val="18"/>
              </w:rPr>
            </w:pPr>
          </w:p>
        </w:tc>
        <w:tc>
          <w:tcPr>
            <w:tcW w:w="903" w:type="dxa"/>
            <w:gridSpan w:val="6"/>
            <w:tcBorders>
              <w:top w:val="nil"/>
              <w:left w:val="nil"/>
              <w:bottom w:val="nil"/>
              <w:right w:val="nil"/>
            </w:tcBorders>
            <w:noWrap/>
            <w:tcMar>
              <w:top w:w="11" w:type="dxa"/>
              <w:left w:w="11" w:type="dxa"/>
              <w:right w:w="11" w:type="dxa"/>
            </w:tcMar>
            <w:vAlign w:val="center"/>
          </w:tcPr>
          <w:p>
            <w:pPr>
              <w:pStyle w:val="21"/>
              <w:jc w:val="center"/>
              <w:rPr>
                <w:rFonts w:ascii="宋体" w:cs="宋体" w:hAnsi="宋体"/>
                <w:color w:val="000000"/>
                <w:sz w:val="18"/>
                <w:szCs w:val="18"/>
              </w:rPr>
            </w:pPr>
            <w:r>
              <w:rPr>
                <w:rFonts w:ascii="宋体" w:cs="宋体" w:hAnsi="宋体" w:hint="eastAsia"/>
                <w:color w:val="000000"/>
                <w:sz w:val="18"/>
                <w:szCs w:val="18"/>
              </w:rPr>
              <w:t>接收人：</w:t>
            </w:r>
          </w:p>
        </w:tc>
        <w:tc>
          <w:tcPr>
            <w:tcW w:w="1633" w:type="dxa"/>
            <w:gridSpan w:val="9"/>
            <w:tcBorders>
              <w:top w:val="nil"/>
              <w:left w:val="nil"/>
              <w:bottom w:val="nil"/>
              <w:right w:val="nil"/>
            </w:tcBorders>
            <w:noWrap/>
            <w:tcMar>
              <w:top w:w="11" w:type="dxa"/>
              <w:left w:w="11" w:type="dxa"/>
              <w:right w:w="11" w:type="dxa"/>
            </w:tcMar>
            <w:vAlign w:val="center"/>
          </w:tcPr>
          <w:p>
            <w:pPr>
              <w:pStyle w:val="21"/>
              <w:rPr>
                <w:rFonts w:ascii="宋体" w:cs="宋体" w:hAnsi="宋体"/>
                <w:color w:val="000000"/>
                <w:sz w:val="18"/>
                <w:szCs w:val="18"/>
              </w:rPr>
            </w:pPr>
          </w:p>
        </w:tc>
        <w:tc>
          <w:tcPr>
            <w:tcW w:w="2264" w:type="dxa"/>
            <w:gridSpan w:val="5"/>
            <w:tcBorders>
              <w:top w:val="nil"/>
              <w:left w:val="nil"/>
              <w:bottom w:val="nil"/>
              <w:right w:val="nil"/>
            </w:tcBorders>
            <w:noWrap/>
            <w:tcMar>
              <w:top w:w="11" w:type="dxa"/>
              <w:left w:w="11" w:type="dxa"/>
              <w:right w:w="11" w:type="dxa"/>
            </w:tcMar>
            <w:vAlign w:val="center"/>
          </w:tcPr>
          <w:p>
            <w:pPr>
              <w:pStyle w:val="21"/>
              <w:rPr>
                <w:color w:val="000000"/>
                <w:sz w:val="18"/>
                <w:szCs w:val="18"/>
              </w:rPr>
            </w:pPr>
            <w:r>
              <w:rPr>
                <w:rFonts w:hint="eastAsia"/>
                <w:color w:val="000000"/>
                <w:sz w:val="18"/>
                <w:szCs w:val="18"/>
              </w:rPr>
              <w:t>接收</w:t>
            </w:r>
            <w:r>
              <w:rPr>
                <w:color w:val="000000"/>
                <w:sz w:val="18"/>
                <w:szCs w:val="18"/>
              </w:rPr>
              <w:t>日期：</w:t>
            </w:r>
          </w:p>
        </w:tc>
      </w:tr>
    </w:tbl>
    <w:p>
      <w:pPr>
        <w:pStyle w:val="18"/>
        <w:keepNext/>
        <w:widowControl/>
        <w:topLinePunct/>
        <w:adjustRightInd w:val="0"/>
        <w:ind w:firstLine="403"/>
        <w:rPr>
          <w:rFonts w:ascii="宋体" w:eastAsia="宋体"/>
          <w:color w:val="000000"/>
        </w:rPr>
      </w:pPr>
      <w:r>
        <w:rPr>
          <w:rFonts w:ascii="宋体" w:eastAsia="宋体" w:hint="eastAsia"/>
          <w:color w:val="000000"/>
        </w:rPr>
        <w:t>【表单说明】</w:t>
      </w:r>
    </w:p>
    <w:p>
      <w:pPr>
        <w:pStyle w:val="20"/>
        <w:rPr>
          <w:rFonts w:ascii="宋体"/>
          <w:color w:val="000000"/>
          <w:szCs w:val="22"/>
        </w:rPr>
      </w:pPr>
      <w:bookmarkStart w:id="1" w:name="_Hlk4424196"/>
      <w:r>
        <w:rPr>
          <w:rFonts w:ascii="宋体" w:hint="eastAsia"/>
          <w:color w:val="000000"/>
          <w:szCs w:val="22"/>
        </w:rPr>
        <w:t>本纳税申报表及其附列资料填写说明（以下简称本表及填写说明）适用于增值税一般纳税人（以下简称纳税人）。</w:t>
      </w:r>
    </w:p>
    <w:p>
      <w:pPr>
        <w:pStyle w:val="20"/>
        <w:rPr>
          <w:rFonts w:ascii="宋体"/>
          <w:color w:val="000000"/>
          <w:szCs w:val="22"/>
        </w:rPr>
      </w:pPr>
      <w:r>
        <w:rPr>
          <w:rFonts w:ascii="宋体" w:hint="eastAsia"/>
          <w:color w:val="000000"/>
          <w:szCs w:val="22"/>
        </w:rPr>
        <w:t>一、名词解释</w:t>
      </w:r>
    </w:p>
    <w:p>
      <w:pPr>
        <w:pStyle w:val="20"/>
        <w:rPr>
          <w:rFonts w:ascii="宋体"/>
          <w:color w:val="000000"/>
          <w:szCs w:val="22"/>
        </w:rPr>
      </w:pPr>
      <w:r>
        <w:rPr>
          <w:rFonts w:ascii="宋体" w:hint="eastAsia"/>
          <w:color w:val="000000"/>
          <w:szCs w:val="22"/>
        </w:rPr>
        <w:t>（一）本表及填写说明所称“货物”，是指增值税的应税货物。</w:t>
      </w:r>
    </w:p>
    <w:p>
      <w:pPr>
        <w:pStyle w:val="20"/>
        <w:rPr>
          <w:rFonts w:ascii="宋体"/>
          <w:color w:val="000000"/>
          <w:szCs w:val="22"/>
        </w:rPr>
      </w:pPr>
      <w:r>
        <w:rPr>
          <w:rFonts w:ascii="宋体" w:hint="eastAsia"/>
          <w:color w:val="000000"/>
          <w:szCs w:val="22"/>
        </w:rPr>
        <w:t>（二）本表及填写说明所称“劳务”，是指增值税的应税加工、修理、修配劳务。</w:t>
      </w:r>
    </w:p>
    <w:p>
      <w:pPr>
        <w:pStyle w:val="20"/>
        <w:rPr>
          <w:rFonts w:ascii="宋体"/>
          <w:color w:val="000000"/>
          <w:szCs w:val="22"/>
        </w:rPr>
      </w:pPr>
      <w:r>
        <w:rPr>
          <w:rFonts w:ascii="宋体" w:hint="eastAsia"/>
          <w:color w:val="000000"/>
          <w:szCs w:val="22"/>
        </w:rPr>
        <w:t>（三）本表及填写说明所称“服务、不动产和无形资产”，是指销售服务、不动产和无形资产。</w:t>
      </w:r>
    </w:p>
    <w:p>
      <w:pPr>
        <w:pStyle w:val="20"/>
        <w:rPr>
          <w:rFonts w:ascii="宋体"/>
          <w:color w:val="000000"/>
          <w:szCs w:val="22"/>
        </w:rPr>
      </w:pPr>
      <w:r>
        <w:rPr>
          <w:rFonts w:ascii="宋体" w:hint="eastAsia"/>
          <w:color w:val="000000"/>
          <w:szCs w:val="22"/>
        </w:rPr>
        <w:t>（四）本表及填写说明所称“按适用税率计税</w:t>
      </w:r>
      <w:r>
        <w:rPr>
          <w:rFonts w:ascii="宋体" w:hint="eastAsia"/>
          <w:szCs w:val="21"/>
        </w:rPr>
        <w:t>”“</w:t>
      </w:r>
      <w:r>
        <w:rPr>
          <w:rFonts w:ascii="宋体" w:hint="eastAsia"/>
          <w:color w:val="000000"/>
          <w:szCs w:val="22"/>
        </w:rPr>
        <w:t>按适用税率计算”和“一般计税方法”，均指按“应纳税额＝当期销项税额-当期进项税额”公式计算增值税应纳税额的计税方法。</w:t>
      </w:r>
    </w:p>
    <w:p>
      <w:pPr>
        <w:pStyle w:val="20"/>
        <w:rPr>
          <w:rFonts w:ascii="宋体"/>
          <w:color w:val="000000"/>
          <w:szCs w:val="22"/>
        </w:rPr>
      </w:pPr>
      <w:r>
        <w:rPr>
          <w:rFonts w:ascii="宋体" w:hint="eastAsia"/>
          <w:color w:val="000000"/>
          <w:szCs w:val="22"/>
        </w:rPr>
        <w:t>（五）本表及填写说明所称“按简易办法计税</w:t>
      </w:r>
      <w:r>
        <w:rPr>
          <w:rFonts w:ascii="宋体" w:hint="eastAsia"/>
          <w:szCs w:val="21"/>
        </w:rPr>
        <w:t>”“</w:t>
      </w:r>
      <w:r>
        <w:rPr>
          <w:rFonts w:ascii="宋体" w:hint="eastAsia"/>
          <w:color w:val="000000"/>
          <w:szCs w:val="22"/>
        </w:rPr>
        <w:t>按简易征收办法计算”和“简易计税方法”，均指按“应纳税额＝销售额×征收率”公式计算增值税应纳税额的计税方法。</w:t>
      </w:r>
    </w:p>
    <w:p>
      <w:pPr>
        <w:pStyle w:val="20"/>
        <w:rPr>
          <w:rFonts w:ascii="宋体"/>
          <w:color w:val="000000"/>
          <w:szCs w:val="22"/>
        </w:rPr>
      </w:pPr>
      <w:r>
        <w:rPr>
          <w:rFonts w:ascii="宋体" w:hint="eastAsia"/>
          <w:color w:val="000000"/>
          <w:szCs w:val="22"/>
        </w:rPr>
        <w:t>（六）本表及填写说明所称“扣除项目”，是指纳税人销售服务、不动产和无形资产，在确定销售额时，按照有关规定允许其从取得的全部价款和价外费用中扣除价款的项目。</w:t>
      </w:r>
    </w:p>
    <w:p>
      <w:pPr>
        <w:pStyle w:val="20"/>
        <w:rPr>
          <w:rFonts w:ascii="宋体"/>
          <w:color w:val="000000"/>
          <w:szCs w:val="22"/>
        </w:rPr>
      </w:pPr>
      <w:r>
        <w:rPr>
          <w:rFonts w:ascii="宋体" w:hint="eastAsia"/>
          <w:color w:val="000000"/>
          <w:szCs w:val="22"/>
        </w:rPr>
        <w:t>二、《增值税纳税申报表（一般纳税人适用）》填写说明</w:t>
      </w:r>
    </w:p>
    <w:p>
      <w:pPr>
        <w:pStyle w:val="20"/>
        <w:rPr>
          <w:rFonts w:ascii="宋体"/>
          <w:color w:val="000000"/>
          <w:szCs w:val="22"/>
        </w:rPr>
      </w:pPr>
      <w:r>
        <w:rPr>
          <w:rFonts w:ascii="宋体" w:hint="eastAsia"/>
          <w:color w:val="000000"/>
          <w:szCs w:val="22"/>
        </w:rPr>
        <w:t>（一）“税款所属时间”：指纳税人申报的增值税应纳税额的所属时间，应填写具体的起止年、月、日。</w:t>
      </w:r>
    </w:p>
    <w:p>
      <w:pPr>
        <w:pStyle w:val="20"/>
        <w:rPr>
          <w:rFonts w:ascii="宋体"/>
          <w:color w:val="000000"/>
          <w:szCs w:val="22"/>
        </w:rPr>
      </w:pPr>
      <w:r>
        <w:rPr>
          <w:rFonts w:ascii="宋体" w:hint="eastAsia"/>
          <w:color w:val="000000"/>
          <w:szCs w:val="22"/>
        </w:rPr>
        <w:t>（二）“填表日期”：指纳税人填写本表的具体日期。</w:t>
      </w:r>
    </w:p>
    <w:p>
      <w:pPr>
        <w:pStyle w:val="20"/>
        <w:rPr>
          <w:rFonts w:ascii="宋体"/>
          <w:color w:val="000000"/>
          <w:szCs w:val="22"/>
        </w:rPr>
      </w:pPr>
      <w:r>
        <w:rPr>
          <w:rFonts w:ascii="宋体" w:hint="eastAsia"/>
          <w:color w:val="000000"/>
          <w:szCs w:val="22"/>
        </w:rPr>
        <w:t>（三）“纳税人识别号”：填写纳税人的税务登记证件号码</w:t>
      </w:r>
      <w:r>
        <w:rPr>
          <w:rFonts w:ascii="宋体" w:hint="eastAsia"/>
          <w:szCs w:val="21"/>
        </w:rPr>
        <w:t>（统一社会信用代码）</w:t>
      </w:r>
      <w:r>
        <w:rPr>
          <w:rFonts w:ascii="宋体" w:hint="eastAsia"/>
          <w:color w:val="000000"/>
          <w:szCs w:val="22"/>
        </w:rPr>
        <w:t>。</w:t>
      </w:r>
    </w:p>
    <w:p>
      <w:pPr>
        <w:pStyle w:val="20"/>
        <w:rPr>
          <w:rFonts w:ascii="宋体"/>
          <w:color w:val="000000"/>
          <w:szCs w:val="22"/>
        </w:rPr>
      </w:pPr>
      <w:r>
        <w:rPr>
          <w:rFonts w:ascii="宋体" w:hint="eastAsia"/>
          <w:color w:val="000000"/>
          <w:szCs w:val="22"/>
        </w:rPr>
        <w:t>（四）“所属行业”：按照国民经济行业分类与代码中的小类行业填写。</w:t>
      </w:r>
    </w:p>
    <w:p>
      <w:pPr>
        <w:pStyle w:val="20"/>
        <w:rPr>
          <w:rFonts w:ascii="宋体"/>
          <w:color w:val="000000"/>
          <w:szCs w:val="22"/>
        </w:rPr>
      </w:pPr>
      <w:r>
        <w:rPr>
          <w:rFonts w:ascii="宋体" w:hint="eastAsia"/>
          <w:color w:val="000000"/>
          <w:szCs w:val="22"/>
        </w:rPr>
        <w:t>（五）“纳税人名称”：填写纳税人单位名称全称。</w:t>
      </w:r>
    </w:p>
    <w:p>
      <w:pPr>
        <w:pStyle w:val="20"/>
        <w:rPr>
          <w:rFonts w:ascii="宋体"/>
          <w:color w:val="000000"/>
          <w:szCs w:val="22"/>
        </w:rPr>
      </w:pPr>
      <w:r>
        <w:rPr>
          <w:rFonts w:ascii="宋体" w:hint="eastAsia"/>
          <w:color w:val="000000"/>
          <w:szCs w:val="22"/>
        </w:rPr>
        <w:t>（六）“法定代表人姓名”：填写纳税人法定代表人的姓名。</w:t>
      </w:r>
    </w:p>
    <w:p>
      <w:pPr>
        <w:pStyle w:val="20"/>
        <w:rPr>
          <w:rFonts w:ascii="宋体"/>
          <w:color w:val="000000"/>
          <w:szCs w:val="22"/>
        </w:rPr>
      </w:pPr>
      <w:r>
        <w:rPr>
          <w:rFonts w:ascii="宋体" w:hint="eastAsia"/>
          <w:color w:val="000000"/>
          <w:szCs w:val="22"/>
        </w:rPr>
        <w:t>（七）“注册地址”：填写纳税人税务登记证件所注明的详细地址。</w:t>
      </w:r>
    </w:p>
    <w:p>
      <w:pPr>
        <w:pStyle w:val="20"/>
        <w:rPr>
          <w:rFonts w:ascii="宋体"/>
          <w:color w:val="000000"/>
          <w:szCs w:val="22"/>
        </w:rPr>
      </w:pPr>
      <w:r>
        <w:rPr>
          <w:rFonts w:ascii="宋体" w:hint="eastAsia"/>
          <w:color w:val="000000"/>
          <w:szCs w:val="22"/>
        </w:rPr>
        <w:t>（八）“生产经营地址”：填写纳税人实际生产经营地的详细地址。</w:t>
      </w:r>
    </w:p>
    <w:p>
      <w:pPr>
        <w:pStyle w:val="20"/>
        <w:rPr>
          <w:rFonts w:ascii="宋体"/>
          <w:color w:val="000000"/>
          <w:szCs w:val="22"/>
        </w:rPr>
      </w:pPr>
      <w:r>
        <w:rPr>
          <w:rFonts w:ascii="宋体" w:hint="eastAsia"/>
          <w:color w:val="000000"/>
          <w:szCs w:val="22"/>
        </w:rPr>
        <w:t>（九）“开户银行及账号”：填写纳税人开户银行的名称和纳税人在该银行的结算账户号码。</w:t>
      </w:r>
    </w:p>
    <w:p>
      <w:pPr>
        <w:pStyle w:val="20"/>
        <w:rPr>
          <w:rFonts w:ascii="宋体"/>
          <w:color w:val="000000"/>
          <w:szCs w:val="22"/>
        </w:rPr>
      </w:pPr>
      <w:r>
        <w:rPr>
          <w:rFonts w:ascii="宋体" w:hint="eastAsia"/>
          <w:color w:val="000000"/>
          <w:szCs w:val="22"/>
        </w:rPr>
        <w:t>（十）“登记注册类型”：按纳税人税务登记证件的栏目内容填写。</w:t>
      </w:r>
    </w:p>
    <w:p>
      <w:pPr>
        <w:pStyle w:val="20"/>
        <w:rPr>
          <w:rFonts w:ascii="宋体"/>
          <w:color w:val="000000"/>
          <w:szCs w:val="22"/>
        </w:rPr>
      </w:pPr>
      <w:r>
        <w:rPr>
          <w:rFonts w:ascii="宋体" w:hint="eastAsia"/>
          <w:color w:val="000000"/>
          <w:szCs w:val="22"/>
        </w:rPr>
        <w:t>（十一）“电话号码”：填写可联系到纳税人的常用电话号码。</w:t>
      </w:r>
    </w:p>
    <w:p>
      <w:pPr>
        <w:pStyle w:val="20"/>
        <w:rPr>
          <w:rFonts w:ascii="宋体"/>
          <w:color w:val="000000"/>
          <w:szCs w:val="22"/>
        </w:rPr>
      </w:pPr>
      <w:r>
        <w:rPr>
          <w:rFonts w:ascii="宋体" w:hint="eastAsia"/>
          <w:color w:val="000000"/>
          <w:szCs w:val="22"/>
        </w:rPr>
        <w:t>（十二）“即征即退项目”列：填写纳税人按规定享受增值税即征即退政策的货物、劳务和服务、不动产、无形资产的征（退）税数据。</w:t>
      </w:r>
    </w:p>
    <w:p>
      <w:pPr>
        <w:pStyle w:val="20"/>
        <w:rPr>
          <w:rFonts w:ascii="宋体"/>
          <w:color w:val="000000"/>
          <w:szCs w:val="22"/>
        </w:rPr>
      </w:pPr>
      <w:r>
        <w:rPr>
          <w:rFonts w:ascii="宋体" w:hint="eastAsia"/>
          <w:color w:val="000000"/>
          <w:szCs w:val="22"/>
        </w:rPr>
        <w:t>（十三）“一般项目”列：填写除享受增值税即征即退政策以外的货物、劳务和服务、不动产、无形资产的征（免）税数据。</w:t>
      </w:r>
    </w:p>
    <w:p>
      <w:pPr>
        <w:pStyle w:val="20"/>
        <w:rPr>
          <w:rFonts w:ascii="宋体"/>
          <w:color w:val="000000"/>
          <w:szCs w:val="22"/>
        </w:rPr>
      </w:pPr>
      <w:r>
        <w:rPr>
          <w:rFonts w:ascii="宋体" w:hint="eastAsia"/>
          <w:color w:val="000000"/>
          <w:szCs w:val="22"/>
        </w:rPr>
        <w:t>（十四）“本年累计”列：一般填写本年度内各月“本月数”之和。其中，第13、20、25、32、36、38栏及第18栏“实际抵扣税额”“一般项目”列的“本年累计”分别按本填写说明第（二十七）（三十四）（三十九）（四十六）（五十）（五十二）（三十二）条要求填写。</w:t>
      </w:r>
    </w:p>
    <w:p>
      <w:pPr>
        <w:pStyle w:val="20"/>
        <w:rPr>
          <w:rFonts w:ascii="宋体"/>
          <w:color w:val="000000"/>
          <w:szCs w:val="22"/>
        </w:rPr>
      </w:pPr>
      <w:r>
        <w:rPr>
          <w:rFonts w:ascii="宋体" w:hint="eastAsia"/>
          <w:color w:val="000000"/>
          <w:szCs w:val="22"/>
        </w:rPr>
        <w:t>（十五）第1栏“（一）按适用税率计税销售额”：填写纳税人本期按一般计税方法计算缴纳增值税的销售额，包含：在财务上不作销售但按税法规定应缴纳增值税的视同销售和价外费用的销售额；外贸企业作价销售进料加工复出口货物的销售额；税务、财政、审计部门检查后按一般计税方法计算调整的销售额。</w:t>
      </w:r>
    </w:p>
    <w:p>
      <w:pPr>
        <w:pStyle w:val="20"/>
        <w:rPr>
          <w:rFonts w:ascii="宋体"/>
          <w:color w:val="000000"/>
          <w:szCs w:val="22"/>
        </w:rPr>
      </w:pPr>
      <w:r>
        <w:rPr>
          <w:rFonts w:ascii="宋体" w:hint="eastAsia"/>
          <w:color w:val="000000"/>
          <w:szCs w:val="22"/>
        </w:rPr>
        <w:t>营业税改征增值税的纳税人，服务、不动产和无形资产有扣除项目的，本栏应填写扣除之前的不含税销售额。</w:t>
      </w:r>
    </w:p>
    <w:p>
      <w:pPr>
        <w:pStyle w:val="20"/>
        <w:rPr>
          <w:rFonts w:ascii="宋体"/>
          <w:color w:val="000000"/>
          <w:szCs w:val="22"/>
        </w:rPr>
      </w:pPr>
      <w:r>
        <w:rPr>
          <w:rFonts w:ascii="宋体" w:hint="eastAsia"/>
          <w:color w:val="000000"/>
          <w:szCs w:val="22"/>
        </w:rPr>
        <w:t>本栏“一般项目”列“本月数”＝《附列资料（一）》第9列第1</w:t>
      </w:r>
      <w:r>
        <w:rPr>
          <w:rFonts w:ascii="宋体" w:hint="eastAsia"/>
          <w:szCs w:val="21"/>
        </w:rPr>
        <w:t>至</w:t>
      </w:r>
      <w:r>
        <w:rPr>
          <w:rFonts w:ascii="宋体" w:hint="eastAsia"/>
          <w:color w:val="000000"/>
          <w:szCs w:val="22"/>
        </w:rPr>
        <w:t>5行之和-第9列第6、7行之和；本栏“即征即退项目”列“本月数”＝《附列资料（一）》第9列第6、7行之和。</w:t>
      </w:r>
    </w:p>
    <w:p>
      <w:pPr>
        <w:pStyle w:val="20"/>
        <w:rPr>
          <w:rFonts w:ascii="宋体"/>
          <w:color w:val="000000"/>
          <w:szCs w:val="22"/>
        </w:rPr>
      </w:pPr>
      <w:r>
        <w:rPr>
          <w:rFonts w:ascii="宋体" w:hint="eastAsia"/>
          <w:color w:val="000000"/>
          <w:szCs w:val="22"/>
        </w:rPr>
        <w:t>（十六）第2栏“其中：应税货物销售额”：填写纳税人本期按适用税率计算增值税的应税货物的销售额。包含在财务上不作销售但按税法规定应缴纳增值税的视同销售货物和价外费用销售额，以及外贸企业作价销售进料加工复出口货物的销售额。</w:t>
      </w:r>
    </w:p>
    <w:p>
      <w:pPr>
        <w:pStyle w:val="20"/>
        <w:rPr>
          <w:rFonts w:ascii="宋体"/>
          <w:color w:val="000000"/>
          <w:szCs w:val="22"/>
        </w:rPr>
      </w:pPr>
      <w:r>
        <w:rPr>
          <w:rFonts w:ascii="宋体" w:hint="eastAsia"/>
          <w:color w:val="000000"/>
          <w:szCs w:val="22"/>
        </w:rPr>
        <w:t>（十七）第3栏“应税劳务销售额”：填写纳税人本期按适用税率计算增值税的应税劳务的销售额。</w:t>
      </w:r>
    </w:p>
    <w:p>
      <w:pPr>
        <w:pStyle w:val="20"/>
        <w:rPr>
          <w:rFonts w:ascii="宋体"/>
          <w:color w:val="000000"/>
          <w:szCs w:val="22"/>
        </w:rPr>
      </w:pPr>
      <w:r>
        <w:rPr>
          <w:rFonts w:ascii="宋体" w:hint="eastAsia"/>
          <w:color w:val="000000"/>
          <w:szCs w:val="22"/>
        </w:rPr>
        <w:t>（十八）第4栏“纳税检查调整的销售额”：填写纳税人因税务、财政、审计部门检查，并按一般计税方法在本期计算调整的销售额。但享受增值税即征即退政策的货物、劳务和服务、不动产、无形资产，经纳税检查属于偷税的，不填入“即征即退项目”列，而应填入“一般项目”列。</w:t>
      </w:r>
    </w:p>
    <w:p>
      <w:pPr>
        <w:pStyle w:val="20"/>
        <w:rPr>
          <w:rFonts w:ascii="宋体"/>
          <w:color w:val="000000"/>
          <w:szCs w:val="22"/>
        </w:rPr>
      </w:pPr>
      <w:r>
        <w:rPr>
          <w:rFonts w:ascii="宋体" w:hint="eastAsia"/>
          <w:color w:val="000000"/>
          <w:szCs w:val="22"/>
        </w:rPr>
        <w:t>营业税改征增值税的纳税人，服务、不动产和无形资产有扣除项目的，本栏应填写扣除之前的不含税销售额。</w:t>
      </w:r>
    </w:p>
    <w:p>
      <w:pPr>
        <w:pStyle w:val="20"/>
        <w:rPr>
          <w:rFonts w:ascii="宋体"/>
          <w:color w:val="000000"/>
          <w:szCs w:val="22"/>
        </w:rPr>
      </w:pPr>
      <w:r>
        <w:rPr>
          <w:rFonts w:ascii="宋体" w:hint="eastAsia"/>
          <w:color w:val="000000"/>
          <w:szCs w:val="22"/>
        </w:rPr>
        <w:t>本栏“一般项目”列“本月数”＝《附列资料（一）》第7列第1</w:t>
      </w:r>
      <w:r>
        <w:rPr>
          <w:rFonts w:ascii="宋体" w:hint="eastAsia"/>
          <w:szCs w:val="21"/>
        </w:rPr>
        <w:t>至</w:t>
      </w:r>
      <w:r>
        <w:rPr>
          <w:rFonts w:ascii="宋体" w:hint="eastAsia"/>
          <w:color w:val="000000"/>
          <w:szCs w:val="22"/>
        </w:rPr>
        <w:t>5行之和。</w:t>
      </w:r>
    </w:p>
    <w:p>
      <w:pPr>
        <w:pStyle w:val="20"/>
        <w:rPr>
          <w:rFonts w:ascii="宋体"/>
          <w:color w:val="000000"/>
          <w:szCs w:val="22"/>
        </w:rPr>
      </w:pPr>
      <w:r>
        <w:rPr>
          <w:rFonts w:ascii="宋体" w:hint="eastAsia"/>
          <w:color w:val="000000"/>
          <w:szCs w:val="22"/>
        </w:rPr>
        <w:t>（十九）第5栏“按简易办法计税销售额”：填写纳税人本期按简易计税方法计算增值税的销售额。包含纳税检查调整按简易计税方法计算增值税的销售额。</w:t>
      </w:r>
    </w:p>
    <w:p>
      <w:pPr>
        <w:pStyle w:val="20"/>
        <w:rPr>
          <w:rFonts w:ascii="宋体"/>
          <w:color w:val="000000"/>
          <w:szCs w:val="22"/>
        </w:rPr>
      </w:pPr>
      <w:r>
        <w:rPr>
          <w:rFonts w:ascii="宋体" w:hint="eastAsia"/>
          <w:color w:val="000000"/>
          <w:szCs w:val="22"/>
        </w:rPr>
        <w:t>营业税改征增值税的纳税人，服务、不动产和无形资产有扣除项目的，本栏应填写扣除之前的不含税销售额；服务、不动产和无形资产按规定汇总计算缴纳增值税的分支机构，其当期按预征率计算缴纳增值税的销售额也填入本栏。</w:t>
      </w:r>
    </w:p>
    <w:p>
      <w:pPr>
        <w:pStyle w:val="20"/>
        <w:rPr>
          <w:rFonts w:ascii="宋体"/>
          <w:color w:val="000000"/>
          <w:szCs w:val="22"/>
        </w:rPr>
      </w:pPr>
      <w:r>
        <w:rPr>
          <w:rFonts w:ascii="宋体" w:hint="eastAsia"/>
          <w:color w:val="000000"/>
          <w:szCs w:val="22"/>
        </w:rPr>
        <w:t>本栏“一般项目”列“本月数”≥《附列资料（一）》第9列第8至13</w:t>
      </w:r>
      <w:r>
        <w:rPr>
          <w:rFonts w:ascii="宋体"/>
          <w:color w:val="000000"/>
          <w:szCs w:val="22"/>
        </w:rPr>
        <w:t>b</w:t>
      </w:r>
      <w:r>
        <w:rPr>
          <w:rFonts w:ascii="宋体" w:hint="eastAsia"/>
          <w:color w:val="000000"/>
          <w:szCs w:val="22"/>
        </w:rPr>
        <w:t>行之和-第9列第14、15行之和；本栏“即征即退项目”列“本月数”≥《附列资料（一）》第9列第14、15行之和。</w:t>
      </w:r>
    </w:p>
    <w:p>
      <w:pPr>
        <w:pStyle w:val="20"/>
        <w:rPr>
          <w:rFonts w:ascii="宋体"/>
          <w:color w:val="000000"/>
          <w:szCs w:val="22"/>
        </w:rPr>
      </w:pPr>
      <w:r>
        <w:rPr>
          <w:rFonts w:ascii="宋体" w:hint="eastAsia"/>
          <w:color w:val="000000"/>
          <w:szCs w:val="22"/>
        </w:rPr>
        <w:t>（二十）第6栏“其中：纳税检查调整的销售额”：填写纳税人因税务、财政、审计部门检查，并按简易计税方法在本期计算调整的销售额。但享受增值税即征即退政策的货物、劳务和服务、不动产、无形资产，经纳税检查属于偷税的，不填入“即征即退项目”列，而应填入“一般项目”列。</w:t>
      </w:r>
    </w:p>
    <w:p>
      <w:pPr>
        <w:pStyle w:val="20"/>
        <w:rPr>
          <w:rFonts w:ascii="宋体"/>
          <w:color w:val="000000"/>
          <w:szCs w:val="22"/>
        </w:rPr>
      </w:pPr>
      <w:r>
        <w:rPr>
          <w:rFonts w:ascii="宋体" w:hint="eastAsia"/>
          <w:color w:val="000000"/>
          <w:szCs w:val="22"/>
        </w:rPr>
        <w:t>营业税改征增值税的纳税人，服务、不动产和无形资产有扣除项目的，本栏应填写扣除之前的不含税销售额。</w:t>
      </w:r>
    </w:p>
    <w:p>
      <w:pPr>
        <w:pStyle w:val="20"/>
        <w:rPr>
          <w:rFonts w:ascii="宋体"/>
          <w:color w:val="000000"/>
          <w:szCs w:val="22"/>
        </w:rPr>
      </w:pPr>
      <w:r>
        <w:rPr>
          <w:rFonts w:ascii="宋体" w:hint="eastAsia"/>
          <w:color w:val="000000"/>
          <w:szCs w:val="22"/>
        </w:rPr>
        <w:t>（二十一）第7栏“免、抵、退办法出口销售额”：填写纳税人本期适用免、抵、退税办法的出口货物、劳务和服务、无形资产的销售额。</w:t>
      </w:r>
    </w:p>
    <w:p>
      <w:pPr>
        <w:pStyle w:val="20"/>
        <w:rPr>
          <w:rFonts w:ascii="宋体"/>
          <w:color w:val="000000"/>
          <w:szCs w:val="22"/>
        </w:rPr>
      </w:pPr>
      <w:r>
        <w:rPr>
          <w:rFonts w:ascii="宋体" w:hint="eastAsia"/>
          <w:color w:val="000000"/>
          <w:szCs w:val="22"/>
        </w:rPr>
        <w:t>营业税改征增值税的纳税人，服务、无形资产有扣除项目的，本栏应填写扣除之前的销售额。</w:t>
      </w:r>
    </w:p>
    <w:p>
      <w:pPr>
        <w:pStyle w:val="20"/>
        <w:rPr>
          <w:rFonts w:ascii="宋体"/>
          <w:color w:val="000000"/>
          <w:szCs w:val="22"/>
        </w:rPr>
      </w:pPr>
      <w:r>
        <w:rPr>
          <w:rFonts w:ascii="宋体" w:hint="eastAsia"/>
          <w:color w:val="000000"/>
          <w:szCs w:val="22"/>
        </w:rPr>
        <w:t>本栏“一般项目”列“本月数”＝《附列资料（一）》第9列第16、17行之和。</w:t>
      </w:r>
    </w:p>
    <w:p>
      <w:pPr>
        <w:pStyle w:val="20"/>
        <w:rPr>
          <w:rFonts w:ascii="宋体"/>
          <w:color w:val="000000"/>
          <w:szCs w:val="22"/>
        </w:rPr>
      </w:pPr>
      <w:r>
        <w:rPr>
          <w:rFonts w:ascii="宋体" w:hint="eastAsia"/>
          <w:color w:val="000000"/>
          <w:szCs w:val="22"/>
        </w:rPr>
        <w:t>（二十二）第8栏“免税销售额”：填写纳税人本期按照税法规定免征增值税的销售额和适用零税率的销售额，但零税率的销售额中不包括适用免、抵、退税办法的销售额。</w:t>
      </w:r>
    </w:p>
    <w:p>
      <w:pPr>
        <w:pStyle w:val="20"/>
        <w:rPr>
          <w:rFonts w:ascii="宋体"/>
          <w:color w:val="000000"/>
          <w:szCs w:val="22"/>
        </w:rPr>
      </w:pPr>
      <w:r>
        <w:rPr>
          <w:rFonts w:ascii="宋体" w:hint="eastAsia"/>
          <w:color w:val="000000"/>
          <w:szCs w:val="22"/>
        </w:rPr>
        <w:t>营业税改征增值税的纳税人，服务、不动产和无形资产有扣除项目的，本栏应填写扣除之前的免税销售额。</w:t>
      </w:r>
    </w:p>
    <w:p>
      <w:pPr>
        <w:pStyle w:val="20"/>
        <w:rPr>
          <w:rFonts w:ascii="宋体"/>
          <w:color w:val="000000"/>
          <w:szCs w:val="22"/>
        </w:rPr>
      </w:pPr>
      <w:r>
        <w:rPr>
          <w:rFonts w:ascii="宋体" w:hint="eastAsia"/>
          <w:color w:val="000000"/>
          <w:szCs w:val="22"/>
        </w:rPr>
        <w:t>本栏“一般项目”列“本月数”＝《附列资料（一）》第9列第18、19行之和。</w:t>
      </w:r>
    </w:p>
    <w:p>
      <w:pPr>
        <w:pStyle w:val="20"/>
        <w:rPr>
          <w:rFonts w:ascii="宋体"/>
          <w:color w:val="000000"/>
          <w:szCs w:val="22"/>
        </w:rPr>
      </w:pPr>
      <w:r>
        <w:rPr>
          <w:rFonts w:ascii="宋体" w:hint="eastAsia"/>
          <w:color w:val="000000"/>
          <w:szCs w:val="22"/>
        </w:rPr>
        <w:t>（二十三）第9栏“其中：免税货物销售额”：填写纳税人本期按照税法规定免征增值税的货物销售额及适用零税率的货物销售额，但零税率的销售额中不包括适用免、抵、退税办法出口货物的销售额。</w:t>
      </w:r>
    </w:p>
    <w:p>
      <w:pPr>
        <w:pStyle w:val="20"/>
        <w:rPr>
          <w:rFonts w:ascii="宋体"/>
          <w:color w:val="000000"/>
          <w:szCs w:val="22"/>
        </w:rPr>
      </w:pPr>
      <w:r>
        <w:rPr>
          <w:rFonts w:ascii="宋体" w:hint="eastAsia"/>
          <w:color w:val="000000"/>
          <w:szCs w:val="22"/>
        </w:rPr>
        <w:t>（二十四）第10栏“免税劳务销售额”：填写纳税人本期按照税法规定免征增值税的劳务销售额及适用零税率的劳务销售额，但零税率的销售额中不包括适用免、抵、退税办法的劳务的销售额。</w:t>
      </w:r>
    </w:p>
    <w:p>
      <w:pPr>
        <w:pStyle w:val="20"/>
        <w:rPr>
          <w:rFonts w:ascii="宋体"/>
          <w:color w:val="000000"/>
          <w:szCs w:val="22"/>
        </w:rPr>
      </w:pPr>
      <w:r>
        <w:rPr>
          <w:rFonts w:ascii="宋体" w:hint="eastAsia"/>
          <w:color w:val="000000"/>
          <w:szCs w:val="22"/>
        </w:rPr>
        <w:t>（二十五）第11栏“销项税额”：填写纳税人本期按一般计税方法计税的货物、劳务和服务、不动产、无形资产的销项税额。</w:t>
      </w:r>
    </w:p>
    <w:p>
      <w:pPr>
        <w:pStyle w:val="20"/>
        <w:rPr>
          <w:rFonts w:ascii="宋体"/>
          <w:color w:val="000000"/>
          <w:szCs w:val="22"/>
        </w:rPr>
      </w:pPr>
      <w:r>
        <w:rPr>
          <w:rFonts w:ascii="宋体" w:hint="eastAsia"/>
          <w:color w:val="000000"/>
          <w:szCs w:val="22"/>
        </w:rPr>
        <w:t>营业税改征增值税的纳税人，服务、不动产和无形资产有扣除项目的，本栏应填写扣除之后的销项税额。</w:t>
      </w:r>
    </w:p>
    <w:p>
      <w:pPr>
        <w:pStyle w:val="20"/>
        <w:rPr>
          <w:rFonts w:ascii="宋体"/>
          <w:color w:val="000000"/>
          <w:szCs w:val="22"/>
        </w:rPr>
      </w:pPr>
      <w:r>
        <w:rPr>
          <w:rFonts w:ascii="宋体" w:hint="eastAsia"/>
          <w:color w:val="000000"/>
          <w:szCs w:val="22"/>
        </w:rPr>
        <w:t>本栏“一般项目”列“本月数”＝《附列资料（一）》（第10列第1、3行之和-第10列第6行）+（第14列第2、</w:t>
      </w:r>
      <w:r>
        <w:rPr>
          <w:rFonts w:ascii="宋体" w:hint="eastAsia"/>
          <w:szCs w:val="21"/>
        </w:rPr>
        <w:t>4</w:t>
      </w:r>
      <w:r>
        <w:rPr>
          <w:rFonts w:ascii="宋体" w:hint="eastAsia"/>
          <w:color w:val="000000"/>
          <w:szCs w:val="22"/>
        </w:rPr>
        <w:t>、5行之和-第14列第7行）；</w:t>
      </w:r>
    </w:p>
    <w:p>
      <w:pPr>
        <w:pStyle w:val="20"/>
        <w:rPr>
          <w:rFonts w:ascii="宋体"/>
          <w:color w:val="000000"/>
          <w:szCs w:val="22"/>
        </w:rPr>
      </w:pPr>
      <w:r>
        <w:rPr>
          <w:rFonts w:ascii="宋体" w:hint="eastAsia"/>
          <w:color w:val="000000"/>
          <w:szCs w:val="22"/>
        </w:rPr>
        <w:t>本栏“即征即退项目”列“本月数”＝《附列资料（一）》第10列第6行+第14列第7行。</w:t>
      </w:r>
    </w:p>
    <w:p>
      <w:pPr>
        <w:pStyle w:val="20"/>
        <w:rPr>
          <w:rFonts w:ascii="宋体"/>
          <w:color w:val="000000"/>
          <w:szCs w:val="22"/>
        </w:rPr>
      </w:pPr>
      <w:r>
        <w:rPr>
          <w:rFonts w:ascii="宋体" w:hint="eastAsia"/>
          <w:color w:val="000000"/>
          <w:szCs w:val="22"/>
        </w:rPr>
        <w:t>（二十六）第12栏“进项税额”：填写纳税人本期申报抵扣的进项税额。</w:t>
      </w:r>
    </w:p>
    <w:p>
      <w:pPr>
        <w:pStyle w:val="20"/>
        <w:rPr>
          <w:rFonts w:ascii="宋体"/>
          <w:color w:val="000000"/>
          <w:szCs w:val="22"/>
        </w:rPr>
      </w:pPr>
      <w:r>
        <w:rPr>
          <w:rFonts w:ascii="宋体" w:hint="eastAsia"/>
          <w:color w:val="000000"/>
          <w:szCs w:val="22"/>
        </w:rPr>
        <w:t>本栏“一般项目”列“本月数”+“即征即退项目”列“本月数”＝《附列资料（二）》第12栏“税额”。</w:t>
      </w:r>
    </w:p>
    <w:p>
      <w:pPr>
        <w:pStyle w:val="20"/>
        <w:rPr>
          <w:rFonts w:ascii="宋体"/>
          <w:color w:val="000000"/>
          <w:szCs w:val="22"/>
        </w:rPr>
      </w:pPr>
      <w:r>
        <w:rPr>
          <w:rFonts w:ascii="宋体" w:hint="eastAsia"/>
          <w:color w:val="000000"/>
          <w:szCs w:val="22"/>
        </w:rPr>
        <w:t>（二十七）第13栏“上期留抵税额”</w:t>
      </w:r>
      <w:r>
        <w:rPr>
          <w:rFonts w:ascii="宋体" w:hint="eastAsia"/>
          <w:szCs w:val="21"/>
        </w:rPr>
        <w:t>:“本月数”按上一税款所属期申报表第20栏“期末留抵税额”“本月数”填写。本栏“一般项目”列“本年累计”不填写。</w:t>
      </w:r>
    </w:p>
    <w:p>
      <w:pPr>
        <w:pStyle w:val="20"/>
        <w:rPr>
          <w:rFonts w:ascii="宋体"/>
          <w:color w:val="000000"/>
          <w:szCs w:val="22"/>
        </w:rPr>
      </w:pPr>
      <w:r>
        <w:rPr>
          <w:rFonts w:ascii="宋体" w:hint="eastAsia"/>
          <w:color w:val="000000"/>
          <w:szCs w:val="22"/>
        </w:rPr>
        <w:t>（二十八）第14栏“进项税额转出”：填写纳税人已经抵扣，但按税法规定本期应转出的进项税额。</w:t>
      </w:r>
    </w:p>
    <w:p>
      <w:pPr>
        <w:pStyle w:val="20"/>
        <w:rPr>
          <w:rFonts w:ascii="宋体"/>
          <w:color w:val="000000"/>
          <w:szCs w:val="22"/>
        </w:rPr>
      </w:pPr>
      <w:r>
        <w:rPr>
          <w:rFonts w:ascii="宋体" w:hint="eastAsia"/>
          <w:color w:val="000000"/>
          <w:szCs w:val="22"/>
        </w:rPr>
        <w:t>本栏“一般项目”列“本月数”+“即征即退项目”列“本月数”＝《附列资料（二）》第13栏“税额”。</w:t>
      </w:r>
    </w:p>
    <w:p>
      <w:pPr>
        <w:pStyle w:val="20"/>
        <w:rPr>
          <w:rFonts w:ascii="宋体"/>
          <w:color w:val="000000"/>
          <w:szCs w:val="22"/>
        </w:rPr>
      </w:pPr>
      <w:r>
        <w:rPr>
          <w:rFonts w:ascii="宋体" w:hint="eastAsia"/>
          <w:color w:val="000000"/>
          <w:szCs w:val="22"/>
        </w:rPr>
        <w:t>（二十九）第15栏“免、抵、退应退税额”：反映税务机关退税部门按照出口货物、劳务和服务、无形资产免、抵、退办法审批的增值税应退税额。</w:t>
      </w:r>
    </w:p>
    <w:p>
      <w:pPr>
        <w:pStyle w:val="20"/>
        <w:rPr>
          <w:rFonts w:ascii="宋体"/>
          <w:color w:val="000000"/>
          <w:szCs w:val="22"/>
        </w:rPr>
      </w:pPr>
      <w:r>
        <w:rPr>
          <w:rFonts w:ascii="宋体" w:hint="eastAsia"/>
          <w:color w:val="000000"/>
          <w:szCs w:val="22"/>
        </w:rPr>
        <w:t>（三十）第16栏“按适用税率计算的纳税检查应补缴税额”：填写税务、财政、审计部门检查，按一般计税方法计算的纳税检查应补缴的增值税税额。</w:t>
      </w:r>
    </w:p>
    <w:p>
      <w:pPr>
        <w:pStyle w:val="20"/>
        <w:rPr>
          <w:rFonts w:ascii="宋体"/>
          <w:color w:val="000000"/>
          <w:szCs w:val="22"/>
        </w:rPr>
      </w:pPr>
      <w:r>
        <w:rPr>
          <w:rFonts w:ascii="宋体" w:hint="eastAsia"/>
          <w:color w:val="000000"/>
          <w:szCs w:val="22"/>
        </w:rPr>
        <w:t>本栏“一般项目”列“本月数”≤《附列资料（一）》第8列第1</w:t>
      </w:r>
      <w:r>
        <w:rPr>
          <w:rFonts w:ascii="宋体" w:hint="eastAsia"/>
          <w:szCs w:val="21"/>
        </w:rPr>
        <w:t>至</w:t>
      </w:r>
      <w:r>
        <w:rPr>
          <w:rFonts w:ascii="宋体" w:hint="eastAsia"/>
          <w:color w:val="000000"/>
          <w:szCs w:val="22"/>
        </w:rPr>
        <w:t>5行之和+《附列资料（二）》第19栏。</w:t>
      </w:r>
    </w:p>
    <w:p>
      <w:pPr>
        <w:pStyle w:val="20"/>
        <w:rPr>
          <w:rFonts w:ascii="宋体"/>
          <w:color w:val="000000"/>
          <w:szCs w:val="22"/>
        </w:rPr>
      </w:pPr>
      <w:r>
        <w:rPr>
          <w:rFonts w:ascii="宋体" w:hint="eastAsia"/>
          <w:color w:val="000000"/>
          <w:szCs w:val="22"/>
        </w:rPr>
        <w:t>（三十一）第17栏“应抵扣税额合计”：填写纳税人本期应抵扣进项税额的合计数。按表中所列公式计算填写。</w:t>
      </w:r>
    </w:p>
    <w:p>
      <w:pPr>
        <w:pStyle w:val="20"/>
        <w:rPr>
          <w:rFonts w:ascii="宋体"/>
          <w:color w:val="000000"/>
          <w:szCs w:val="22"/>
        </w:rPr>
      </w:pPr>
      <w:r>
        <w:rPr>
          <w:rFonts w:ascii="宋体" w:hint="eastAsia"/>
          <w:color w:val="000000"/>
          <w:szCs w:val="22"/>
        </w:rPr>
        <w:t>（三十二）第18栏“实际抵扣税额”</w:t>
      </w:r>
      <w:r>
        <w:rPr>
          <w:rFonts w:ascii="宋体" w:hint="eastAsia"/>
          <w:szCs w:val="21"/>
        </w:rPr>
        <w:t>:</w:t>
      </w:r>
      <w:r>
        <w:rPr>
          <w:rFonts w:ascii="宋体" w:hint="eastAsia"/>
          <w:color w:val="000000"/>
          <w:szCs w:val="22"/>
        </w:rPr>
        <w:t>“本月数”</w:t>
      </w:r>
      <w:r>
        <w:rPr>
          <w:rFonts w:ascii="宋体" w:hint="eastAsia"/>
          <w:szCs w:val="21"/>
        </w:rPr>
        <w:t>按表中所列公式计算填写。本栏“一般项目”列</w:t>
      </w:r>
      <w:r>
        <w:rPr>
          <w:rFonts w:ascii="宋体" w:hint="eastAsia"/>
          <w:color w:val="000000"/>
          <w:szCs w:val="22"/>
        </w:rPr>
        <w:t>“本年累计</w:t>
      </w:r>
      <w:r>
        <w:rPr>
          <w:rFonts w:ascii="宋体" w:hint="eastAsia"/>
          <w:szCs w:val="21"/>
        </w:rPr>
        <w:t>”不填写。</w:t>
      </w:r>
    </w:p>
    <w:p>
      <w:pPr>
        <w:pStyle w:val="16"/>
        <w:ind w:firstLineChars="200" w:firstLine="400"/>
        <w:rPr>
          <w:rFonts w:hint="eastAsia"/>
          <w:sz w:val="21"/>
        </w:rPr>
      </w:pPr>
      <w:r>
        <w:rPr>
          <w:rFonts w:hint="eastAsia"/>
          <w:color w:val="000000"/>
          <w:szCs w:val="22"/>
        </w:rPr>
        <w:t>（三十三）第19栏“应纳税额”：反映纳税人本期按一般计税方法计算并应缴纳的增值税额。</w:t>
      </w:r>
    </w:p>
    <w:p>
      <w:pPr>
        <w:adjustRightInd w:val="0"/>
        <w:ind w:firstLineChars="200" w:firstLine="420"/>
        <w:rPr>
          <w:rFonts w:ascii="宋体" w:cs="Courier New" w:hint="eastAsia"/>
          <w:szCs w:val="21"/>
        </w:rPr>
      </w:pPr>
      <w:r>
        <w:rPr>
          <w:rFonts w:ascii="宋体" w:cs="Courier New" w:hint="eastAsia"/>
          <w:szCs w:val="21"/>
        </w:rPr>
        <w:t>1.适用加计抵减政策的纳税人，按以下公式填写。</w:t>
      </w:r>
    </w:p>
    <w:p>
      <w:pPr>
        <w:pStyle w:val="20"/>
        <w:rPr>
          <w:rFonts w:ascii="宋体"/>
          <w:color w:val="000000"/>
          <w:szCs w:val="22"/>
        </w:rPr>
      </w:pPr>
      <w:r>
        <w:rPr>
          <w:rFonts w:ascii="宋体" w:hint="eastAsia"/>
          <w:color w:val="000000"/>
          <w:szCs w:val="22"/>
        </w:rPr>
        <w:t>本栏“一般项目”列“本月数</w:t>
      </w:r>
      <w:r>
        <w:rPr>
          <w:rFonts w:ascii="宋体" w:cs="宋体" w:hint="eastAsia"/>
          <w:szCs w:val="21"/>
        </w:rPr>
        <w:t>”</w:t>
      </w:r>
      <w:r>
        <w:rPr>
          <w:rFonts w:ascii="宋体" w:cs="宋体" w:hint="eastAsia"/>
          <w:kern w:val="0"/>
          <w:szCs w:val="21"/>
        </w:rPr>
        <w:t>＝</w:t>
      </w:r>
      <w:r>
        <w:rPr>
          <w:rFonts w:ascii="宋体" w:hint="eastAsia"/>
          <w:color w:val="000000"/>
          <w:szCs w:val="22"/>
        </w:rPr>
        <w:t>第11栏“销项税额”“一般项目”列“本月数”-第18栏“实际抵扣税额”“一般项目”列“本月数</w:t>
      </w:r>
      <w:r>
        <w:rPr>
          <w:rFonts w:ascii="宋体" w:cs="宋体" w:hint="eastAsia"/>
          <w:szCs w:val="21"/>
        </w:rPr>
        <w:t>”</w:t>
      </w:r>
      <w:r>
        <w:rPr>
          <w:rFonts w:ascii="宋体" w:cs="宋体" w:hint="eastAsia"/>
          <w:kern w:val="0"/>
          <w:szCs w:val="21"/>
        </w:rPr>
        <w:t>-</w:t>
      </w:r>
      <w:r>
        <w:rPr>
          <w:rFonts w:ascii="宋体" w:cs="宋体"/>
          <w:szCs w:val="21"/>
        </w:rPr>
        <w:t>“</w:t>
      </w:r>
      <w:r>
        <w:rPr>
          <w:rFonts w:ascii="宋体" w:cs="宋体" w:hint="eastAsia"/>
          <w:szCs w:val="21"/>
        </w:rPr>
        <w:t>实际抵减额</w:t>
      </w:r>
      <w:r>
        <w:rPr>
          <w:rFonts w:ascii="宋体" w:cs="宋体"/>
          <w:szCs w:val="21"/>
        </w:rPr>
        <w:t>”</w:t>
      </w:r>
      <w:r>
        <w:rPr>
          <w:rFonts w:ascii="宋体" w:cs="Courier New" w:hint="eastAsia"/>
          <w:kern w:val="0"/>
          <w:szCs w:val="21"/>
        </w:rPr>
        <w:t>；</w:t>
      </w:r>
    </w:p>
    <w:p>
      <w:pPr>
        <w:pStyle w:val="20"/>
        <w:rPr>
          <w:rFonts w:ascii="宋体"/>
          <w:color w:val="000000"/>
          <w:szCs w:val="22"/>
        </w:rPr>
      </w:pPr>
      <w:r>
        <w:rPr>
          <w:rFonts w:ascii="宋体" w:cs="宋体" w:hint="eastAsia"/>
          <w:kern w:val="0"/>
          <w:szCs w:val="21"/>
        </w:rPr>
        <w:t>本栏</w:t>
      </w:r>
      <w:r>
        <w:rPr>
          <w:rFonts w:ascii="宋体" w:cs="宋体" w:hint="eastAsia"/>
          <w:szCs w:val="21"/>
        </w:rPr>
        <w:t>“即征即退项目”列“本月数”</w:t>
      </w:r>
      <w:r>
        <w:rPr>
          <w:rFonts w:ascii="宋体" w:cs="宋体" w:hint="eastAsia"/>
          <w:kern w:val="0"/>
          <w:szCs w:val="21"/>
        </w:rPr>
        <w:t>＝</w:t>
      </w:r>
      <w:r>
        <w:rPr>
          <w:rFonts w:ascii="宋体" w:hint="eastAsia"/>
          <w:color w:val="000000"/>
          <w:szCs w:val="22"/>
        </w:rPr>
        <w:t>第11栏“销项税额”“即征即退项目”列“本月数”-第18栏“实际抵扣税额”“即征即退项目”列“本月数</w:t>
      </w:r>
      <w:r>
        <w:rPr>
          <w:rFonts w:ascii="宋体" w:cs="宋体" w:hint="eastAsia"/>
          <w:szCs w:val="21"/>
        </w:rPr>
        <w:t>”</w:t>
      </w:r>
      <w:r>
        <w:rPr>
          <w:rFonts w:ascii="宋体" w:cs="宋体" w:hint="eastAsia"/>
          <w:kern w:val="0"/>
          <w:szCs w:val="21"/>
        </w:rPr>
        <w:t>-</w:t>
      </w:r>
      <w:r>
        <w:rPr>
          <w:rFonts w:ascii="宋体" w:cs="宋体"/>
          <w:szCs w:val="21"/>
        </w:rPr>
        <w:t>“</w:t>
      </w:r>
      <w:r>
        <w:rPr>
          <w:rFonts w:ascii="宋体" w:cs="宋体" w:hint="eastAsia"/>
          <w:szCs w:val="21"/>
        </w:rPr>
        <w:t>实际抵减额</w:t>
      </w:r>
      <w:r>
        <w:rPr>
          <w:rFonts w:ascii="宋体" w:hint="eastAsia"/>
          <w:color w:val="000000"/>
          <w:szCs w:val="22"/>
        </w:rPr>
        <w:t>”。</w:t>
      </w:r>
    </w:p>
    <w:p>
      <w:pPr>
        <w:adjustRightInd w:val="0"/>
        <w:snapToGrid w:val="0"/>
        <w:ind w:firstLine="645"/>
        <w:rPr>
          <w:rFonts w:ascii="宋体" w:cs="宋体"/>
          <w:szCs w:val="21"/>
        </w:rPr>
      </w:pPr>
      <w:r>
        <w:rPr>
          <w:rFonts w:ascii="宋体" w:hint="eastAsia"/>
          <w:szCs w:val="21"/>
        </w:rPr>
        <w:t>适用加计抵减政策的纳税人是指，按照规定计提加计抵减额，并可从</w:t>
      </w:r>
      <w:r>
        <w:rPr>
          <w:rFonts w:ascii="宋体" w:cs="宋体" w:hint="eastAsia"/>
          <w:szCs w:val="21"/>
        </w:rPr>
        <w:t>本期适用一般计税方法计算的应纳税额中抵减的纳税人（下同）。</w:t>
      </w:r>
      <w:r>
        <w:rPr>
          <w:rFonts w:ascii="宋体" w:cs="宋体"/>
          <w:szCs w:val="21"/>
        </w:rPr>
        <w:t>“</w:t>
      </w:r>
      <w:r>
        <w:rPr>
          <w:rFonts w:ascii="宋体" w:cs="宋体" w:hint="eastAsia"/>
          <w:szCs w:val="21"/>
        </w:rPr>
        <w:t>实际抵减额</w:t>
      </w:r>
      <w:r>
        <w:rPr>
          <w:rFonts w:ascii="宋体" w:cs="宋体"/>
          <w:szCs w:val="21"/>
        </w:rPr>
        <w:t>”</w:t>
      </w:r>
      <w:r>
        <w:rPr>
          <w:rFonts w:ascii="宋体" w:cs="宋体" w:hint="eastAsia"/>
          <w:szCs w:val="21"/>
        </w:rPr>
        <w:t>是指按照规定可从本期适用一般计税方法计算的应纳税额中抵减的加计抵减额，分别对应《附列资料（四）》第</w:t>
      </w:r>
      <w:r>
        <w:rPr>
          <w:rFonts w:ascii="宋体" w:cs="宋体"/>
          <w:szCs w:val="21"/>
        </w:rPr>
        <w:t>6</w:t>
      </w:r>
      <w:r>
        <w:rPr>
          <w:rFonts w:ascii="宋体" w:cs="宋体" w:hint="eastAsia"/>
          <w:szCs w:val="21"/>
        </w:rPr>
        <w:t>行</w:t>
      </w:r>
      <w:r>
        <w:rPr>
          <w:rFonts w:ascii="宋体" w:cs="宋体"/>
          <w:szCs w:val="21"/>
        </w:rPr>
        <w:t>“</w:t>
      </w:r>
      <w:r>
        <w:rPr>
          <w:rFonts w:ascii="宋体" w:cs="宋体" w:hint="eastAsia"/>
          <w:szCs w:val="21"/>
        </w:rPr>
        <w:t>一般项目加计抵减额计算</w:t>
      </w:r>
      <w:r>
        <w:rPr>
          <w:rFonts w:ascii="宋体" w:cs="宋体"/>
          <w:szCs w:val="21"/>
        </w:rPr>
        <w:t>”</w:t>
      </w:r>
      <w:r>
        <w:rPr>
          <w:rFonts w:ascii="宋体" w:cs="宋体" w:hint="eastAsia"/>
          <w:szCs w:val="21"/>
        </w:rPr>
        <w:t>、第</w:t>
      </w:r>
      <w:r>
        <w:rPr>
          <w:rFonts w:ascii="宋体" w:cs="宋体"/>
          <w:szCs w:val="21"/>
        </w:rPr>
        <w:t>7</w:t>
      </w:r>
      <w:r>
        <w:rPr>
          <w:rFonts w:ascii="宋体" w:cs="宋体" w:hint="eastAsia"/>
          <w:szCs w:val="21"/>
        </w:rPr>
        <w:t>行</w:t>
      </w:r>
      <w:r>
        <w:rPr>
          <w:rFonts w:ascii="宋体" w:cs="宋体"/>
          <w:szCs w:val="21"/>
        </w:rPr>
        <w:t>“</w:t>
      </w:r>
      <w:r>
        <w:rPr>
          <w:rFonts w:ascii="宋体" w:cs="宋体" w:hint="eastAsia"/>
          <w:szCs w:val="21"/>
        </w:rPr>
        <w:t>即征即退项目加计抵减额计算</w:t>
      </w:r>
      <w:r>
        <w:rPr>
          <w:rFonts w:ascii="宋体" w:cs="宋体"/>
          <w:szCs w:val="21"/>
        </w:rPr>
        <w:t>”</w:t>
      </w:r>
      <w:r>
        <w:rPr>
          <w:rFonts w:ascii="宋体" w:cs="宋体" w:hint="eastAsia"/>
          <w:szCs w:val="21"/>
        </w:rPr>
        <w:t>的</w:t>
      </w:r>
      <w:r>
        <w:rPr>
          <w:rFonts w:ascii="宋体" w:cs="宋体"/>
          <w:szCs w:val="21"/>
        </w:rPr>
        <w:t>“</w:t>
      </w:r>
      <w:r>
        <w:rPr>
          <w:rFonts w:ascii="宋体" w:cs="宋体" w:hint="eastAsia"/>
          <w:szCs w:val="21"/>
        </w:rPr>
        <w:t>本期实际抵减额</w:t>
      </w:r>
      <w:r>
        <w:rPr>
          <w:rFonts w:ascii="宋体" w:cs="宋体"/>
          <w:szCs w:val="21"/>
        </w:rPr>
        <w:t>”</w:t>
      </w:r>
      <w:r>
        <w:rPr>
          <w:rFonts w:ascii="宋体" w:cs="宋体" w:hint="eastAsia"/>
          <w:szCs w:val="21"/>
        </w:rPr>
        <w:t>列。</w:t>
      </w:r>
    </w:p>
    <w:p>
      <w:pPr>
        <w:adjustRightInd w:val="0"/>
        <w:ind w:firstLineChars="200" w:firstLine="420"/>
        <w:rPr>
          <w:rFonts w:ascii="宋体" w:cs="Courier New" w:hint="eastAsia"/>
          <w:szCs w:val="21"/>
        </w:rPr>
      </w:pPr>
      <w:r>
        <w:rPr>
          <w:rFonts w:ascii="宋体" w:cs="Courier New" w:hint="eastAsia"/>
          <w:szCs w:val="21"/>
        </w:rPr>
        <w:t>2.其他纳税人按表中所列公式填写。</w:t>
      </w:r>
    </w:p>
    <w:p>
      <w:pPr>
        <w:pStyle w:val="20"/>
        <w:rPr>
          <w:rFonts w:ascii="宋体"/>
          <w:color w:val="000000"/>
          <w:szCs w:val="22"/>
        </w:rPr>
      </w:pPr>
      <w:r>
        <w:rPr>
          <w:rFonts w:ascii="宋体" w:hint="eastAsia"/>
          <w:color w:val="000000"/>
          <w:szCs w:val="22"/>
        </w:rPr>
        <w:t>（三十四）第20栏“期末留抵税额”</w:t>
      </w:r>
      <w:r>
        <w:rPr>
          <w:rFonts w:ascii="宋体" w:cs="Courier New" w:hint="eastAsia"/>
          <w:kern w:val="0"/>
          <w:szCs w:val="21"/>
        </w:rPr>
        <w:t>：</w:t>
      </w:r>
      <w:r>
        <w:rPr>
          <w:rFonts w:ascii="宋体" w:hint="eastAsia"/>
          <w:color w:val="000000"/>
          <w:szCs w:val="22"/>
        </w:rPr>
        <w:t>“本月数”</w:t>
      </w:r>
      <w:r>
        <w:rPr>
          <w:rFonts w:ascii="宋体" w:cs="Courier New" w:hint="eastAsia"/>
          <w:kern w:val="0"/>
          <w:szCs w:val="21"/>
        </w:rPr>
        <w:t>按表中所列公式填写。</w:t>
      </w:r>
      <w:r>
        <w:rPr>
          <w:rFonts w:ascii="宋体" w:hint="eastAsia"/>
          <w:color w:val="000000"/>
          <w:szCs w:val="22"/>
        </w:rPr>
        <w:t>本栏“一般项目”列“本年累计</w:t>
      </w:r>
      <w:r>
        <w:rPr>
          <w:rFonts w:ascii="宋体" w:cs="Courier New" w:hint="eastAsia"/>
          <w:kern w:val="0"/>
          <w:szCs w:val="21"/>
        </w:rPr>
        <w:t>”不填写</w:t>
      </w:r>
      <w:r>
        <w:rPr>
          <w:rFonts w:ascii="宋体" w:hint="eastAsia"/>
          <w:color w:val="000000"/>
          <w:szCs w:val="22"/>
        </w:rPr>
        <w:t>。</w:t>
      </w:r>
    </w:p>
    <w:p>
      <w:pPr>
        <w:pStyle w:val="20"/>
        <w:rPr>
          <w:rFonts w:ascii="宋体"/>
          <w:color w:val="000000"/>
          <w:szCs w:val="22"/>
        </w:rPr>
      </w:pPr>
      <w:r>
        <w:rPr>
          <w:rFonts w:ascii="宋体" w:hint="eastAsia"/>
          <w:color w:val="000000"/>
          <w:szCs w:val="22"/>
        </w:rPr>
        <w:t>（三十五）第21栏“简易计税办法计算的应纳税额”：反映纳税人本期按简易计税方法计算并应缴纳的增值税额，但不包括按简易计税方法计算的纳税检查应补缴税额。按以下公式计算填写：</w:t>
      </w:r>
    </w:p>
    <w:p>
      <w:pPr>
        <w:pStyle w:val="20"/>
        <w:rPr>
          <w:rFonts w:ascii="宋体"/>
          <w:color w:val="000000"/>
          <w:szCs w:val="22"/>
        </w:rPr>
      </w:pPr>
      <w:r>
        <w:rPr>
          <w:rFonts w:ascii="宋体" w:hint="eastAsia"/>
          <w:color w:val="000000"/>
          <w:szCs w:val="22"/>
        </w:rPr>
        <w:t>本栏“一般项目”列“本月数”＝《附列资料（一）》（第10列第8、9a、10、11行之和-第10列第14行）+（第14列第9b、12、13</w:t>
      </w:r>
      <w:r>
        <w:rPr>
          <w:rFonts w:ascii="宋体"/>
          <w:color w:val="000000"/>
          <w:szCs w:val="22"/>
        </w:rPr>
        <w:t>a</w:t>
      </w:r>
      <w:r>
        <w:rPr>
          <w:rFonts w:ascii="宋体" w:hint="eastAsia"/>
          <w:color w:val="000000"/>
          <w:szCs w:val="22"/>
        </w:rPr>
        <w:t>、1</w:t>
      </w:r>
      <w:r>
        <w:rPr>
          <w:rFonts w:ascii="宋体"/>
          <w:color w:val="000000"/>
          <w:szCs w:val="22"/>
        </w:rPr>
        <w:t>3b</w:t>
      </w:r>
      <w:r>
        <w:rPr>
          <w:rFonts w:ascii="宋体" w:hint="eastAsia"/>
          <w:color w:val="000000"/>
          <w:szCs w:val="22"/>
        </w:rPr>
        <w:t>行之和-第14列第15行）</w:t>
      </w:r>
      <w:r>
        <w:rPr>
          <w:rFonts w:ascii="宋体" w:hint="eastAsia"/>
          <w:szCs w:val="21"/>
        </w:rPr>
        <w:t>；</w:t>
      </w:r>
    </w:p>
    <w:p>
      <w:pPr>
        <w:pStyle w:val="20"/>
        <w:rPr>
          <w:rFonts w:ascii="宋体"/>
          <w:color w:val="000000"/>
          <w:szCs w:val="22"/>
        </w:rPr>
      </w:pPr>
      <w:r>
        <w:rPr>
          <w:rFonts w:ascii="宋体" w:hint="eastAsia"/>
          <w:color w:val="000000"/>
          <w:szCs w:val="22"/>
        </w:rPr>
        <w:t>本栏“即征即退项目”列“本月数”＝《附列资料（一）》第10列第14行+第14列第15行。</w:t>
      </w:r>
    </w:p>
    <w:p>
      <w:pPr>
        <w:pStyle w:val="20"/>
        <w:rPr>
          <w:rFonts w:ascii="宋体"/>
          <w:color w:val="000000"/>
          <w:szCs w:val="22"/>
        </w:rPr>
      </w:pPr>
      <w:r>
        <w:rPr>
          <w:rFonts w:ascii="宋体" w:hint="eastAsia"/>
          <w:color w:val="000000"/>
          <w:szCs w:val="22"/>
        </w:rPr>
        <w:t>营业税改征增值税的纳税人，服务、不动产和无形资产按规定汇总计算缴纳增值税的分支机构，应将预征增值税额填入本栏。预征增值税额</w:t>
      </w:r>
      <w:r>
        <w:rPr>
          <w:rFonts w:ascii="宋体" w:hint="eastAsia"/>
          <w:szCs w:val="21"/>
        </w:rPr>
        <w:t>＝</w:t>
      </w:r>
      <w:r>
        <w:rPr>
          <w:rFonts w:ascii="宋体" w:hint="eastAsia"/>
          <w:color w:val="000000"/>
          <w:szCs w:val="22"/>
        </w:rPr>
        <w:t>应预征增值税的销售额×预征率。</w:t>
      </w:r>
    </w:p>
    <w:p>
      <w:pPr>
        <w:pStyle w:val="20"/>
        <w:rPr>
          <w:rFonts w:ascii="宋体"/>
          <w:color w:val="000000"/>
          <w:szCs w:val="22"/>
        </w:rPr>
      </w:pPr>
      <w:r>
        <w:rPr>
          <w:rFonts w:ascii="宋体" w:hint="eastAsia"/>
          <w:color w:val="000000"/>
          <w:szCs w:val="22"/>
        </w:rPr>
        <w:t>（三十六）第22栏“按简易计税办法计算的纳税检查应补缴税额”：填写纳税人本期因税务、财政、审计部门检查并按简易计税方法计算的纳税检查应补缴税额。</w:t>
      </w:r>
    </w:p>
    <w:p>
      <w:pPr>
        <w:pStyle w:val="20"/>
        <w:rPr>
          <w:rFonts w:ascii="宋体"/>
          <w:color w:val="000000"/>
          <w:szCs w:val="22"/>
        </w:rPr>
      </w:pPr>
      <w:r>
        <w:rPr>
          <w:rFonts w:ascii="宋体" w:hint="eastAsia"/>
          <w:color w:val="000000"/>
          <w:szCs w:val="22"/>
        </w:rPr>
        <w:t>（三十七）第23栏“应纳税额减征额”：填写纳税人本期按照税法规定减征的增值税应纳税额。包含按照规定可在增值税应纳税额中全额抵减的增值税税控系统专用设备费用以及技术维护费。</w:t>
      </w:r>
    </w:p>
    <w:p>
      <w:pPr>
        <w:pStyle w:val="20"/>
        <w:rPr>
          <w:rFonts w:ascii="宋体"/>
          <w:color w:val="000000"/>
          <w:szCs w:val="22"/>
        </w:rPr>
      </w:pPr>
      <w:r>
        <w:rPr>
          <w:rFonts w:ascii="宋体" w:hint="eastAsia"/>
          <w:color w:val="000000"/>
          <w:szCs w:val="22"/>
        </w:rPr>
        <w:t>当本期减征额小于或等于第19栏“应纳税额”与第21栏“简易计税办法计算的应纳税额”之和时，按本期减征额实际填写；当本期减征额大于第19栏“应纳税额”与第21栏“简易计税办法计算的应纳税额”之和时，按本期第19栏与第21栏之和填写。本期减征额不足抵减部分结转下期继续抵减。</w:t>
      </w:r>
    </w:p>
    <w:p>
      <w:pPr>
        <w:pStyle w:val="20"/>
        <w:rPr>
          <w:rFonts w:ascii="宋体"/>
          <w:color w:val="000000"/>
          <w:szCs w:val="22"/>
        </w:rPr>
      </w:pPr>
      <w:r>
        <w:rPr>
          <w:rFonts w:ascii="宋体" w:hint="eastAsia"/>
          <w:color w:val="000000"/>
          <w:szCs w:val="22"/>
        </w:rPr>
        <w:t>（三十八）第24栏“应纳税额合计”：反映纳税人本期应缴增值税的合计数。按表中所列公式计算填写。</w:t>
      </w:r>
    </w:p>
    <w:p>
      <w:pPr>
        <w:pStyle w:val="20"/>
        <w:rPr>
          <w:rFonts w:ascii="宋体"/>
          <w:color w:val="000000"/>
          <w:szCs w:val="22"/>
        </w:rPr>
      </w:pPr>
      <w:r>
        <w:rPr>
          <w:rFonts w:ascii="宋体" w:hint="eastAsia"/>
          <w:color w:val="000000"/>
          <w:szCs w:val="22"/>
        </w:rPr>
        <w:t>（三十九）第25栏“期初未缴税额（多缴为负数）”：“本月数”按上一税款所属期申报表第32栏“期末未缴税额（多缴为负数）”“本月数”填写。“本年累计”按上年度最后一个税款所属期申报表第32栏“期末未缴税额（多缴为负数）”“本年累计”填写。</w:t>
      </w:r>
    </w:p>
    <w:p>
      <w:pPr>
        <w:pStyle w:val="20"/>
        <w:rPr>
          <w:rFonts w:ascii="宋体"/>
          <w:color w:val="000000"/>
          <w:szCs w:val="22"/>
        </w:rPr>
      </w:pPr>
      <w:r>
        <w:rPr>
          <w:rFonts w:ascii="宋体" w:hint="eastAsia"/>
          <w:color w:val="000000"/>
          <w:szCs w:val="22"/>
        </w:rPr>
        <w:t>（四十）第26栏“实收出口开具专用缴款书退税额”：本栏不填写。</w:t>
      </w:r>
    </w:p>
    <w:p>
      <w:pPr>
        <w:pStyle w:val="20"/>
        <w:rPr>
          <w:rFonts w:ascii="宋体"/>
          <w:color w:val="000000"/>
          <w:szCs w:val="22"/>
        </w:rPr>
      </w:pPr>
      <w:r>
        <w:rPr>
          <w:rFonts w:ascii="宋体" w:hint="eastAsia"/>
          <w:color w:val="000000"/>
          <w:szCs w:val="22"/>
        </w:rPr>
        <w:t>（四十一）第27栏“本期已缴税额”：反映纳税人本期实际缴纳的增值税额，但不包括本期入库的查补税款。按表中所列公式计算填写。</w:t>
      </w:r>
    </w:p>
    <w:p>
      <w:pPr>
        <w:pStyle w:val="20"/>
        <w:rPr>
          <w:rFonts w:ascii="宋体"/>
          <w:color w:val="000000"/>
          <w:szCs w:val="22"/>
        </w:rPr>
      </w:pPr>
      <w:r>
        <w:rPr>
          <w:rFonts w:ascii="宋体" w:hint="eastAsia"/>
          <w:color w:val="000000"/>
          <w:szCs w:val="22"/>
        </w:rPr>
        <w:t>（四十二）第28栏“①分次预缴税额”：填写纳税人本期已缴纳的准予在本期增值税应纳税额中抵减的税额。</w:t>
      </w:r>
    </w:p>
    <w:p>
      <w:pPr>
        <w:pStyle w:val="20"/>
        <w:rPr>
          <w:rFonts w:ascii="宋体"/>
          <w:color w:val="000000"/>
          <w:szCs w:val="22"/>
        </w:rPr>
      </w:pPr>
      <w:r>
        <w:rPr>
          <w:rFonts w:ascii="宋体" w:hint="eastAsia"/>
          <w:color w:val="000000"/>
          <w:szCs w:val="22"/>
        </w:rPr>
        <w:t>营业税改征增值税的纳税人，分以下几种情况填写：</w:t>
      </w:r>
    </w:p>
    <w:p>
      <w:pPr>
        <w:pStyle w:val="20"/>
        <w:rPr>
          <w:rFonts w:ascii="宋体"/>
          <w:color w:val="000000"/>
          <w:szCs w:val="22"/>
        </w:rPr>
      </w:pPr>
      <w:r>
        <w:rPr>
          <w:rFonts w:ascii="宋体" w:hint="eastAsia"/>
          <w:color w:val="000000"/>
          <w:szCs w:val="22"/>
        </w:rPr>
        <w:t>1.服务、不动产和无形资产按规定汇总计算缴纳增值税的总机构，其可以从本期增值税应纳税额中抵减的分支机构已缴纳的税款，按当期实际可抵减数填入本栏，不足抵减部分结转下期继续抵减。</w:t>
      </w:r>
    </w:p>
    <w:p>
      <w:pPr>
        <w:pStyle w:val="20"/>
        <w:rPr>
          <w:rFonts w:ascii="宋体"/>
          <w:color w:val="000000"/>
          <w:szCs w:val="22"/>
        </w:rPr>
      </w:pPr>
      <w:r>
        <w:rPr>
          <w:rFonts w:ascii="宋体" w:hint="eastAsia"/>
          <w:color w:val="000000"/>
          <w:szCs w:val="22"/>
        </w:rPr>
        <w:t>2.销售建筑服务并按规定预缴增值税的纳税人，其可以从本期增值税应纳税额中抵减的已缴纳的税款，按当期实际可抵减数填入本栏，不足抵减部分结转下期继续抵减。</w:t>
      </w:r>
    </w:p>
    <w:p>
      <w:pPr>
        <w:pStyle w:val="20"/>
        <w:rPr>
          <w:rFonts w:ascii="宋体"/>
          <w:color w:val="000000"/>
          <w:szCs w:val="22"/>
        </w:rPr>
      </w:pPr>
      <w:r>
        <w:rPr>
          <w:rFonts w:ascii="宋体" w:hint="eastAsia"/>
          <w:color w:val="000000"/>
          <w:szCs w:val="22"/>
        </w:rPr>
        <w:t>3.销售不动产并按规定预缴增值税的纳税人，其可以从本期增值税应纳税额中抵减的已缴纳的税款，按当期实际可抵减数填入本栏，不足抵减部分结转下期继续抵减。</w:t>
      </w:r>
    </w:p>
    <w:p>
      <w:pPr>
        <w:pStyle w:val="20"/>
        <w:rPr>
          <w:rFonts w:ascii="宋体"/>
          <w:color w:val="000000"/>
          <w:szCs w:val="22"/>
        </w:rPr>
      </w:pPr>
      <w:r>
        <w:rPr>
          <w:rFonts w:ascii="宋体" w:hint="eastAsia"/>
          <w:color w:val="000000"/>
          <w:szCs w:val="22"/>
        </w:rPr>
        <w:t>4.出租不动产并按规定预缴增值税的纳税人，其可以从本期增值税应纳税额中抵减的已缴纳的税款，按当期实际可抵减数填入本栏，不足抵减部分结转下期继续抵减。</w:t>
      </w:r>
    </w:p>
    <w:p>
      <w:pPr>
        <w:pStyle w:val="20"/>
        <w:rPr>
          <w:rFonts w:ascii="宋体"/>
          <w:color w:val="000000"/>
          <w:szCs w:val="22"/>
        </w:rPr>
      </w:pPr>
      <w:r>
        <w:rPr>
          <w:rFonts w:ascii="宋体" w:hint="eastAsia"/>
          <w:color w:val="000000"/>
          <w:szCs w:val="22"/>
        </w:rPr>
        <w:t>（四十三）第29栏“②出口开具专用缴款书预缴税额”：本栏不填写。</w:t>
      </w:r>
    </w:p>
    <w:p>
      <w:pPr>
        <w:pStyle w:val="20"/>
        <w:rPr>
          <w:rFonts w:ascii="宋体"/>
          <w:color w:val="000000"/>
          <w:szCs w:val="22"/>
        </w:rPr>
      </w:pPr>
      <w:r>
        <w:rPr>
          <w:rFonts w:ascii="宋体" w:hint="eastAsia"/>
          <w:color w:val="000000"/>
          <w:szCs w:val="22"/>
        </w:rPr>
        <w:t>（四十四）第30栏“③本期缴纳上期应纳税额”：填写纳税人本期缴纳上一税款所属期应缴未缴的增值税额。</w:t>
      </w:r>
    </w:p>
    <w:p>
      <w:pPr>
        <w:pStyle w:val="20"/>
        <w:rPr>
          <w:rFonts w:ascii="宋体"/>
          <w:color w:val="000000"/>
          <w:szCs w:val="22"/>
        </w:rPr>
      </w:pPr>
      <w:r>
        <w:rPr>
          <w:rFonts w:ascii="宋体" w:hint="eastAsia"/>
          <w:color w:val="000000"/>
          <w:szCs w:val="22"/>
        </w:rPr>
        <w:t>（四十五）第31栏“④本期缴纳欠缴税额”：反映纳税人本期实际缴纳和留抵税额抵减的增值税欠税额，但不包括缴纳入库的查补增值税额。</w:t>
      </w:r>
    </w:p>
    <w:p>
      <w:pPr>
        <w:pStyle w:val="20"/>
        <w:rPr>
          <w:rFonts w:ascii="宋体"/>
          <w:color w:val="000000"/>
          <w:szCs w:val="22"/>
        </w:rPr>
      </w:pPr>
      <w:r>
        <w:rPr>
          <w:rFonts w:ascii="宋体" w:hint="eastAsia"/>
          <w:color w:val="000000"/>
          <w:szCs w:val="22"/>
        </w:rPr>
        <w:t>（四十六）第32栏“期末未缴税额（多缴为负数）”：“本月数”反映纳税人本期期末应缴未缴的增值税额，但不包括纳税检查应缴未缴的税额。按表中所列公式计算填写。“本年累计”与“本月数”相同。</w:t>
      </w:r>
    </w:p>
    <w:p>
      <w:pPr>
        <w:pStyle w:val="20"/>
        <w:rPr>
          <w:rFonts w:ascii="宋体"/>
          <w:color w:val="000000"/>
          <w:szCs w:val="22"/>
        </w:rPr>
      </w:pPr>
      <w:r>
        <w:rPr>
          <w:rFonts w:ascii="宋体" w:hint="eastAsia"/>
          <w:color w:val="000000"/>
          <w:szCs w:val="22"/>
        </w:rPr>
        <w:t>（四十七）第33栏“其中：欠缴税额（≥0）”：反映纳税人按照税法规定已形成欠税的增值税额。按表中所列公式计算填写。</w:t>
      </w:r>
    </w:p>
    <w:p>
      <w:pPr>
        <w:pStyle w:val="20"/>
        <w:rPr>
          <w:rFonts w:ascii="宋体"/>
          <w:color w:val="000000"/>
          <w:szCs w:val="22"/>
        </w:rPr>
      </w:pPr>
      <w:r>
        <w:rPr>
          <w:rFonts w:ascii="宋体" w:hint="eastAsia"/>
          <w:color w:val="000000"/>
          <w:szCs w:val="22"/>
        </w:rPr>
        <w:t>（四十八）第34栏“本期应补（退）税额”：反映纳税人本期应纳税额中应补缴或应退回的数额。按表中所列公式计算填写。</w:t>
      </w:r>
    </w:p>
    <w:p>
      <w:pPr>
        <w:pStyle w:val="20"/>
        <w:rPr>
          <w:rFonts w:ascii="宋体"/>
          <w:color w:val="000000"/>
          <w:szCs w:val="22"/>
        </w:rPr>
      </w:pPr>
      <w:r>
        <w:rPr>
          <w:rFonts w:ascii="宋体" w:hint="eastAsia"/>
          <w:color w:val="000000"/>
          <w:szCs w:val="22"/>
        </w:rPr>
        <w:t>（四十九）第35栏“即征即退实际退税额”：反映纳税人本期因符合增值税即征即退政策规定，而实际收到的税务机关退回的增值税额。</w:t>
      </w:r>
    </w:p>
    <w:p>
      <w:pPr>
        <w:pStyle w:val="20"/>
        <w:rPr>
          <w:rFonts w:ascii="宋体"/>
          <w:color w:val="000000"/>
          <w:szCs w:val="22"/>
        </w:rPr>
      </w:pPr>
      <w:r>
        <w:rPr>
          <w:rFonts w:ascii="宋体" w:hint="eastAsia"/>
          <w:color w:val="000000"/>
          <w:szCs w:val="22"/>
        </w:rPr>
        <w:t>（五十）第36栏“期初未缴查补税额”：“本月数”按上一税款所属期申报表第38栏“期末未缴查补税额”“本月数”填写。“本年累计”按上年度最后一个税款所属期申报表第38栏“期末未缴查补税额”“本年累计”填写。</w:t>
      </w:r>
    </w:p>
    <w:p>
      <w:pPr>
        <w:pStyle w:val="20"/>
        <w:rPr>
          <w:rFonts w:ascii="宋体"/>
          <w:color w:val="000000"/>
          <w:szCs w:val="22"/>
        </w:rPr>
      </w:pPr>
      <w:r>
        <w:rPr>
          <w:rFonts w:ascii="宋体" w:hint="eastAsia"/>
          <w:color w:val="000000"/>
          <w:szCs w:val="22"/>
        </w:rPr>
        <w:t>（五十一）第37栏“本期入库查补税额”：反映纳税人本期因税务、财政、审计部门检查而实际入库的增值税额，包括按一般计税方法计算并实际缴纳的查补增值税额和按简易计税方法计算并实际缴纳的查补增值税额。</w:t>
      </w:r>
    </w:p>
    <w:p>
      <w:pPr>
        <w:pStyle w:val="20"/>
        <w:rPr>
          <w:rFonts w:ascii="宋体" w:hint="eastAsia"/>
          <w:color w:val="000000"/>
          <w:szCs w:val="22"/>
        </w:rPr>
      </w:pPr>
      <w:r>
        <w:rPr>
          <w:rFonts w:ascii="宋体" w:hint="eastAsia"/>
          <w:color w:val="000000"/>
          <w:szCs w:val="22"/>
        </w:rPr>
        <w:t>（五十二）第38栏“期末未缴查补税额”：“本月数”反映纳税人接受纳税检查后应在本期期末缴纳而未缴纳的查补增值税额。按表中所列公式计算填写，“本年累计”与“本月数”相同。</w:t>
      </w:r>
      <w:bookmarkEnd w:id="1"/>
    </w:p>
    <w:p>
      <w:pPr>
        <w:pStyle w:val="20"/>
        <w:rPr>
          <w:rFonts w:ascii="宋体"/>
          <w:color w:val="000000"/>
          <w:szCs w:val="22"/>
        </w:rPr>
      </w:pPr>
    </w:p>
    <w:p>
      <w:pPr>
        <w:pStyle w:val="20"/>
        <w:ind w:firstLine="0"/>
        <w:rPr>
          <w:rFonts w:ascii="宋体" w:hint="eastAsia"/>
          <w:color w:val="000000"/>
          <w:szCs w:val="22"/>
        </w:rPr>
        <w:sectPr>
          <w:pgSz w:w="11906" w:h="16838"/>
          <w:pgMar w:top="1440" w:right="1800" w:bottom="1440" w:left="1800" w:header="851" w:footer="992" w:gutter="0"/>
          <w:docGrid w:type="lines" w:linePitch="312" w:charSpace="0"/>
        </w:sectPr>
      </w:pPr>
    </w:p>
    <w:p/>
    <w:sectPr>
      <w:pgSz w:w="11906" w:h="16838"/>
      <w:pgMar w:top="1440" w:right="1800" w:bottom="1440" w:left="1800" w:header="851" w:footer="992" w:gutter="0"/>
      <w:docGrid w:type="lines" w:linePitch="312" w:charSpace="0"/>
    </w:sectPr>
  </w:body>
</w:document>
</file>

<file path=word/fontTable.xml><?xml version="1.0" encoding="utf-8"?>
<w:fonts xmlns:w="http://schemas.openxmlformats.org/wordprocessingml/2006/main" xmlns:r="http://schemas.openxmlformats.org/officeDocument/2006/relationships">
  <w:font w:name="宋体">
    <w:panose1 w:val="02010600030101010101"/>
    <w:charset w:val="86"/>
    <w:family w:val="auto"/>
    <w:pitch w:val="variable"/>
    <w:sig w:usb0="00000003" w:usb1="288F0000" w:usb2="00000006" w:usb3="00000000" w:csb0="00040001" w:csb1="00000000"/>
  </w:font>
  <w:font w:name="Courier New">
    <w:panose1 w:val="02070309020205020404"/>
    <w:charset w:val="01"/>
    <w:family w:val="modern"/>
    <w:pitch w:val="variable"/>
    <w:sig w:usb0="E0002AFF" w:usb1="C0007843" w:usb2="00000009" w:usb3="00000000" w:csb0="400001FF" w:csb1="FFFF0000"/>
  </w:font>
  <w:font w:name="Times New Roman">
    <w:panose1 w:val="02020603050405020304"/>
    <w:charset w:val="00"/>
    <w:family w:val="roman"/>
    <w:pitch w:val="variable"/>
    <w:sig w:usb0="20007A87" w:usb1="80000000" w:usb2="00000008" w:usb3="00000000" w:csb0="000001FF" w:csb1="00000000"/>
  </w:font>
  <w:font w:name="Calibri">
    <w:altName w:val="Century Gothic"/>
    <w:panose1 w:val="020F0502020204030204"/>
    <w:charset w:val="00"/>
    <w:family w:val="swiss"/>
    <w:pitch w:val="variable"/>
    <w:sig w:usb0="E10002FF" w:usb1="4000ACFF" w:usb2="00000009" w:usb3="00000000" w:csb0="2000019F" w:csb1="00000000"/>
  </w:font>
  <w:font w:name="Arial">
    <w:panose1 w:val="020B0604020202020204"/>
    <w:charset w:val="01"/>
    <w:family w:val="swiss"/>
    <w:pitch w:val="variable"/>
    <w:sig w:usb0="E0002AFF" w:usb1="C0007843" w:usb2="00000009" w:usb3="00000000" w:csb0="400001FF" w:csb1="FFFF0000"/>
  </w:font>
  <w:font w:name="黑体">
    <w:panose1 w:val="02010609060101010101"/>
    <w:charset w:val="86"/>
    <w:family w:val="auto"/>
    <w:pitch w:val="variable"/>
    <w:sig w:usb0="800002BF" w:usb1="38CF7CFA" w:usb2="00000016" w:usb3="00000000" w:csb0="00040001" w:csb1="00000000"/>
  </w:font>
</w:fonts>
</file>

<file path=word/settings.xml><?xml version="1.0" encoding="utf-8"?>
<w:settings xmlns:w="http://schemas.openxmlformats.org/wordprocessingml/2006/main" xmlns:o="urn:schemas-microsoft-com:office:office" xmlns:r="http://schemas.openxmlformats.org/officeDocument/2006/relationships" xmlns:m="http://schemas.openxmlformats.org/officeDocument/2006/math" xmlns:v="urn:schemas-microsoft-com:vml">
  <w:zoom w:percent="13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ulTrailSpace/>
    <w:doNotExpandShiftReturn/>
    <w:adjustLineHeightInTable/>
    <w:growAutofit/>
    <w:useAltKinsokuLineBreakRules/>
    <w:splitPgBreakAndParaMark/>
    <w:compatSetting w:name="compatibilityMode" w:uri="http://schemas.microsoft.com/office/word" w:val="14"/>
  </w:compat>
</w:settings>
</file>

<file path=word/styles.xml><?xml version="1.0" encoding="utf-8"?>
<w:styles xmlns:w="http://schemas.openxmlformats.org/wordprocessingml/2006/main" xmlns:r="http://schemas.openxmlformats.org/officeDocument/2006/relationships">
  <w:docDefaults>
    <w:rPrDefault>
      <w:rPr>
        <w:rFonts w:ascii="Times New Roman" w:eastAsia="宋体" w:hAnsi="Times New Roman" w:cs="Times New Roman"/>
        <w:lang w:val="en-US" w:eastAsia="zh-CN" w:bidi="ar-SA"/>
      </w:rPr>
    </w:rPrDefault>
    <w:pPrDefault/>
  </w:docDefaults>
  <w:style w:type="paragraph" w:default="1" w:styleId="0">
    <w:name w:val="Normal"/>
    <w:pPr>
      <w:widowControl w:val="0"/>
      <w:jc w:val="both"/>
    </w:pPr>
    <w:rPr>
      <w:rFonts w:ascii="Calibri" w:eastAsia="宋体" w:cs="Times New Roman" w:hAnsi="Calibri"/>
      <w:kern w:val="2"/>
      <w:sz w:val="21"/>
      <w:szCs w:val="22"/>
      <w:lang w:val="en-US" w:eastAsia="zh-CN" w:bidi="ar-SA"/>
    </w:rPr>
  </w:style>
  <w:style w:type="character" w:default="1" w:styleId="10">
    <w:name w:val="Default Paragraph Font"/>
  </w:style>
  <w:style w:type="paragraph" w:customStyle="1" w:styleId="15">
    <w:name w:val="正文_1"/>
    <w:rPr>
      <w:rFonts w:ascii="Times New Roman" w:eastAsia="Times New Roman" w:cs="Times New Roman" w:hAnsi="Times New Roman"/>
      <w:sz w:val="24"/>
      <w:szCs w:val="24"/>
      <w:lang w:val="en-US" w:eastAsia="zh-CN" w:bidi="ar-SA"/>
    </w:rPr>
  </w:style>
  <w:style w:type="paragraph" w:styleId="16">
    <w:name w:val="Plain Text"/>
    <w:basedOn w:val="15"/>
    <w:pPr>
      <w:widowControl w:val="0"/>
      <w:jc w:val="both"/>
    </w:pPr>
    <w:rPr>
      <w:rFonts w:ascii="宋体" w:eastAsia="宋体"/>
      <w:sz w:val="20"/>
      <w:szCs w:val="21"/>
    </w:rPr>
  </w:style>
  <w:style w:type="paragraph" w:customStyle="1" w:styleId="17">
    <w:name w:val="标题 2_0"/>
    <w:basedOn w:val="0"/>
    <w:next w:val="0"/>
    <w:pPr>
      <w:keepNext/>
      <w:keepLines/>
      <w:widowControl w:val="0"/>
      <w:spacing w:before="260" w:after="260" w:line="415" w:lineRule="auto"/>
      <w:outlineLvl w:val="1"/>
    </w:pPr>
    <w:rPr>
      <w:rFonts w:ascii="Arial" w:eastAsia="黑体" w:hAnsi="Arial"/>
      <w:b/>
      <w:bCs/>
      <w:sz w:val="32"/>
      <w:szCs w:val="32"/>
    </w:rPr>
  </w:style>
  <w:style w:type="paragraph" w:customStyle="1" w:styleId="18">
    <w:name w:val="一级标题_0"/>
    <w:basedOn w:val="0"/>
    <w:pPr>
      <w:widowControl/>
      <w:ind w:firstLine="420"/>
      <w:jc w:val="left"/>
      <w:outlineLvl w:val="2"/>
    </w:pPr>
    <w:rPr>
      <w:rFonts w:ascii="Arial" w:eastAsia="Times New Roman" w:cs="Arial" w:hAnsi="Arial"/>
      <w:b/>
      <w:kern w:val="0"/>
      <w:sz w:val="24"/>
      <w:szCs w:val="24"/>
    </w:rPr>
  </w:style>
  <w:style w:type="paragraph" w:customStyle="1" w:styleId="19">
    <w:name w:val="二级标题_0"/>
    <w:basedOn w:val="0"/>
    <w:pPr>
      <w:widowControl/>
      <w:ind w:firstLine="420"/>
      <w:jc w:val="left"/>
      <w:outlineLvl w:val="3"/>
    </w:pPr>
    <w:rPr>
      <w:rFonts w:ascii="Arial" w:eastAsia="Times New Roman" w:cs="Arial" w:hAnsi="Arial"/>
      <w:kern w:val="0"/>
      <w:sz w:val="24"/>
      <w:szCs w:val="24"/>
    </w:rPr>
  </w:style>
  <w:style w:type="paragraph" w:customStyle="1" w:styleId="20">
    <w:name w:val="需求正文_0"/>
    <w:basedOn w:val="0"/>
    <w:pPr>
      <w:widowControl/>
      <w:ind w:firstLine="420"/>
      <w:jc w:val="left"/>
    </w:pPr>
    <w:rPr>
      <w:rFonts w:ascii="Arial" w:hAnsi="Arial"/>
      <w:szCs w:val="24"/>
    </w:rPr>
  </w:style>
  <w:style w:type="paragraph" w:customStyle="1" w:styleId="21">
    <w:name w:val="正文_0"/>
    <w:rPr>
      <w:rFonts w:ascii="Times New Roman" w:eastAsia="Times New Roman" w:cs="Times New Roman" w:hAnsi="Times New Roman"/>
      <w:sz w:val="24"/>
      <w:szCs w:val="24"/>
      <w:lang w:val="en-US" w:eastAsia="zh-CN" w:bidi="ar-SA"/>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styles" Target="styles.xml"/><Relationship Id="rId3" Type="http://schemas.openxmlformats.org/officeDocument/2006/relationships/fontTable" Target="fontTable.xml"/></Relationships>
</file>

<file path=docProps/app.xml><?xml version="1.0" encoding="utf-8"?>
<Properties xmlns="http://schemas.openxmlformats.org/officeDocument/2006/extended-properties">
  <Template>Normal.eit</Template>
  <TotalTime>10</TotalTime>
  <Application>Yozo_Office</Application>
  <Pages>8</Pages>
  <Words>6536</Words>
  <Characters>7422</Characters>
  <Lines>575</Lines>
  <Paragraphs>389</Paragraphs>
  <CharactersWithSpaces>7564</CharactersWithSpaces>
</Properties>
</file>

<file path=docProps/core.xml><?xml version="1.0" encoding="utf-8"?>
<cp:coreProperties xmlns:cp="http://schemas.openxmlformats.org/package/2006/metadata/core-properties" xmlns:dc="http://purl.org/dc/elements/1.1/" xmlns:dcterms="http://purl.org/dc/terms/" xmlns:xsi="http://www.w3.org/2001/XMLSchema-instance">
  <dc:creator>陈莉佳</dc:creator>
  <cp:lastModifiedBy>Lenovo User</cp:lastModifiedBy>
  <cp:revision>1</cp:revision>
  <dcterms:created xsi:type="dcterms:W3CDTF">2019-10-30T09:09:00Z</dcterms:created>
</cp:coreProperties>
</file>

<file path=docProps/custom.xml><?xml version="1.0" encoding="utf-8"?>
<Properties xmlns:vt="http://schemas.openxmlformats.org/officeDocument/2006/docPropsVTypes" xmlns="http://schemas.openxmlformats.org/officeDocument/2006/custom-properties">
  <property fmtid="{D5CDD505-2E9C-101B-9397-08002B2CF9AE}" pid="2" name="KSOProductBuildVer">
    <vt:lpwstr>2052-11.1.0.8894</vt:lpwstr>
  </property>
</Properties>
</file>