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220" w:lineRule="atLeast"/>
        <w:rPr>
          <w:rFonts w:ascii="宋体" w:hAnsi="宋体"/>
          <w:color w:val="auto"/>
          <w:sz w:val="28"/>
          <w:szCs w:val="28"/>
          <w:highlight w:val="none"/>
        </w:rPr>
      </w:pPr>
      <w:r>
        <w:rPr>
          <w:rFonts w:hint="eastAsia" w:ascii="宋体" w:hAnsi="宋体"/>
          <w:color w:val="auto"/>
          <w:sz w:val="28"/>
          <w:szCs w:val="28"/>
          <w:highlight w:val="none"/>
        </w:rPr>
        <w:drawing>
          <wp:inline distT="0" distB="0" distL="114300" distR="114300">
            <wp:extent cx="1790700" cy="895350"/>
            <wp:effectExtent l="0" t="0" r="7620" b="3810"/>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pic:cNvPicPr>
                  </pic:nvPicPr>
                  <pic:blipFill>
                    <a:blip r:embed="rId7" cstate="print"/>
                    <a:stretch>
                      <a:fillRect/>
                    </a:stretch>
                  </pic:blipFill>
                  <pic:spPr>
                    <a:xfrm>
                      <a:off x="0" y="0"/>
                      <a:ext cx="1790700" cy="895350"/>
                    </a:xfrm>
                    <a:prstGeom prst="rect">
                      <a:avLst/>
                    </a:prstGeom>
                    <a:noFill/>
                    <a:ln>
                      <a:noFill/>
                    </a:ln>
                  </pic:spPr>
                </pic:pic>
              </a:graphicData>
            </a:graphic>
          </wp:inline>
        </w:drawing>
      </w:r>
    </w:p>
    <w:p>
      <w:pPr>
        <w:tabs>
          <w:tab w:val="left" w:pos="420"/>
          <w:tab w:val="left" w:pos="6660"/>
        </w:tabs>
        <w:spacing w:line="1220" w:lineRule="atLeast"/>
        <w:rPr>
          <w:rFonts w:ascii="宋体" w:hAnsi="宋体"/>
          <w:color w:val="auto"/>
          <w:sz w:val="28"/>
          <w:szCs w:val="28"/>
          <w:highlight w:val="none"/>
        </w:rPr>
      </w:pPr>
    </w:p>
    <w:p>
      <w:pPr>
        <w:tabs>
          <w:tab w:val="left" w:pos="420"/>
          <w:tab w:val="left" w:pos="6660"/>
        </w:tabs>
        <w:spacing w:line="1220" w:lineRule="atLeast"/>
        <w:jc w:val="center"/>
        <w:rPr>
          <w:rFonts w:ascii="宋体" w:hAnsi="宋体"/>
          <w:b/>
          <w:color w:val="auto"/>
          <w:sz w:val="84"/>
          <w:szCs w:val="84"/>
          <w:highlight w:val="none"/>
        </w:rPr>
      </w:pPr>
      <w:r>
        <w:rPr>
          <w:rFonts w:hint="eastAsia" w:ascii="宋体" w:hAnsi="宋体"/>
          <w:b/>
          <w:color w:val="auto"/>
          <w:sz w:val="84"/>
          <w:szCs w:val="84"/>
          <w:highlight w:val="none"/>
        </w:rPr>
        <w:t>服务类采购</w:t>
      </w:r>
    </w:p>
    <w:p>
      <w:pPr>
        <w:tabs>
          <w:tab w:val="left" w:pos="420"/>
          <w:tab w:val="left" w:pos="6660"/>
        </w:tabs>
        <w:spacing w:line="1600" w:lineRule="atLeast"/>
        <w:jc w:val="center"/>
        <w:rPr>
          <w:rFonts w:ascii="宋体" w:hAnsi="宋体"/>
          <w:b/>
          <w:color w:val="auto"/>
          <w:sz w:val="84"/>
          <w:szCs w:val="84"/>
          <w:highlight w:val="none"/>
        </w:rPr>
      </w:pPr>
      <w:r>
        <w:rPr>
          <w:rFonts w:hint="eastAsia" w:ascii="宋体" w:hAnsi="宋体"/>
          <w:b/>
          <w:color w:val="auto"/>
          <w:sz w:val="84"/>
          <w:szCs w:val="84"/>
          <w:highlight w:val="none"/>
        </w:rPr>
        <w:t>公开招标文件</w:t>
      </w:r>
    </w:p>
    <w:p>
      <w:pPr>
        <w:spacing w:line="500" w:lineRule="exact"/>
        <w:jc w:val="center"/>
        <w:rPr>
          <w:rFonts w:ascii="宋体" w:hAnsi="宋体"/>
          <w:bCs/>
          <w:color w:val="auto"/>
          <w:sz w:val="28"/>
          <w:szCs w:val="28"/>
          <w:highlight w:val="none"/>
        </w:rPr>
      </w:pPr>
    </w:p>
    <w:p>
      <w:pPr>
        <w:spacing w:line="500" w:lineRule="exact"/>
        <w:jc w:val="center"/>
        <w:rPr>
          <w:rFonts w:ascii="宋体" w:hAnsi="宋体"/>
          <w:bCs/>
          <w:color w:val="auto"/>
          <w:sz w:val="28"/>
          <w:szCs w:val="28"/>
          <w:highlight w:val="none"/>
        </w:rPr>
      </w:pPr>
    </w:p>
    <w:p>
      <w:pPr>
        <w:spacing w:line="500" w:lineRule="exact"/>
        <w:jc w:val="center"/>
        <w:rPr>
          <w:rFonts w:ascii="宋体" w:hAnsi="宋体"/>
          <w:bCs/>
          <w:color w:val="auto"/>
          <w:sz w:val="28"/>
          <w:szCs w:val="28"/>
          <w:highlight w:val="none"/>
        </w:rPr>
      </w:pPr>
    </w:p>
    <w:p>
      <w:pPr>
        <w:spacing w:line="360" w:lineRule="auto"/>
        <w:ind w:left="3111" w:leftChars="621" w:hanging="1807" w:hangingChars="500"/>
        <w:rPr>
          <w:rFonts w:ascii="宋体" w:hAnsi="宋体"/>
          <w:b/>
          <w:bCs/>
          <w:color w:val="auto"/>
          <w:sz w:val="36"/>
          <w:szCs w:val="36"/>
          <w:highlight w:val="none"/>
        </w:rPr>
      </w:pPr>
      <w:r>
        <w:rPr>
          <w:rFonts w:hint="eastAsia" w:ascii="宋体" w:hAnsi="宋体"/>
          <w:b/>
          <w:bCs/>
          <w:color w:val="auto"/>
          <w:sz w:val="36"/>
          <w:szCs w:val="36"/>
          <w:highlight w:val="none"/>
        </w:rPr>
        <w:t>项目名称：国家税务总局罗定市税务局机关及下属税务分局物业管理服务项目</w:t>
      </w:r>
      <w:r>
        <w:rPr>
          <w:rFonts w:hint="eastAsia" w:ascii="宋体" w:hAnsi="宋体"/>
          <w:b/>
          <w:bCs/>
          <w:color w:val="auto"/>
          <w:sz w:val="36"/>
          <w:szCs w:val="36"/>
          <w:highlight w:val="none"/>
        </w:rPr>
        <w:fldChar w:fldCharType="begin"/>
      </w:r>
      <w:r>
        <w:rPr>
          <w:rFonts w:hint="eastAsia" w:ascii="宋体" w:hAnsi="宋体"/>
          <w:b/>
          <w:bCs/>
          <w:color w:val="auto"/>
          <w:sz w:val="36"/>
          <w:szCs w:val="36"/>
          <w:highlight w:val="none"/>
        </w:rPr>
        <w:instrText xml:space="preserve"> DOCVARIABLE  采购编号  \* MERGEFORMAT </w:instrText>
      </w:r>
      <w:r>
        <w:rPr>
          <w:rFonts w:hint="eastAsia" w:ascii="宋体" w:hAnsi="宋体"/>
          <w:b/>
          <w:bCs/>
          <w:color w:val="auto"/>
          <w:sz w:val="36"/>
          <w:szCs w:val="36"/>
          <w:highlight w:val="none"/>
        </w:rPr>
        <w:fldChar w:fldCharType="end"/>
      </w:r>
    </w:p>
    <w:p>
      <w:pPr>
        <w:spacing w:line="360" w:lineRule="auto"/>
        <w:ind w:left="2052" w:leftChars="636" w:hanging="716" w:hangingChars="198"/>
        <w:rPr>
          <w:rFonts w:ascii="宋体" w:hAnsi="宋体"/>
          <w:b/>
          <w:color w:val="auto"/>
          <w:sz w:val="36"/>
          <w:szCs w:val="36"/>
          <w:highlight w:val="none"/>
          <w:u w:val="single"/>
        </w:rPr>
      </w:pPr>
      <w:r>
        <w:rPr>
          <w:rFonts w:hint="eastAsia" w:ascii="宋体" w:hAnsi="宋体"/>
          <w:b/>
          <w:bCs/>
          <w:color w:val="auto"/>
          <w:sz w:val="36"/>
          <w:szCs w:val="36"/>
          <w:highlight w:val="none"/>
        </w:rPr>
        <w:t>项目编号：0877-23GZTP01Y774</w:t>
      </w:r>
      <w:r>
        <w:rPr>
          <w:rFonts w:hint="eastAsia" w:ascii="宋体" w:hAnsi="宋体"/>
          <w:b/>
          <w:bCs/>
          <w:color w:val="auto"/>
          <w:sz w:val="36"/>
          <w:szCs w:val="36"/>
          <w:highlight w:val="none"/>
        </w:rPr>
        <w:fldChar w:fldCharType="begin"/>
      </w:r>
      <w:r>
        <w:rPr>
          <w:rFonts w:hint="eastAsia" w:ascii="宋体" w:hAnsi="宋体"/>
          <w:b/>
          <w:bCs/>
          <w:color w:val="auto"/>
          <w:sz w:val="36"/>
          <w:szCs w:val="36"/>
          <w:highlight w:val="none"/>
        </w:rPr>
        <w:instrText xml:space="preserve"> DOCVARIABLE  项目名称  \* MERGEFORMAT </w:instrText>
      </w:r>
      <w:r>
        <w:rPr>
          <w:rFonts w:hint="eastAsia" w:ascii="宋体" w:hAnsi="宋体"/>
          <w:b/>
          <w:bCs/>
          <w:color w:val="auto"/>
          <w:sz w:val="36"/>
          <w:szCs w:val="36"/>
          <w:highlight w:val="none"/>
        </w:rPr>
        <w:fldChar w:fldCharType="end"/>
      </w:r>
    </w:p>
    <w:p>
      <w:pPr>
        <w:spacing w:line="500" w:lineRule="exact"/>
        <w:jc w:val="center"/>
        <w:rPr>
          <w:rFonts w:ascii="宋体" w:hAnsi="宋体"/>
          <w:b/>
          <w:bCs/>
          <w:color w:val="auto"/>
          <w:sz w:val="28"/>
          <w:szCs w:val="28"/>
          <w:highlight w:val="none"/>
        </w:rPr>
      </w:pPr>
    </w:p>
    <w:p>
      <w:pPr>
        <w:spacing w:line="360" w:lineRule="auto"/>
        <w:rPr>
          <w:rFonts w:ascii="宋体" w:hAnsi="宋体"/>
          <w:b/>
          <w:bCs/>
          <w:color w:val="auto"/>
          <w:sz w:val="28"/>
          <w:szCs w:val="28"/>
          <w:highlight w:val="none"/>
        </w:rPr>
      </w:pPr>
    </w:p>
    <w:p>
      <w:pPr>
        <w:spacing w:line="360" w:lineRule="auto"/>
        <w:ind w:firstLine="1269" w:firstLineChars="395"/>
        <w:rPr>
          <w:rFonts w:ascii="宋体" w:hAnsi="宋体"/>
          <w:b/>
          <w:color w:val="auto"/>
          <w:sz w:val="32"/>
          <w:szCs w:val="32"/>
          <w:highlight w:val="none"/>
        </w:rPr>
      </w:pPr>
      <w:r>
        <w:rPr>
          <w:rFonts w:hint="eastAsia" w:ascii="宋体" w:hAnsi="宋体"/>
          <w:b/>
          <w:color w:val="auto"/>
          <w:sz w:val="32"/>
          <w:szCs w:val="32"/>
          <w:highlight w:val="none"/>
        </w:rPr>
        <w:t>采   购   人：国家税务总局罗定市税务局</w:t>
      </w:r>
    </w:p>
    <w:p>
      <w:pPr>
        <w:spacing w:line="360" w:lineRule="auto"/>
        <w:ind w:firstLine="1269" w:firstLineChars="395"/>
        <w:rPr>
          <w:rFonts w:ascii="宋体" w:hAnsi="宋体"/>
          <w:b/>
          <w:color w:val="auto"/>
          <w:sz w:val="32"/>
          <w:szCs w:val="32"/>
          <w:highlight w:val="none"/>
        </w:rPr>
      </w:pPr>
      <w:r>
        <w:rPr>
          <w:rFonts w:hint="eastAsia" w:ascii="宋体" w:hAnsi="宋体"/>
          <w:b/>
          <w:color w:val="auto"/>
          <w:sz w:val="32"/>
          <w:szCs w:val="32"/>
          <w:highlight w:val="none"/>
        </w:rPr>
        <w:t>采购代理机构：广东广招招标采购有限公司</w:t>
      </w:r>
    </w:p>
    <w:p>
      <w:pPr>
        <w:spacing w:line="360" w:lineRule="auto"/>
        <w:rPr>
          <w:rFonts w:ascii="宋体" w:hAnsi="宋体"/>
          <w:b/>
          <w:color w:val="auto"/>
          <w:sz w:val="32"/>
          <w:szCs w:val="32"/>
          <w:highlight w:val="none"/>
        </w:rPr>
      </w:pPr>
    </w:p>
    <w:p>
      <w:pPr>
        <w:spacing w:line="360" w:lineRule="auto"/>
        <w:ind w:left="714" w:leftChars="340" w:firstLine="2715" w:firstLineChars="845"/>
        <w:rPr>
          <w:rFonts w:ascii="宋体" w:hAnsi="宋体"/>
          <w:b/>
          <w:color w:val="auto"/>
          <w:sz w:val="32"/>
          <w:szCs w:val="32"/>
          <w:highlight w:val="none"/>
        </w:rPr>
      </w:pPr>
    </w:p>
    <w:p>
      <w:pPr>
        <w:spacing w:line="360" w:lineRule="auto"/>
        <w:jc w:val="center"/>
        <w:rPr>
          <w:rFonts w:ascii="宋体" w:hAnsi="宋体"/>
          <w:b/>
          <w:color w:val="auto"/>
          <w:sz w:val="44"/>
          <w:szCs w:val="44"/>
          <w:highlight w:val="none"/>
        </w:rPr>
      </w:pPr>
      <w:r>
        <w:rPr>
          <w:rFonts w:hint="eastAsia" w:ascii="宋体" w:hAnsi="宋体"/>
          <w:b/>
          <w:color w:val="auto"/>
          <w:sz w:val="32"/>
          <w:szCs w:val="32"/>
          <w:highlight w:val="none"/>
        </w:rPr>
        <w:t>二〇二三年十一月</w:t>
      </w:r>
      <w:r>
        <w:rPr>
          <w:rFonts w:ascii="宋体" w:hAnsi="宋体"/>
          <w:b/>
          <w:color w:val="auto"/>
          <w:sz w:val="44"/>
          <w:szCs w:val="44"/>
          <w:highlight w:val="none"/>
        </w:rPr>
        <w:br w:type="page"/>
      </w:r>
      <w:r>
        <w:rPr>
          <w:rFonts w:hint="eastAsia" w:ascii="宋体" w:hAnsi="宋体"/>
          <w:b/>
          <w:color w:val="auto"/>
          <w:sz w:val="44"/>
          <w:szCs w:val="44"/>
          <w:highlight w:val="none"/>
        </w:rPr>
        <w:t>温馨提示</w:t>
      </w:r>
    </w:p>
    <w:p>
      <w:pPr>
        <w:tabs>
          <w:tab w:val="left" w:pos="0"/>
        </w:tabs>
        <w:spacing w:beforeLines="50" w:afterLines="50"/>
        <w:jc w:val="center"/>
        <w:rPr>
          <w:rFonts w:ascii="宋体" w:hAnsi="宋体"/>
          <w:color w:val="auto"/>
          <w:highlight w:val="none"/>
        </w:rPr>
      </w:pPr>
      <w:r>
        <w:rPr>
          <w:rFonts w:hint="eastAsia" w:ascii="宋体" w:hAnsi="宋体"/>
          <w:b/>
          <w:color w:val="auto"/>
          <w:szCs w:val="21"/>
          <w:highlight w:val="none"/>
        </w:rPr>
        <w:t>（本提示内容非招标文件的组成部分，仅为善意提醒。如有不一致的地方，以招标文件为准）</w:t>
      </w:r>
    </w:p>
    <w:p>
      <w:pPr>
        <w:numPr>
          <w:ilvl w:val="0"/>
          <w:numId w:val="1"/>
        </w:numPr>
        <w:tabs>
          <w:tab w:val="left" w:pos="851"/>
        </w:tabs>
        <w:spacing w:line="360" w:lineRule="auto"/>
        <w:ind w:left="851" w:hanging="851"/>
        <w:rPr>
          <w:rFonts w:ascii="宋体" w:hAnsi="宋体"/>
          <w:color w:val="auto"/>
          <w:szCs w:val="21"/>
          <w:highlight w:val="none"/>
        </w:rPr>
      </w:pPr>
      <w:r>
        <w:rPr>
          <w:rFonts w:hint="eastAsia" w:ascii="宋体" w:hAnsi="宋体"/>
          <w:color w:val="auto"/>
          <w:szCs w:val="21"/>
          <w:highlight w:val="none"/>
        </w:rPr>
        <w:t>如无另行说明，投标文件递交时间为投标截止时间之前30分钟内。</w:t>
      </w:r>
    </w:p>
    <w:p>
      <w:pPr>
        <w:numPr>
          <w:ilvl w:val="0"/>
          <w:numId w:val="1"/>
        </w:numPr>
        <w:tabs>
          <w:tab w:val="left" w:pos="851"/>
        </w:tabs>
        <w:spacing w:line="360" w:lineRule="auto"/>
        <w:ind w:left="851" w:hanging="851"/>
        <w:rPr>
          <w:rFonts w:ascii="宋体" w:hAnsi="宋体"/>
          <w:b/>
          <w:color w:val="auto"/>
          <w:szCs w:val="21"/>
          <w:highlight w:val="none"/>
          <w:u w:val="single"/>
        </w:rPr>
      </w:pPr>
      <w:r>
        <w:rPr>
          <w:rFonts w:hint="eastAsia" w:ascii="宋体" w:hAnsi="宋体"/>
          <w:b/>
          <w:color w:val="auto"/>
          <w:szCs w:val="21"/>
          <w:highlight w:val="none"/>
          <w:u w:val="single"/>
        </w:rPr>
        <w:t>为避免因迟到而失去投标资格，请适当提前到达开标地点。</w:t>
      </w:r>
    </w:p>
    <w:p>
      <w:pPr>
        <w:numPr>
          <w:ilvl w:val="0"/>
          <w:numId w:val="1"/>
        </w:numPr>
        <w:tabs>
          <w:tab w:val="left" w:pos="851"/>
        </w:tabs>
        <w:spacing w:line="360" w:lineRule="auto"/>
        <w:ind w:left="851" w:hanging="851"/>
        <w:rPr>
          <w:rFonts w:ascii="宋体" w:hAnsi="宋体"/>
          <w:color w:val="auto"/>
          <w:szCs w:val="21"/>
          <w:highlight w:val="none"/>
        </w:rPr>
      </w:pPr>
      <w:r>
        <w:rPr>
          <w:rFonts w:hint="eastAsia" w:ascii="宋体" w:hAnsi="宋体"/>
          <w:color w:val="auto"/>
          <w:szCs w:val="21"/>
          <w:highlight w:val="none"/>
        </w:rPr>
        <w:t>投标文件应按顺序编制页码。</w:t>
      </w:r>
    </w:p>
    <w:p>
      <w:pPr>
        <w:numPr>
          <w:ilvl w:val="0"/>
          <w:numId w:val="1"/>
        </w:numPr>
        <w:tabs>
          <w:tab w:val="left" w:pos="851"/>
        </w:tabs>
        <w:spacing w:line="360" w:lineRule="auto"/>
        <w:ind w:left="851" w:hanging="851"/>
        <w:rPr>
          <w:rFonts w:ascii="宋体" w:hAnsi="宋体"/>
          <w:color w:val="auto"/>
          <w:szCs w:val="21"/>
          <w:highlight w:val="none"/>
        </w:rPr>
      </w:pPr>
      <w:r>
        <w:rPr>
          <w:rFonts w:hint="eastAsia" w:ascii="宋体" w:hAnsi="宋体"/>
          <w:color w:val="auto"/>
          <w:szCs w:val="21"/>
          <w:highlight w:val="none"/>
        </w:rPr>
        <w:t>请仔细检查投标文件是否已按招标文件要求盖章、签名及密封。</w:t>
      </w:r>
    </w:p>
    <w:p>
      <w:pPr>
        <w:numPr>
          <w:ilvl w:val="0"/>
          <w:numId w:val="1"/>
        </w:numPr>
        <w:tabs>
          <w:tab w:val="left" w:pos="851"/>
        </w:tabs>
        <w:spacing w:line="360" w:lineRule="auto"/>
        <w:ind w:left="851" w:hanging="851"/>
        <w:rPr>
          <w:rFonts w:ascii="宋体" w:hAnsi="宋体"/>
          <w:color w:val="auto"/>
          <w:szCs w:val="21"/>
          <w:highlight w:val="none"/>
        </w:rPr>
      </w:pPr>
      <w:r>
        <w:rPr>
          <w:rFonts w:hint="eastAsia" w:ascii="宋体" w:hAnsi="宋体"/>
          <w:color w:val="auto"/>
          <w:szCs w:val="21"/>
          <w:highlight w:val="none"/>
        </w:rPr>
        <w:t>请正确填写《开标一览表》，封装在单独的唱标信封当中。</w:t>
      </w:r>
    </w:p>
    <w:p>
      <w:pPr>
        <w:numPr>
          <w:ilvl w:val="0"/>
          <w:numId w:val="1"/>
        </w:numPr>
        <w:tabs>
          <w:tab w:val="left" w:pos="851"/>
        </w:tabs>
        <w:spacing w:line="360" w:lineRule="auto"/>
        <w:ind w:left="851" w:hanging="851"/>
        <w:jc w:val="left"/>
        <w:rPr>
          <w:rFonts w:ascii="宋体" w:hAnsi="宋体"/>
          <w:color w:val="auto"/>
          <w:szCs w:val="21"/>
          <w:highlight w:val="none"/>
        </w:rPr>
      </w:pPr>
      <w:r>
        <w:rPr>
          <w:rFonts w:hint="eastAsia" w:ascii="宋体" w:hAnsi="宋体"/>
          <w:color w:val="auto"/>
          <w:szCs w:val="21"/>
          <w:highlight w:val="none"/>
        </w:rPr>
        <w:t>领购了招标文件的公司如不参加投标，请在投标截止时间前以书面形式通知采购代理机构。</w:t>
      </w:r>
    </w:p>
    <w:p>
      <w:pPr>
        <w:numPr>
          <w:ilvl w:val="0"/>
          <w:numId w:val="1"/>
        </w:numPr>
        <w:tabs>
          <w:tab w:val="left" w:pos="851"/>
        </w:tabs>
        <w:spacing w:line="360" w:lineRule="auto"/>
        <w:jc w:val="left"/>
        <w:rPr>
          <w:rFonts w:ascii="宋体" w:hAnsi="宋体"/>
          <w:color w:val="auto"/>
          <w:szCs w:val="21"/>
          <w:highlight w:val="none"/>
        </w:rPr>
      </w:pPr>
      <w:r>
        <w:rPr>
          <w:rFonts w:hint="eastAsia" w:ascii="宋体" w:hAnsi="宋体"/>
          <w:color w:val="auto"/>
          <w:szCs w:val="21"/>
          <w:highlight w:val="none"/>
        </w:rPr>
        <w:t>如有疑问，供应商可将问题通过邮件的方式或直接联系具体的项目负责人。</w:t>
      </w:r>
    </w:p>
    <w:p>
      <w:pPr>
        <w:numPr>
          <w:ilvl w:val="0"/>
          <w:numId w:val="1"/>
        </w:numPr>
        <w:tabs>
          <w:tab w:val="left" w:pos="851"/>
        </w:tabs>
        <w:spacing w:line="360" w:lineRule="auto"/>
        <w:jc w:val="left"/>
        <w:rPr>
          <w:rFonts w:ascii="宋体" w:hAnsi="宋体"/>
          <w:color w:val="auto"/>
          <w:sz w:val="24"/>
          <w:highlight w:val="none"/>
        </w:rPr>
      </w:pPr>
      <w:r>
        <w:rPr>
          <w:rFonts w:hint="eastAsia" w:ascii="宋体" w:hAnsi="宋体"/>
          <w:color w:val="auto"/>
          <w:szCs w:val="21"/>
          <w:highlight w:val="none"/>
        </w:rPr>
        <w:t>以上提示内容仅作一般事项提醒，如与实际采购项目要求有不一致，以招标文件为准。</w:t>
      </w:r>
    </w:p>
    <w:p>
      <w:pPr>
        <w:tabs>
          <w:tab w:val="left" w:pos="851"/>
        </w:tabs>
        <w:spacing w:line="360" w:lineRule="auto"/>
        <w:jc w:val="left"/>
        <w:rPr>
          <w:rFonts w:ascii="宋体" w:hAnsi="宋体"/>
          <w:color w:val="auto"/>
          <w:sz w:val="24"/>
          <w:highlight w:val="none"/>
        </w:rPr>
      </w:pPr>
      <w:r>
        <w:rPr>
          <w:rFonts w:hint="eastAsia" w:ascii="宋体" w:hAnsi="宋体"/>
          <w:color w:val="auto"/>
          <w:sz w:val="24"/>
          <w:highlight w:val="none"/>
        </w:rPr>
        <w:t xml:space="preserve"> </w:t>
      </w:r>
    </w:p>
    <w:p>
      <w:pPr>
        <w:jc w:val="center"/>
        <w:rPr>
          <w:rFonts w:ascii="宋体" w:hAnsi="宋体"/>
          <w:b/>
          <w:bCs/>
          <w:color w:val="auto"/>
          <w:sz w:val="36"/>
          <w:szCs w:val="36"/>
          <w:highlight w:val="none"/>
        </w:rPr>
      </w:pPr>
      <w:r>
        <w:rPr>
          <w:rFonts w:hint="eastAsia" w:ascii="宋体" w:hAnsi="宋体"/>
          <w:b/>
          <w:bCs/>
          <w:color w:val="auto"/>
          <w:sz w:val="36"/>
          <w:szCs w:val="36"/>
          <w:highlight w:val="none"/>
        </w:rPr>
        <w:br w:type="page"/>
      </w:r>
      <w:bookmarkStart w:id="0" w:name="_Toc481"/>
      <w:bookmarkStart w:id="1" w:name="_Toc32661"/>
      <w:r>
        <w:rPr>
          <w:rFonts w:hint="eastAsia" w:ascii="宋体" w:hAnsi="宋体"/>
          <w:b/>
          <w:bCs/>
          <w:color w:val="auto"/>
          <w:sz w:val="36"/>
          <w:szCs w:val="36"/>
          <w:highlight w:val="none"/>
        </w:rPr>
        <w:t>目  录</w:t>
      </w:r>
      <w:bookmarkEnd w:id="0"/>
      <w:bookmarkEnd w:id="1"/>
    </w:p>
    <w:p>
      <w:pPr>
        <w:pStyle w:val="42"/>
        <w:tabs>
          <w:tab w:val="right" w:leader="dot" w:pos="9638"/>
        </w:tabs>
        <w:rPr>
          <w:rFonts w:ascii="宋体" w:hAnsi="宋体" w:cs="宋体"/>
          <w:color w:val="auto"/>
          <w:sz w:val="28"/>
          <w:szCs w:val="28"/>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TOC \o "1-2" \h \u </w:instrText>
      </w:r>
      <w:r>
        <w:rPr>
          <w:rFonts w:hint="eastAsia" w:ascii="宋体" w:hAnsi="宋体" w:cs="宋体"/>
          <w:color w:val="auto"/>
          <w:sz w:val="21"/>
          <w:szCs w:val="21"/>
          <w:highlight w:val="none"/>
        </w:rPr>
        <w:fldChar w:fldCharType="separate"/>
      </w:r>
      <w:r>
        <w:rPr>
          <w:color w:val="auto"/>
          <w:highlight w:val="none"/>
        </w:rPr>
        <w:fldChar w:fldCharType="begin"/>
      </w:r>
      <w:r>
        <w:rPr>
          <w:color w:val="auto"/>
          <w:highlight w:val="none"/>
        </w:rPr>
        <w:instrText xml:space="preserve"> HYPERLINK \l "_Toc30749" </w:instrText>
      </w:r>
      <w:r>
        <w:rPr>
          <w:color w:val="auto"/>
          <w:highlight w:val="none"/>
        </w:rPr>
        <w:fldChar w:fldCharType="separate"/>
      </w:r>
      <w:r>
        <w:rPr>
          <w:rFonts w:hint="eastAsia" w:ascii="宋体" w:hAnsi="宋体" w:cs="宋体"/>
          <w:color w:val="auto"/>
          <w:sz w:val="28"/>
          <w:szCs w:val="28"/>
          <w:highlight w:val="none"/>
        </w:rPr>
        <w:t>第一部分  招标公告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_Toc30749 </w:instrText>
      </w:r>
      <w:r>
        <w:rPr>
          <w:rFonts w:hint="eastAsia" w:ascii="宋体" w:hAnsi="宋体" w:cs="宋体"/>
          <w:color w:val="auto"/>
          <w:sz w:val="28"/>
          <w:szCs w:val="28"/>
          <w:highlight w:val="none"/>
        </w:rPr>
        <w:fldChar w:fldCharType="separate"/>
      </w:r>
      <w:r>
        <w:rPr>
          <w:rFonts w:ascii="宋体" w:hAnsi="宋体" w:cs="宋体"/>
          <w:color w:val="auto"/>
          <w:sz w:val="28"/>
          <w:szCs w:val="28"/>
          <w:highlight w:val="none"/>
        </w:rPr>
        <w:t>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42"/>
        <w:tabs>
          <w:tab w:val="right" w:leader="dot" w:pos="9638"/>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"_Toc17220" </w:instrText>
      </w:r>
      <w:r>
        <w:rPr>
          <w:color w:val="auto"/>
          <w:highlight w:val="none"/>
        </w:rPr>
        <w:fldChar w:fldCharType="separate"/>
      </w:r>
      <w:r>
        <w:rPr>
          <w:rFonts w:hint="eastAsia" w:ascii="宋体" w:hAnsi="宋体" w:cs="宋体"/>
          <w:color w:val="auto"/>
          <w:sz w:val="28"/>
          <w:szCs w:val="28"/>
          <w:highlight w:val="none"/>
        </w:rPr>
        <w:t>第二部分　采购需</w:t>
      </w:r>
      <w:bookmarkStart w:id="2" w:name="_Hlt120262711"/>
      <w:r>
        <w:rPr>
          <w:rFonts w:hint="eastAsia" w:ascii="宋体" w:hAnsi="宋体" w:cs="宋体"/>
          <w:color w:val="auto"/>
          <w:sz w:val="28"/>
          <w:szCs w:val="28"/>
          <w:highlight w:val="none"/>
        </w:rPr>
        <w:t>求</w:t>
      </w:r>
      <w:bookmarkEnd w:id="2"/>
      <w:r>
        <w:rPr>
          <w:rFonts w:hint="eastAsia" w:ascii="宋体" w:hAnsi="宋体" w:cs="宋体"/>
          <w:color w:val="auto"/>
          <w:sz w:val="28"/>
          <w:szCs w:val="28"/>
          <w:highlight w:val="none"/>
        </w:rPr>
        <w:t>书</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_Toc17220 </w:instrText>
      </w:r>
      <w:r>
        <w:rPr>
          <w:rFonts w:hint="eastAsia" w:ascii="宋体" w:hAnsi="宋体" w:cs="宋体"/>
          <w:color w:val="auto"/>
          <w:sz w:val="28"/>
          <w:szCs w:val="28"/>
          <w:highlight w:val="none"/>
        </w:rPr>
        <w:fldChar w:fldCharType="separate"/>
      </w:r>
      <w:r>
        <w:rPr>
          <w:rFonts w:ascii="宋体" w:hAnsi="宋体" w:cs="宋体"/>
          <w:color w:val="auto"/>
          <w:sz w:val="28"/>
          <w:szCs w:val="28"/>
          <w:highlight w:val="none"/>
        </w:rPr>
        <w:t>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42"/>
        <w:tabs>
          <w:tab w:val="right" w:leader="dot" w:pos="9638"/>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"_Toc13532" </w:instrText>
      </w:r>
      <w:r>
        <w:rPr>
          <w:color w:val="auto"/>
          <w:highlight w:val="none"/>
        </w:rPr>
        <w:fldChar w:fldCharType="separate"/>
      </w:r>
      <w:r>
        <w:rPr>
          <w:rFonts w:hint="eastAsia" w:ascii="宋体" w:hAnsi="宋体" w:cs="宋体"/>
          <w:color w:val="auto"/>
          <w:sz w:val="28"/>
          <w:szCs w:val="28"/>
          <w:highlight w:val="none"/>
        </w:rPr>
        <w:t>第三部分　投标人须知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_Toc13532 </w:instrText>
      </w:r>
      <w:r>
        <w:rPr>
          <w:rFonts w:hint="eastAsia" w:ascii="宋体" w:hAnsi="宋体" w:cs="宋体"/>
          <w:color w:val="auto"/>
          <w:sz w:val="28"/>
          <w:szCs w:val="28"/>
          <w:highlight w:val="none"/>
        </w:rPr>
        <w:fldChar w:fldCharType="separate"/>
      </w:r>
      <w:r>
        <w:rPr>
          <w:rFonts w:ascii="宋体" w:hAnsi="宋体" w:cs="宋体"/>
          <w:color w:val="auto"/>
          <w:sz w:val="28"/>
          <w:szCs w:val="28"/>
          <w:highlight w:val="none"/>
        </w:rPr>
        <w:t>39</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42"/>
        <w:tabs>
          <w:tab w:val="right" w:leader="dot" w:pos="9638"/>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"_Toc15041" </w:instrText>
      </w:r>
      <w:r>
        <w:rPr>
          <w:color w:val="auto"/>
          <w:highlight w:val="none"/>
        </w:rPr>
        <w:fldChar w:fldCharType="separate"/>
      </w:r>
      <w:r>
        <w:rPr>
          <w:rFonts w:hint="eastAsia" w:ascii="宋体" w:hAnsi="宋体" w:cs="宋体"/>
          <w:color w:val="auto"/>
          <w:sz w:val="28"/>
          <w:szCs w:val="28"/>
          <w:highlight w:val="none"/>
        </w:rPr>
        <w:t>第四部分　评标原</w:t>
      </w:r>
      <w:bookmarkStart w:id="3" w:name="_Hlt120262716"/>
      <w:r>
        <w:rPr>
          <w:rFonts w:hint="eastAsia" w:ascii="宋体" w:hAnsi="宋体" w:cs="宋体"/>
          <w:color w:val="auto"/>
          <w:sz w:val="28"/>
          <w:szCs w:val="28"/>
          <w:highlight w:val="none"/>
        </w:rPr>
        <w:t>则</w:t>
      </w:r>
      <w:bookmarkEnd w:id="3"/>
      <w:r>
        <w:rPr>
          <w:rFonts w:hint="eastAsia" w:ascii="宋体" w:hAnsi="宋体" w:cs="宋体"/>
          <w:color w:val="auto"/>
          <w:sz w:val="28"/>
          <w:szCs w:val="28"/>
          <w:highlight w:val="none"/>
        </w:rPr>
        <w:t>和方</w:t>
      </w:r>
      <w:bookmarkStart w:id="4" w:name="_Hlt146533627"/>
      <w:r>
        <w:rPr>
          <w:rFonts w:hint="eastAsia" w:ascii="宋体" w:hAnsi="宋体" w:cs="宋体"/>
          <w:color w:val="auto"/>
          <w:sz w:val="28"/>
          <w:szCs w:val="28"/>
          <w:highlight w:val="none"/>
        </w:rPr>
        <w:t>法</w:t>
      </w:r>
      <w:bookmarkEnd w:id="4"/>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_Toc15041 </w:instrText>
      </w:r>
      <w:r>
        <w:rPr>
          <w:rFonts w:hint="eastAsia" w:ascii="宋体" w:hAnsi="宋体" w:cs="宋体"/>
          <w:color w:val="auto"/>
          <w:sz w:val="28"/>
          <w:szCs w:val="28"/>
          <w:highlight w:val="none"/>
        </w:rPr>
        <w:fldChar w:fldCharType="separate"/>
      </w:r>
      <w:r>
        <w:rPr>
          <w:rFonts w:ascii="宋体" w:hAnsi="宋体" w:cs="宋体"/>
          <w:color w:val="auto"/>
          <w:sz w:val="28"/>
          <w:szCs w:val="28"/>
          <w:highlight w:val="none"/>
        </w:rPr>
        <w:t>49</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42"/>
        <w:tabs>
          <w:tab w:val="right" w:leader="dot" w:pos="9638"/>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"_Toc9970" </w:instrText>
      </w:r>
      <w:r>
        <w:rPr>
          <w:color w:val="auto"/>
          <w:highlight w:val="none"/>
        </w:rPr>
        <w:fldChar w:fldCharType="separate"/>
      </w:r>
      <w:r>
        <w:rPr>
          <w:rFonts w:hint="eastAsia" w:ascii="宋体" w:hAnsi="宋体" w:cs="宋体"/>
          <w:color w:val="auto"/>
          <w:sz w:val="28"/>
          <w:szCs w:val="28"/>
          <w:highlight w:val="none"/>
        </w:rPr>
        <w:t>第五部分　合同书</w:t>
      </w:r>
      <w:bookmarkStart w:id="5" w:name="_Hlt120262723"/>
      <w:r>
        <w:rPr>
          <w:rFonts w:hint="eastAsia" w:ascii="宋体" w:hAnsi="宋体" w:cs="宋体"/>
          <w:color w:val="auto"/>
          <w:sz w:val="28"/>
          <w:szCs w:val="28"/>
          <w:highlight w:val="none"/>
        </w:rPr>
        <w:t>格</w:t>
      </w:r>
      <w:bookmarkEnd w:id="5"/>
      <w:bookmarkStart w:id="6" w:name="_Hlt118710537"/>
      <w:bookmarkStart w:id="7" w:name="_Hlt118710538"/>
      <w:r>
        <w:rPr>
          <w:rFonts w:hint="eastAsia" w:ascii="宋体" w:hAnsi="宋体" w:cs="宋体"/>
          <w:color w:val="auto"/>
          <w:sz w:val="28"/>
          <w:szCs w:val="28"/>
          <w:highlight w:val="none"/>
        </w:rPr>
        <w:t>式</w:t>
      </w:r>
      <w:bookmarkEnd w:id="6"/>
      <w:bookmarkEnd w:id="7"/>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_Toc9970 </w:instrText>
      </w:r>
      <w:r>
        <w:rPr>
          <w:rFonts w:hint="eastAsia" w:ascii="宋体" w:hAnsi="宋体" w:cs="宋体"/>
          <w:color w:val="auto"/>
          <w:sz w:val="28"/>
          <w:szCs w:val="28"/>
          <w:highlight w:val="none"/>
        </w:rPr>
        <w:fldChar w:fldCharType="separate"/>
      </w:r>
      <w:r>
        <w:rPr>
          <w:rFonts w:ascii="宋体" w:hAnsi="宋体" w:cs="宋体"/>
          <w:color w:val="auto"/>
          <w:sz w:val="28"/>
          <w:szCs w:val="28"/>
          <w:highlight w:val="none"/>
        </w:rPr>
        <w:t>59</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42"/>
        <w:tabs>
          <w:tab w:val="right" w:leader="dot" w:pos="9638"/>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"_Toc3530" </w:instrText>
      </w:r>
      <w:r>
        <w:rPr>
          <w:color w:val="auto"/>
          <w:highlight w:val="none"/>
        </w:rPr>
        <w:fldChar w:fldCharType="separate"/>
      </w:r>
      <w:r>
        <w:rPr>
          <w:rFonts w:hint="eastAsia" w:ascii="宋体" w:hAnsi="宋体" w:cs="宋体"/>
          <w:color w:val="auto"/>
          <w:sz w:val="28"/>
          <w:szCs w:val="28"/>
          <w:highlight w:val="none"/>
        </w:rPr>
        <w:t>第六部分　投标</w:t>
      </w:r>
      <w:bookmarkStart w:id="8" w:name="_Hlt124781413"/>
      <w:bookmarkStart w:id="9" w:name="_Hlt124781412"/>
      <w:r>
        <w:rPr>
          <w:rFonts w:hint="eastAsia" w:ascii="宋体" w:hAnsi="宋体" w:cs="宋体"/>
          <w:color w:val="auto"/>
          <w:sz w:val="28"/>
          <w:szCs w:val="28"/>
          <w:highlight w:val="none"/>
        </w:rPr>
        <w:t>文</w:t>
      </w:r>
      <w:bookmarkEnd w:id="8"/>
      <w:bookmarkEnd w:id="9"/>
      <w:bookmarkStart w:id="10" w:name="_Hlt120262729"/>
      <w:r>
        <w:rPr>
          <w:rFonts w:hint="eastAsia" w:ascii="宋体" w:hAnsi="宋体" w:cs="宋体"/>
          <w:color w:val="auto"/>
          <w:sz w:val="28"/>
          <w:szCs w:val="28"/>
          <w:highlight w:val="none"/>
        </w:rPr>
        <w:t>件</w:t>
      </w:r>
      <w:bookmarkEnd w:id="10"/>
      <w:bookmarkStart w:id="11" w:name="_Hlt120262578"/>
      <w:bookmarkStart w:id="12" w:name="_Hlt120262579"/>
      <w:r>
        <w:rPr>
          <w:rFonts w:hint="eastAsia" w:ascii="宋体" w:hAnsi="宋体" w:cs="宋体"/>
          <w:color w:val="auto"/>
          <w:sz w:val="28"/>
          <w:szCs w:val="28"/>
          <w:highlight w:val="none"/>
        </w:rPr>
        <w:t>格</w:t>
      </w:r>
      <w:bookmarkEnd w:id="11"/>
      <w:bookmarkEnd w:id="12"/>
      <w:bookmarkStart w:id="13" w:name="_Hlt146533607"/>
      <w:bookmarkStart w:id="14" w:name="_Hlt146655617"/>
      <w:r>
        <w:rPr>
          <w:rFonts w:hint="eastAsia" w:ascii="宋体" w:hAnsi="宋体" w:cs="宋体"/>
          <w:color w:val="auto"/>
          <w:sz w:val="28"/>
          <w:szCs w:val="28"/>
          <w:highlight w:val="none"/>
        </w:rPr>
        <w:t>式</w:t>
      </w:r>
      <w:bookmarkEnd w:id="13"/>
      <w:bookmarkEnd w:id="14"/>
      <w:r>
        <w:rPr>
          <w:rFonts w:hint="eastAsia" w:ascii="宋体" w:hAnsi="宋体" w:cs="宋体"/>
          <w:color w:val="auto"/>
          <w:sz w:val="28"/>
          <w:szCs w:val="28"/>
          <w:highlight w:val="none"/>
        </w:rPr>
        <w:tab/>
      </w:r>
      <w:r>
        <w:rPr>
          <w:rFonts w:hint="eastAsia" w:ascii="宋体" w:hAnsi="宋体" w:cs="宋体"/>
          <w:color w:val="auto"/>
          <w:sz w:val="28"/>
          <w:szCs w:val="28"/>
          <w:highlight w:val="none"/>
        </w:rPr>
        <w:t>65</w:t>
      </w:r>
      <w:r>
        <w:rPr>
          <w:rFonts w:hint="eastAsia" w:ascii="宋体" w:hAnsi="宋体" w:cs="宋体"/>
          <w:color w:val="auto"/>
          <w:sz w:val="28"/>
          <w:szCs w:val="28"/>
          <w:highlight w:val="none"/>
        </w:rPr>
        <w:fldChar w:fldCharType="end"/>
      </w:r>
    </w:p>
    <w:p>
      <w:pPr>
        <w:jc w:val="center"/>
        <w:rPr>
          <w:rFonts w:ascii="宋体" w:hAnsi="宋体"/>
          <w:color w:val="auto"/>
          <w:sz w:val="36"/>
          <w:szCs w:val="36"/>
          <w:highlight w:val="none"/>
        </w:rPr>
        <w:sectPr>
          <w:footerReference r:id="rId3" w:type="default"/>
          <w:pgSz w:w="11906" w:h="16838"/>
          <w:pgMar w:top="1134" w:right="1134" w:bottom="1134" w:left="1134" w:header="851" w:footer="992" w:gutter="0"/>
          <w:cols w:space="720" w:num="1"/>
          <w:titlePg/>
          <w:docGrid w:linePitch="312" w:charSpace="0"/>
        </w:sectPr>
      </w:pPr>
      <w:r>
        <w:rPr>
          <w:rFonts w:hint="eastAsia" w:ascii="宋体" w:hAnsi="宋体" w:cs="宋体"/>
          <w:bCs/>
          <w:color w:val="auto"/>
          <w:szCs w:val="21"/>
          <w:highlight w:val="none"/>
        </w:rPr>
        <w:fldChar w:fldCharType="end"/>
      </w:r>
    </w:p>
    <w:p>
      <w:pPr>
        <w:pStyle w:val="3"/>
        <w:spacing w:before="100" w:beforeAutospacing="1" w:after="100" w:afterAutospacing="1" w:line="240" w:lineRule="auto"/>
        <w:jc w:val="center"/>
        <w:rPr>
          <w:rFonts w:ascii="宋体" w:hAnsi="宋体"/>
          <w:color w:val="auto"/>
          <w:sz w:val="36"/>
          <w:szCs w:val="36"/>
          <w:highlight w:val="none"/>
        </w:rPr>
      </w:pPr>
      <w:bookmarkStart w:id="15" w:name="_Toc30749"/>
      <w:r>
        <w:rPr>
          <w:rFonts w:hint="eastAsia" w:ascii="宋体" w:hAnsi="宋体"/>
          <w:color w:val="auto"/>
          <w:sz w:val="36"/>
          <w:szCs w:val="36"/>
          <w:highlight w:val="none"/>
        </w:rPr>
        <w:t>第一部分  招标公告</w:t>
      </w:r>
      <w:bookmarkEnd w:id="15"/>
    </w:p>
    <w:p>
      <w:pPr>
        <w:autoSpaceDE w:val="0"/>
        <w:autoSpaceDN w:val="0"/>
        <w:snapToGrid w:val="0"/>
        <w:spacing w:line="360" w:lineRule="auto"/>
        <w:ind w:firstLine="560" w:firstLineChars="200"/>
        <w:jc w:val="center"/>
        <w:rPr>
          <w:rFonts w:ascii="宋体" w:hAnsi="宋体"/>
          <w:color w:val="auto"/>
          <w:sz w:val="28"/>
          <w:szCs w:val="28"/>
          <w:highlight w:val="none"/>
        </w:rPr>
      </w:pPr>
      <w:r>
        <w:rPr>
          <w:rFonts w:hint="eastAsia" w:ascii="宋体" w:hAnsi="宋体"/>
          <w:color w:val="auto"/>
          <w:sz w:val="28"/>
          <w:szCs w:val="28"/>
          <w:highlight w:val="none"/>
        </w:rPr>
        <w:t>项目概况</w:t>
      </w:r>
    </w:p>
    <w:p>
      <w:pPr>
        <w:autoSpaceDE w:val="0"/>
        <w:autoSpaceDN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国家税务总局罗定市税务局机关及下属税务分局物业管理服务项目 </w:t>
      </w:r>
      <w:r>
        <w:rPr>
          <w:rFonts w:ascii="宋体" w:hAnsi="宋体"/>
          <w:color w:val="auto"/>
          <w:szCs w:val="21"/>
          <w:highlight w:val="none"/>
        </w:rPr>
        <w:t>招标项目的潜在投标人应在</w:t>
      </w:r>
      <w:r>
        <w:rPr>
          <w:rFonts w:ascii="宋体" w:hAnsi="宋体"/>
          <w:color w:val="auto"/>
          <w:szCs w:val="21"/>
          <w:highlight w:val="none"/>
          <w:u w:val="single"/>
        </w:rPr>
        <w:t xml:space="preserve">  </w:t>
      </w:r>
      <w:r>
        <w:rPr>
          <w:rFonts w:hint="eastAsia" w:ascii="宋体" w:hAnsi="宋体"/>
          <w:color w:val="auto"/>
          <w:szCs w:val="21"/>
          <w:highlight w:val="none"/>
          <w:u w:val="single"/>
        </w:rPr>
        <w:t>粤招优采电子招标采购交易平台</w:t>
      </w:r>
      <w:r>
        <w:rPr>
          <w:rFonts w:ascii="宋体" w:hAnsi="宋体"/>
          <w:color w:val="auto"/>
          <w:szCs w:val="21"/>
          <w:highlight w:val="none"/>
          <w:u w:val="single"/>
        </w:rPr>
        <w:t xml:space="preserve">  </w:t>
      </w:r>
      <w:r>
        <w:rPr>
          <w:rFonts w:ascii="宋体" w:hAnsi="宋体"/>
          <w:color w:val="auto"/>
          <w:szCs w:val="21"/>
          <w:highlight w:val="none"/>
        </w:rPr>
        <w:t>获取招标文件，并于</w:t>
      </w:r>
      <w:r>
        <w:rPr>
          <w:rFonts w:ascii="宋体" w:hAnsi="宋体"/>
          <w:color w:val="auto"/>
          <w:szCs w:val="21"/>
          <w:highlight w:val="none"/>
          <w:u w:val="single"/>
        </w:rPr>
        <w:t xml:space="preserve"> 202</w:t>
      </w:r>
      <w:r>
        <w:rPr>
          <w:rFonts w:hint="eastAsia" w:ascii="宋体" w:hAnsi="宋体"/>
          <w:color w:val="auto"/>
          <w:szCs w:val="21"/>
          <w:highlight w:val="none"/>
          <w:u w:val="single"/>
        </w:rPr>
        <w:t>3</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12</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19</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09</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点</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3</w:t>
      </w:r>
      <w:r>
        <w:rPr>
          <w:rFonts w:hint="eastAsia" w:ascii="宋体" w:hAnsi="宋体"/>
          <w:color w:val="auto"/>
          <w:szCs w:val="21"/>
          <w:highlight w:val="none"/>
          <w:u w:val="single"/>
        </w:rPr>
        <w:t>0</w:t>
      </w:r>
      <w:r>
        <w:rPr>
          <w:rFonts w:ascii="宋体" w:hAnsi="宋体"/>
          <w:color w:val="auto"/>
          <w:szCs w:val="21"/>
          <w:highlight w:val="none"/>
          <w:u w:val="single"/>
        </w:rPr>
        <w:t xml:space="preserve"> </w:t>
      </w:r>
      <w:r>
        <w:rPr>
          <w:rFonts w:ascii="宋体" w:hAnsi="宋体"/>
          <w:color w:val="auto"/>
          <w:szCs w:val="21"/>
          <w:highlight w:val="none"/>
        </w:rPr>
        <w:t>分（北京时间）前提交申请文件。</w:t>
      </w:r>
      <w:r>
        <w:rPr>
          <w:rFonts w:hint="eastAsia" w:ascii="宋体" w:hAnsi="宋体"/>
          <w:color w:val="auto"/>
          <w:szCs w:val="21"/>
          <w:highlight w:val="none"/>
        </w:rPr>
        <w:t> </w:t>
      </w:r>
    </w:p>
    <w:p>
      <w:pPr>
        <w:autoSpaceDE w:val="0"/>
        <w:autoSpaceDN w:val="0"/>
        <w:spacing w:line="360" w:lineRule="auto"/>
        <w:ind w:firstLine="562" w:firstLineChars="200"/>
        <w:rPr>
          <w:rFonts w:ascii="宋体" w:hAnsi="宋体"/>
          <w:b/>
          <w:bCs/>
          <w:color w:val="auto"/>
          <w:sz w:val="28"/>
          <w:szCs w:val="28"/>
          <w:highlight w:val="none"/>
        </w:rPr>
      </w:pPr>
      <w:r>
        <w:rPr>
          <w:rFonts w:ascii="宋体" w:hAnsi="宋体"/>
          <w:b/>
          <w:bCs/>
          <w:color w:val="auto"/>
          <w:sz w:val="28"/>
          <w:szCs w:val="28"/>
          <w:highlight w:val="none"/>
        </w:rPr>
        <w:t>一、项目基本情况</w:t>
      </w:r>
    </w:p>
    <w:p>
      <w:pPr>
        <w:autoSpaceDE w:val="0"/>
        <w:autoSpaceDN w:val="0"/>
        <w:spacing w:line="360" w:lineRule="auto"/>
        <w:ind w:firstLine="420" w:firstLineChars="200"/>
        <w:rPr>
          <w:rFonts w:ascii="宋体" w:hAnsi="宋体"/>
          <w:color w:val="auto"/>
          <w:szCs w:val="21"/>
          <w:highlight w:val="none"/>
        </w:rPr>
      </w:pPr>
      <w:r>
        <w:rPr>
          <w:rFonts w:ascii="宋体" w:hAnsi="宋体"/>
          <w:color w:val="auto"/>
          <w:szCs w:val="21"/>
          <w:highlight w:val="none"/>
        </w:rPr>
        <w:t>项目编号：</w:t>
      </w:r>
      <w:r>
        <w:rPr>
          <w:rFonts w:hint="eastAsia" w:ascii="宋体" w:hAnsi="宋体"/>
          <w:color w:val="auto"/>
          <w:szCs w:val="21"/>
          <w:highlight w:val="none"/>
        </w:rPr>
        <w:t xml:space="preserve">0877-23GZTP01Y774 </w:t>
      </w:r>
    </w:p>
    <w:p>
      <w:pPr>
        <w:autoSpaceDE w:val="0"/>
        <w:autoSpaceDN w:val="0"/>
        <w:spacing w:line="360" w:lineRule="auto"/>
        <w:ind w:firstLine="420" w:firstLineChars="200"/>
        <w:rPr>
          <w:rFonts w:ascii="宋体" w:hAnsi="宋体"/>
          <w:color w:val="auto"/>
          <w:szCs w:val="21"/>
          <w:highlight w:val="none"/>
        </w:rPr>
      </w:pPr>
      <w:r>
        <w:rPr>
          <w:rFonts w:ascii="宋体" w:hAnsi="宋体"/>
          <w:color w:val="auto"/>
          <w:szCs w:val="21"/>
          <w:highlight w:val="none"/>
        </w:rPr>
        <w:t>项目名称：</w:t>
      </w:r>
      <w:r>
        <w:rPr>
          <w:rFonts w:hint="eastAsia" w:ascii="宋体" w:hAnsi="宋体"/>
          <w:color w:val="auto"/>
          <w:szCs w:val="21"/>
          <w:highlight w:val="none"/>
        </w:rPr>
        <w:t>国家税务总局罗定市税务局机关及下属税务分局物业管理服务项目</w:t>
      </w:r>
    </w:p>
    <w:p>
      <w:pPr>
        <w:pStyle w:val="641"/>
        <w:spacing w:after="120"/>
        <w:rPr>
          <w:rFonts w:ascii="宋体" w:hAnsi="宋体" w:cs="仿宋_GB2312"/>
          <w:color w:val="auto"/>
          <w:sz w:val="21"/>
          <w:szCs w:val="21"/>
          <w:highlight w:val="none"/>
        </w:rPr>
      </w:pPr>
      <w:r>
        <w:rPr>
          <w:rFonts w:ascii="宋体" w:hAnsi="宋体"/>
          <w:color w:val="auto"/>
          <w:sz w:val="21"/>
          <w:szCs w:val="21"/>
          <w:highlight w:val="none"/>
        </w:rPr>
        <w:t>预算金额：</w:t>
      </w:r>
      <w:r>
        <w:rPr>
          <w:rFonts w:hint="eastAsia" w:ascii="宋体" w:hAnsi="宋体"/>
          <w:color w:val="auto"/>
          <w:sz w:val="21"/>
          <w:szCs w:val="21"/>
          <w:highlight w:val="none"/>
        </w:rPr>
        <w:t xml:space="preserve"> 280万元</w:t>
      </w:r>
    </w:p>
    <w:p>
      <w:pPr>
        <w:pStyle w:val="641"/>
        <w:spacing w:after="120"/>
        <w:rPr>
          <w:rFonts w:ascii="宋体" w:hAnsi="宋体" w:cs="仿宋_GB2312"/>
          <w:color w:val="auto"/>
          <w:sz w:val="21"/>
          <w:szCs w:val="21"/>
          <w:highlight w:val="none"/>
        </w:rPr>
      </w:pPr>
      <w:r>
        <w:rPr>
          <w:rFonts w:ascii="宋体" w:hAnsi="宋体"/>
          <w:color w:val="auto"/>
          <w:sz w:val="21"/>
          <w:szCs w:val="21"/>
          <w:highlight w:val="none"/>
        </w:rPr>
        <w:t>最高限价（如有）：</w:t>
      </w:r>
      <w:r>
        <w:rPr>
          <w:rFonts w:hint="eastAsia" w:ascii="宋体" w:hAnsi="宋体"/>
          <w:color w:val="auto"/>
          <w:sz w:val="21"/>
          <w:szCs w:val="21"/>
          <w:highlight w:val="none"/>
        </w:rPr>
        <w:t>280万元</w:t>
      </w:r>
    </w:p>
    <w:p>
      <w:pPr>
        <w:autoSpaceDE w:val="0"/>
        <w:autoSpaceDN w:val="0"/>
        <w:spacing w:line="360" w:lineRule="auto"/>
        <w:ind w:firstLine="420" w:firstLineChars="200"/>
        <w:rPr>
          <w:rFonts w:ascii="宋体" w:hAnsi="宋体"/>
          <w:color w:val="auto"/>
          <w:szCs w:val="21"/>
          <w:highlight w:val="none"/>
        </w:rPr>
      </w:pPr>
      <w:r>
        <w:rPr>
          <w:rFonts w:ascii="宋体" w:hAnsi="宋体"/>
          <w:color w:val="auto"/>
          <w:szCs w:val="21"/>
          <w:highlight w:val="none"/>
        </w:rPr>
        <w:t>采购需求：</w:t>
      </w:r>
    </w:p>
    <w:p>
      <w:pPr>
        <w:autoSpaceDE w:val="0"/>
        <w:autoSpaceDN w:val="0"/>
        <w:spacing w:line="360" w:lineRule="auto"/>
        <w:ind w:firstLine="420" w:firstLineChars="200"/>
        <w:rPr>
          <w:rFonts w:ascii="宋体" w:hAnsi="宋体"/>
          <w:color w:val="auto"/>
          <w:szCs w:val="21"/>
          <w:highlight w:val="none"/>
        </w:rPr>
      </w:pPr>
      <w:r>
        <w:rPr>
          <w:rFonts w:ascii="宋体" w:hAnsi="宋体"/>
          <w:color w:val="auto"/>
          <w:szCs w:val="21"/>
          <w:highlight w:val="none"/>
        </w:rPr>
        <w:t>1、标的名称：</w:t>
      </w:r>
      <w:r>
        <w:rPr>
          <w:rFonts w:hint="eastAsia" w:ascii="宋体" w:hAnsi="宋体"/>
          <w:color w:val="auto"/>
          <w:szCs w:val="21"/>
          <w:highlight w:val="none"/>
        </w:rPr>
        <w:t>国家税务总局罗定市税务局机关及下属税务分局物业管理服务项目</w:t>
      </w:r>
    </w:p>
    <w:p>
      <w:pPr>
        <w:autoSpaceDE w:val="0"/>
        <w:autoSpaceDN w:val="0"/>
        <w:spacing w:line="360" w:lineRule="auto"/>
        <w:ind w:firstLine="420" w:firstLineChars="200"/>
        <w:rPr>
          <w:rFonts w:ascii="宋体" w:hAnsi="宋体"/>
          <w:color w:val="auto"/>
          <w:szCs w:val="21"/>
          <w:highlight w:val="none"/>
        </w:rPr>
      </w:pPr>
      <w:r>
        <w:rPr>
          <w:rFonts w:ascii="宋体" w:hAnsi="宋体"/>
          <w:color w:val="auto"/>
          <w:szCs w:val="21"/>
          <w:highlight w:val="none"/>
        </w:rPr>
        <w:t>2、标的数量：1项</w:t>
      </w:r>
    </w:p>
    <w:p>
      <w:pPr>
        <w:autoSpaceDE w:val="0"/>
        <w:autoSpaceDN w:val="0"/>
        <w:spacing w:line="360" w:lineRule="auto"/>
        <w:ind w:firstLine="420" w:firstLineChars="200"/>
        <w:rPr>
          <w:rFonts w:ascii="宋体" w:hAnsi="宋体"/>
          <w:color w:val="auto"/>
          <w:szCs w:val="21"/>
          <w:highlight w:val="none"/>
        </w:rPr>
      </w:pPr>
      <w:r>
        <w:rPr>
          <w:rFonts w:ascii="宋体" w:hAnsi="宋体"/>
          <w:color w:val="auto"/>
          <w:szCs w:val="21"/>
          <w:highlight w:val="none"/>
        </w:rPr>
        <w:t>3、简要技术需求或服务要求：</w:t>
      </w:r>
    </w:p>
    <w:p>
      <w:pPr>
        <w:autoSpaceDE w:val="0"/>
        <w:autoSpaceDN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（1）采购内容：</w:t>
      </w:r>
      <w:r>
        <w:rPr>
          <w:rFonts w:hint="eastAsia"/>
          <w:color w:val="auto"/>
          <w:szCs w:val="21"/>
          <w:highlight w:val="none"/>
        </w:rPr>
        <w:t>国家税务总局罗定市税务局及下属单位物业区域公共秩序维护、卫生保洁、工程设施设备、绿化维护、会议接待以及后勤服务等方面后勤物业服务事项</w:t>
      </w:r>
      <w:r>
        <w:rPr>
          <w:rFonts w:hint="eastAsia" w:ascii="宋体" w:hAnsi="宋体"/>
          <w:color w:val="auto"/>
          <w:szCs w:val="21"/>
          <w:highlight w:val="none"/>
        </w:rPr>
        <w:t>，详见《第二部分 采购需求书》</w:t>
      </w:r>
      <w:r>
        <w:rPr>
          <w:rFonts w:ascii="宋体" w:hAnsi="宋体"/>
          <w:color w:val="auto"/>
          <w:szCs w:val="21"/>
          <w:highlight w:val="none"/>
        </w:rPr>
        <w:t>；</w:t>
      </w:r>
    </w:p>
    <w:p>
      <w:pPr>
        <w:autoSpaceDE w:val="0"/>
        <w:autoSpaceDN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（2）服务期：自合同签订之日起一年。 </w:t>
      </w:r>
    </w:p>
    <w:p>
      <w:pPr>
        <w:autoSpaceDE w:val="0"/>
        <w:autoSpaceDN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（3）本项目不分包组，投标人应对所有的标的内容进行投标，不允许只对部分内容进行投标；</w:t>
      </w:r>
    </w:p>
    <w:p>
      <w:pPr>
        <w:autoSpaceDE w:val="0"/>
        <w:autoSpaceDN w:val="0"/>
        <w:spacing w:line="360" w:lineRule="auto"/>
        <w:ind w:firstLine="420" w:firstLineChars="200"/>
        <w:rPr>
          <w:rFonts w:ascii="宋体"/>
          <w:bCs/>
          <w:color w:val="auto"/>
          <w:szCs w:val="20"/>
          <w:highlight w:val="none"/>
        </w:rPr>
      </w:pPr>
      <w:r>
        <w:rPr>
          <w:rFonts w:hint="eastAsia" w:ascii="宋体"/>
          <w:bCs/>
          <w:color w:val="auto"/>
          <w:szCs w:val="20"/>
          <w:highlight w:val="none"/>
        </w:rPr>
        <w:t>（4）本项目属于政府采购项目；</w:t>
      </w:r>
    </w:p>
    <w:p>
      <w:pPr>
        <w:autoSpaceDE w:val="0"/>
        <w:autoSpaceDN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（5）品目名称：物业管理服务；</w:t>
      </w:r>
    </w:p>
    <w:p>
      <w:pPr>
        <w:autoSpaceDE w:val="0"/>
        <w:autoSpaceDN w:val="0"/>
        <w:spacing w:line="360" w:lineRule="auto"/>
        <w:ind w:firstLine="420" w:firstLineChars="200"/>
        <w:rPr>
          <w:rFonts w:ascii="宋体" w:hAnsi="宋体"/>
          <w:color w:val="auto"/>
          <w:szCs w:val="21"/>
          <w:highlight w:val="none"/>
        </w:rPr>
      </w:pPr>
      <w:r>
        <w:rPr>
          <w:rFonts w:hint="eastAsia" w:ascii="宋体"/>
          <w:bCs/>
          <w:color w:val="auto"/>
          <w:szCs w:val="20"/>
          <w:highlight w:val="none"/>
        </w:rPr>
        <w:t>（6）本项目采购标对应的中小企业划分标准所属行业为</w:t>
      </w:r>
      <w:r>
        <w:rPr>
          <w:rFonts w:hint="eastAsia" w:ascii="宋体"/>
          <w:bCs/>
          <w:color w:val="auto"/>
          <w:szCs w:val="20"/>
          <w:highlight w:val="none"/>
          <w:u w:val="single"/>
        </w:rPr>
        <w:t xml:space="preserve">  物业管理  </w:t>
      </w:r>
      <w:r>
        <w:rPr>
          <w:rFonts w:hint="eastAsia" w:ascii="宋体"/>
          <w:bCs/>
          <w:color w:val="auto"/>
          <w:szCs w:val="20"/>
          <w:highlight w:val="none"/>
        </w:rPr>
        <w:t>。</w:t>
      </w:r>
      <w:r>
        <w:rPr>
          <w:rFonts w:hint="eastAsia" w:ascii="宋体" w:hAnsi="宋体"/>
          <w:color w:val="auto"/>
          <w:szCs w:val="21"/>
          <w:highlight w:val="none"/>
        </w:rPr>
        <w:t xml:space="preserve"> </w:t>
      </w:r>
    </w:p>
    <w:p>
      <w:pPr>
        <w:autoSpaceDE w:val="0"/>
        <w:autoSpaceDN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（7）本项目不接受联合体投标。</w:t>
      </w:r>
    </w:p>
    <w:p>
      <w:pPr>
        <w:autoSpaceDE w:val="0"/>
        <w:autoSpaceDN w:val="0"/>
        <w:spacing w:line="360" w:lineRule="auto"/>
        <w:ind w:firstLine="562" w:firstLineChars="200"/>
        <w:rPr>
          <w:rFonts w:ascii="宋体" w:hAnsi="宋体"/>
          <w:b/>
          <w:bCs/>
          <w:color w:val="auto"/>
          <w:sz w:val="28"/>
          <w:szCs w:val="28"/>
          <w:highlight w:val="none"/>
        </w:rPr>
      </w:pPr>
      <w:r>
        <w:rPr>
          <w:rFonts w:ascii="宋体" w:hAnsi="宋体"/>
          <w:b/>
          <w:bCs/>
          <w:color w:val="auto"/>
          <w:sz w:val="28"/>
          <w:szCs w:val="28"/>
          <w:highlight w:val="none"/>
        </w:rPr>
        <w:t>二、申请人的资格要求</w:t>
      </w:r>
    </w:p>
    <w:p>
      <w:pPr>
        <w:autoSpaceDE w:val="0"/>
        <w:autoSpaceDN w:val="0"/>
        <w:spacing w:line="360" w:lineRule="auto"/>
        <w:ind w:firstLine="420" w:firstLineChars="200"/>
        <w:rPr>
          <w:rFonts w:ascii="宋体" w:hAnsi="宋体"/>
          <w:color w:val="auto"/>
          <w:szCs w:val="21"/>
          <w:highlight w:val="none"/>
        </w:rPr>
      </w:pPr>
      <w:r>
        <w:rPr>
          <w:rFonts w:ascii="宋体" w:hAnsi="宋体"/>
          <w:color w:val="auto"/>
          <w:szCs w:val="21"/>
          <w:highlight w:val="none"/>
        </w:rPr>
        <w:t>1.满足《中华人民共和国政府采购法》第二十二条规定；</w:t>
      </w:r>
    </w:p>
    <w:p>
      <w:pPr>
        <w:spacing w:line="360" w:lineRule="auto"/>
        <w:ind w:firstLine="441" w:firstLineChars="210"/>
        <w:rPr>
          <w:rFonts w:ascii="宋体" w:hAnsi="宋体"/>
          <w:color w:val="auto"/>
          <w:szCs w:val="21"/>
          <w:highlight w:val="none"/>
        </w:rPr>
      </w:pPr>
      <w:r>
        <w:rPr>
          <w:rFonts w:ascii="宋体" w:hAnsi="宋体"/>
          <w:color w:val="auto"/>
          <w:szCs w:val="21"/>
          <w:highlight w:val="none"/>
        </w:rPr>
        <w:t>2.落实政府采购政策需满足的资格要求：</w:t>
      </w:r>
      <w:r>
        <w:rPr>
          <w:rFonts w:hint="eastAsia" w:ascii="宋体" w:hAnsi="宋体"/>
          <w:color w:val="auto"/>
          <w:szCs w:val="21"/>
          <w:highlight w:val="none"/>
        </w:rPr>
        <w:t>本项目属于专门面向中小企业采购的项目，全部服务的承接方应为中小企业（监狱企业、残疾人福利单位视同小型、微型企业）【依据《中小企业声明函》或由省级以上监狱管理局、戒毒管理局(含新疆生产建设兵团)出具的承接方属于监狱企业的证明文件或承接方的《残疾人福利性单位声明函》】。</w:t>
      </w:r>
    </w:p>
    <w:p>
      <w:pPr>
        <w:tabs>
          <w:tab w:val="left" w:pos="709"/>
        </w:tabs>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3.本项目的特定资格要求：</w:t>
      </w:r>
    </w:p>
    <w:p>
      <w:pPr>
        <w:autoSpaceDE w:val="0"/>
        <w:autoSpaceDN w:val="0"/>
        <w:spacing w:line="360" w:lineRule="auto"/>
        <w:ind w:firstLine="420" w:firstLineChars="200"/>
        <w:rPr>
          <w:rFonts w:ascii="宋体" w:hAnsi="宋体"/>
          <w:color w:val="auto"/>
          <w:szCs w:val="21"/>
          <w:highlight w:val="none"/>
        </w:rPr>
      </w:pPr>
      <w:r>
        <w:rPr>
          <w:rFonts w:ascii="宋体" w:hAnsi="宋体"/>
          <w:color w:val="auto"/>
          <w:szCs w:val="21"/>
          <w:highlight w:val="none"/>
        </w:rPr>
        <w:t>3.1.投标人应当具备《政府采购法》第二十二条规定的条件，提供下列材料：</w:t>
      </w:r>
    </w:p>
    <w:p>
      <w:pPr>
        <w:pStyle w:val="629"/>
        <w:adjustRightInd w:val="0"/>
        <w:spacing w:line="360" w:lineRule="auto"/>
        <w:ind w:firstLineChars="200"/>
        <w:rPr>
          <w:rFonts w:ascii="宋体" w:hAnsi="宋体" w:cs="宋体"/>
          <w:color w:val="auto"/>
          <w:kern w:val="0"/>
          <w:highlight w:val="none"/>
        </w:rPr>
      </w:pPr>
      <w:r>
        <w:rPr>
          <w:rFonts w:hint="eastAsia" w:ascii="宋体" w:hAnsi="宋体" w:cs="宋体"/>
          <w:color w:val="auto"/>
          <w:kern w:val="0"/>
          <w:highlight w:val="none"/>
          <w:lang w:eastAsia="zh-CN"/>
        </w:rPr>
        <w:t>（1）</w:t>
      </w:r>
      <w:r>
        <w:rPr>
          <w:rFonts w:hint="eastAsia" w:ascii="宋体" w:hAnsi="宋体" w:cs="宋体"/>
          <w:color w:val="auto"/>
          <w:kern w:val="0"/>
          <w:highlight w:val="none"/>
        </w:rPr>
        <w:t xml:space="preserve">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 </w:t>
      </w:r>
    </w:p>
    <w:p>
      <w:pPr>
        <w:pStyle w:val="127"/>
        <w:adjustRightInd w:val="0"/>
        <w:spacing w:line="360" w:lineRule="auto"/>
        <w:ind w:firstLineChars="200"/>
        <w:rPr>
          <w:rFonts w:ascii="宋体" w:hAnsi="宋体" w:cs="宋体"/>
          <w:color w:val="auto"/>
          <w:kern w:val="0"/>
          <w:szCs w:val="21"/>
          <w:highlight w:val="none"/>
          <w:lang w:eastAsia="zh-CN"/>
        </w:rPr>
      </w:pPr>
      <w:r>
        <w:rPr>
          <w:rFonts w:hint="eastAsia" w:ascii="宋体" w:hAnsi="宋体"/>
          <w:color w:val="auto"/>
          <w:szCs w:val="21"/>
          <w:highlight w:val="none"/>
          <w:lang w:eastAsia="zh-CN"/>
        </w:rPr>
        <w:t>（2）</w:t>
      </w:r>
      <w:r>
        <w:rPr>
          <w:rFonts w:hint="eastAsia" w:ascii="宋体" w:hAnsi="宋体" w:cs="宋体"/>
          <w:color w:val="auto"/>
          <w:kern w:val="0"/>
          <w:highlight w:val="none"/>
        </w:rPr>
        <w:t>具有良好的商业信誉和健全的财务会计制度：</w:t>
      </w:r>
      <w:r>
        <w:rPr>
          <w:rFonts w:hint="eastAsia" w:ascii="宋体" w:hAnsi="宋体" w:cs="宋体"/>
          <w:color w:val="auto"/>
          <w:kern w:val="0"/>
          <w:highlight w:val="none"/>
          <w:lang w:eastAsia="zh-CN"/>
        </w:rPr>
        <w:t>投标人</w:t>
      </w:r>
      <w:r>
        <w:rPr>
          <w:rFonts w:hint="eastAsia" w:ascii="宋体" w:hAnsi="宋体" w:cs="宋体"/>
          <w:color w:val="auto"/>
          <w:kern w:val="0"/>
          <w:highlight w:val="none"/>
        </w:rPr>
        <w:t>必须具有良好的商业信誉和健全的财务会计制度（提供202</w:t>
      </w:r>
      <w:r>
        <w:rPr>
          <w:rFonts w:hint="eastAsia" w:ascii="宋体" w:hAnsi="宋体" w:cs="宋体"/>
          <w:color w:val="auto"/>
          <w:kern w:val="0"/>
          <w:highlight w:val="none"/>
          <w:lang w:eastAsia="zh-CN"/>
        </w:rPr>
        <w:t>2年度财务状况报告</w:t>
      </w:r>
      <w:r>
        <w:rPr>
          <w:rFonts w:hint="eastAsia" w:ascii="宋体" w:hAnsi="宋体" w:cs="宋体"/>
          <w:color w:val="auto"/>
          <w:kern w:val="0"/>
          <w:highlight w:val="none"/>
        </w:rPr>
        <w:t>或</w:t>
      </w:r>
      <w:r>
        <w:rPr>
          <w:rFonts w:hint="eastAsia" w:ascii="宋体" w:hAnsi="宋体" w:cs="宋体"/>
          <w:color w:val="auto"/>
          <w:kern w:val="0"/>
          <w:highlight w:val="none"/>
          <w:lang w:eastAsia="zh-CN"/>
        </w:rPr>
        <w:t>2023</w:t>
      </w:r>
      <w:r>
        <w:rPr>
          <w:rFonts w:hint="eastAsia" w:ascii="宋体" w:hAnsi="宋体" w:cs="宋体"/>
          <w:color w:val="auto"/>
          <w:kern w:val="0"/>
          <w:highlight w:val="none"/>
        </w:rPr>
        <w:t>年度任意一个月的财务状况报告或基本开户行出具的资信证明）</w:t>
      </w:r>
      <w:r>
        <w:rPr>
          <w:rFonts w:hint="eastAsia" w:ascii="宋体" w:hAnsi="宋体" w:cs="宋体"/>
          <w:color w:val="auto"/>
          <w:kern w:val="0"/>
          <w:highlight w:val="none"/>
          <w:lang w:eastAsia="zh-CN"/>
        </w:rPr>
        <w:t>；</w:t>
      </w:r>
    </w:p>
    <w:p>
      <w:pPr>
        <w:pStyle w:val="127"/>
        <w:adjustRightInd w:val="0"/>
        <w:spacing w:line="360" w:lineRule="auto"/>
        <w:ind w:firstLineChars="200"/>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s="宋体"/>
          <w:color w:val="auto"/>
          <w:kern w:val="0"/>
          <w:highlight w:val="none"/>
        </w:rPr>
        <w:t>有依法缴纳税收和社会保障资金的良好记录：提供投标截止日前6个月内任意1个月依法缴纳税收和社会保障资金的相关材料。 如依法免税或不需要缴纳社会保障资金的， 提供相应证明材料</w:t>
      </w:r>
      <w:r>
        <w:rPr>
          <w:rFonts w:hint="eastAsia" w:ascii="宋体" w:hAnsi="宋体" w:cs="宋体"/>
          <w:color w:val="auto"/>
          <w:kern w:val="0"/>
          <w:highlight w:val="none"/>
          <w:lang w:eastAsia="zh-CN"/>
        </w:rPr>
        <w:t>；</w:t>
      </w:r>
    </w:p>
    <w:p>
      <w:pPr>
        <w:pStyle w:val="127"/>
        <w:adjustRightInd w:val="0"/>
        <w:spacing w:line="360" w:lineRule="auto"/>
        <w:ind w:firstLineChars="200"/>
        <w:rPr>
          <w:rFonts w:ascii="宋体" w:hAnsi="宋体" w:cs="宋体"/>
          <w:color w:val="auto"/>
          <w:kern w:val="0"/>
          <w:szCs w:val="21"/>
          <w:highlight w:val="none"/>
        </w:rPr>
      </w:pPr>
      <w:r>
        <w:rPr>
          <w:rFonts w:hint="eastAsia" w:ascii="宋体" w:hAnsi="宋体"/>
          <w:color w:val="auto"/>
          <w:szCs w:val="21"/>
          <w:highlight w:val="none"/>
          <w:lang w:eastAsia="zh-CN"/>
        </w:rPr>
        <w:t>（4）</w:t>
      </w:r>
      <w:r>
        <w:rPr>
          <w:rFonts w:hint="eastAsia" w:ascii="宋体" w:hAnsi="宋体" w:cs="宋体"/>
          <w:color w:val="auto"/>
          <w:kern w:val="0"/>
          <w:highlight w:val="none"/>
        </w:rPr>
        <w:t>具有履行合同所必须的设备和专业技术能力：提供书面声明或填报设备及专业技术能力情况</w:t>
      </w:r>
      <w:r>
        <w:rPr>
          <w:rFonts w:hint="eastAsia" w:ascii="宋体" w:hAnsi="宋体" w:cs="宋体"/>
          <w:color w:val="auto"/>
          <w:kern w:val="0"/>
          <w:highlight w:val="none"/>
          <w:lang w:eastAsia="zh-CN"/>
        </w:rPr>
        <w:t>；</w:t>
      </w:r>
      <w:r>
        <w:rPr>
          <w:rFonts w:hint="eastAsia" w:ascii="宋体" w:hAnsi="宋体" w:cs="宋体"/>
          <w:color w:val="auto"/>
          <w:kern w:val="0"/>
          <w:szCs w:val="21"/>
          <w:highlight w:val="none"/>
        </w:rPr>
        <w:t xml:space="preserve"> </w:t>
      </w:r>
    </w:p>
    <w:p>
      <w:pPr>
        <w:pStyle w:val="127"/>
        <w:adjustRightInd w:val="0"/>
        <w:spacing w:line="360" w:lineRule="auto"/>
        <w:ind w:firstLineChars="200"/>
        <w:rPr>
          <w:rFonts w:ascii="宋体" w:hAnsi="宋体" w:cs="宋体"/>
          <w:color w:val="auto"/>
          <w:kern w:val="0"/>
          <w:highlight w:val="none"/>
          <w:lang w:eastAsia="zh-CN"/>
        </w:rPr>
      </w:pPr>
      <w:r>
        <w:rPr>
          <w:rFonts w:hint="eastAsia" w:ascii="宋体" w:hAnsi="宋体" w:cs="宋体"/>
          <w:color w:val="auto"/>
          <w:kern w:val="0"/>
          <w:szCs w:val="21"/>
          <w:highlight w:val="none"/>
          <w:lang w:eastAsia="zh-CN"/>
        </w:rPr>
        <w:t>（5）</w:t>
      </w:r>
      <w:r>
        <w:rPr>
          <w:rFonts w:hint="eastAsia" w:ascii="宋体" w:hAnsi="宋体" w:cs="宋体"/>
          <w:color w:val="auto"/>
          <w:kern w:val="0"/>
          <w:highlight w:val="none"/>
        </w:rPr>
        <w:t>参加采购活动前三年内，在经营活动中没有重大违法记录：提供书面声明。重大违法记录，是指供应商因违法经营受到刑事处罚或者责令停产停业、吊销许可证或者执照、较大数额罚款等行政处罚。（较大数额罚款按照《财政部关于&lt;中华人民共和国政府采购法实施条例&gt;第十九条第一款 “较大数额罚款”具体适用问题的意见 》（财库〔2022〕3 号）执行）；</w:t>
      </w:r>
    </w:p>
    <w:p>
      <w:pPr>
        <w:autoSpaceDE w:val="0"/>
        <w:autoSpaceDN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 为采购项目提供整体设计、规范编制或者项目管理、监理、检测等服务的供应商，不得再参加同一采购项目的其他采购活动的书面声明。</w:t>
      </w:r>
    </w:p>
    <w:p>
      <w:pPr>
        <w:autoSpaceDE w:val="0"/>
        <w:autoSpaceDN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 xml:space="preserve"> 单位负责人为同一人或者存在直接控股、管理关系的不同供应商，不得参加同一合同项下的政府采购活动的书面声明。</w:t>
      </w:r>
    </w:p>
    <w:p>
      <w:pPr>
        <w:autoSpaceDE w:val="0"/>
        <w:autoSpaceDN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3.4. 本项目不接受联合体投标。</w:t>
      </w:r>
    </w:p>
    <w:p>
      <w:pPr>
        <w:autoSpaceDE w:val="0"/>
        <w:autoSpaceDN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3.5. 投标人未被列入“信用中国”网站（www.creditchina.gov.cn）“失信被执行人”、“重大税收违法失信主体”、“政府采购严重违法失信行为”名单，且不处于中国政府采购网（www.ccgp.gov.cn）“政府采购严重违法失信行为信息记录”中禁止参加政府采购活动期间（以采购代理机构于投标截止日当天在“信用中国”及中国政府采购网查询结果为准，如相关失信记录已失效，投标人须提供相关证明资料）。</w:t>
      </w:r>
    </w:p>
    <w:p>
      <w:pPr>
        <w:autoSpaceDE w:val="0"/>
        <w:autoSpaceDN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 登记并已获取本项目采购文件。</w:t>
      </w:r>
    </w:p>
    <w:p>
      <w:pPr>
        <w:autoSpaceDE w:val="0"/>
        <w:autoSpaceDN w:val="0"/>
        <w:spacing w:line="360" w:lineRule="auto"/>
        <w:ind w:firstLine="562" w:firstLineChars="200"/>
        <w:rPr>
          <w:rFonts w:ascii="宋体" w:hAnsi="宋体"/>
          <w:b/>
          <w:bCs/>
          <w:color w:val="auto"/>
          <w:sz w:val="28"/>
          <w:szCs w:val="28"/>
          <w:highlight w:val="none"/>
        </w:rPr>
      </w:pPr>
      <w:r>
        <w:rPr>
          <w:rFonts w:ascii="宋体" w:hAnsi="宋体"/>
          <w:b/>
          <w:bCs/>
          <w:color w:val="auto"/>
          <w:sz w:val="28"/>
          <w:szCs w:val="28"/>
          <w:highlight w:val="none"/>
        </w:rPr>
        <w:t>三、获取招标文件</w:t>
      </w:r>
    </w:p>
    <w:p>
      <w:pPr>
        <w:autoSpaceDE w:val="0"/>
        <w:autoSpaceDN w:val="0"/>
        <w:spacing w:line="360" w:lineRule="auto"/>
        <w:ind w:firstLine="420" w:firstLineChars="200"/>
        <w:rPr>
          <w:rFonts w:ascii="宋体" w:hAnsi="宋体"/>
          <w:color w:val="auto"/>
          <w:szCs w:val="21"/>
          <w:highlight w:val="none"/>
        </w:rPr>
      </w:pPr>
      <w:r>
        <w:rPr>
          <w:rFonts w:ascii="宋体" w:hAnsi="宋体"/>
          <w:color w:val="auto"/>
          <w:szCs w:val="21"/>
          <w:highlight w:val="none"/>
        </w:rPr>
        <w:t>时间：</w:t>
      </w:r>
      <w:r>
        <w:rPr>
          <w:rFonts w:ascii="宋体" w:hAnsi="宋体"/>
          <w:color w:val="auto"/>
          <w:szCs w:val="21"/>
          <w:highlight w:val="none"/>
          <w:u w:val="single"/>
        </w:rPr>
        <w:t> </w:t>
      </w:r>
      <w:r>
        <w:rPr>
          <w:rFonts w:hint="eastAsia" w:ascii="宋体" w:hAnsi="宋体"/>
          <w:color w:val="auto"/>
          <w:szCs w:val="21"/>
          <w:highlight w:val="none"/>
          <w:u w:val="single"/>
        </w:rPr>
        <w:t>2023</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w:t>
      </w:r>
      <w:r>
        <w:rPr>
          <w:rFonts w:hint="eastAsia" w:ascii="宋体" w:hAnsi="宋体"/>
          <w:color w:val="auto"/>
          <w:szCs w:val="21"/>
          <w:highlight w:val="none"/>
          <w:u w:val="single"/>
          <w:lang w:val="en-US" w:eastAsia="zh-CN"/>
        </w:rPr>
        <w:t>11</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w:t>
      </w:r>
      <w:r>
        <w:rPr>
          <w:rFonts w:hint="eastAsia" w:ascii="宋体" w:hAnsi="宋体"/>
          <w:color w:val="auto"/>
          <w:szCs w:val="21"/>
          <w:highlight w:val="none"/>
          <w:u w:val="single"/>
          <w:lang w:val="en-US" w:eastAsia="zh-CN"/>
        </w:rPr>
        <w:t>27</w:t>
      </w:r>
      <w:r>
        <w:rPr>
          <w:rFonts w:hint="eastAsia" w:ascii="宋体" w:hAnsi="宋体"/>
          <w:color w:val="auto"/>
          <w:szCs w:val="21"/>
          <w:highlight w:val="none"/>
          <w:u w:val="single"/>
        </w:rPr>
        <w:t xml:space="preserve">  </w:t>
      </w:r>
      <w:r>
        <w:rPr>
          <w:rFonts w:ascii="宋体" w:hAnsi="宋体"/>
          <w:color w:val="auto"/>
          <w:szCs w:val="21"/>
          <w:highlight w:val="none"/>
        </w:rPr>
        <w:t>日至</w:t>
      </w:r>
      <w:r>
        <w:rPr>
          <w:rFonts w:hint="eastAsia" w:ascii="宋体" w:hAnsi="宋体"/>
          <w:color w:val="auto"/>
          <w:szCs w:val="21"/>
          <w:highlight w:val="none"/>
          <w:u w:val="single"/>
        </w:rPr>
        <w:t>2023</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12</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4</w:t>
      </w:r>
      <w:r>
        <w:rPr>
          <w:rFonts w:hint="eastAsia" w:ascii="宋体" w:hAnsi="宋体"/>
          <w:color w:val="auto"/>
          <w:szCs w:val="21"/>
          <w:highlight w:val="none"/>
          <w:u w:val="single"/>
        </w:rPr>
        <w:t xml:space="preserve">  </w:t>
      </w:r>
      <w:r>
        <w:rPr>
          <w:rFonts w:ascii="宋体" w:hAnsi="宋体"/>
          <w:color w:val="auto"/>
          <w:szCs w:val="21"/>
          <w:highlight w:val="none"/>
        </w:rPr>
        <w:t>日，每天上午</w:t>
      </w:r>
      <w:r>
        <w:rPr>
          <w:rFonts w:ascii="宋体" w:hAnsi="宋体"/>
          <w:color w:val="auto"/>
          <w:szCs w:val="21"/>
          <w:highlight w:val="none"/>
          <w:u w:val="single"/>
        </w:rPr>
        <w:t> 09:00:</w:t>
      </w:r>
      <w:r>
        <w:rPr>
          <w:rFonts w:hint="eastAsia" w:ascii="宋体" w:hAnsi="宋体"/>
          <w:color w:val="auto"/>
          <w:szCs w:val="21"/>
          <w:highlight w:val="none"/>
          <w:u w:val="single"/>
        </w:rPr>
        <w:t>00</w:t>
      </w:r>
      <w:r>
        <w:rPr>
          <w:rFonts w:ascii="宋体" w:hAnsi="宋体"/>
          <w:color w:val="auto"/>
          <w:szCs w:val="21"/>
          <w:highlight w:val="none"/>
        </w:rPr>
        <w:t>至</w:t>
      </w:r>
      <w:r>
        <w:rPr>
          <w:rFonts w:ascii="宋体" w:hAnsi="宋体"/>
          <w:color w:val="auto"/>
          <w:szCs w:val="21"/>
          <w:highlight w:val="none"/>
          <w:u w:val="single"/>
        </w:rPr>
        <w:t xml:space="preserve"> 12:00:</w:t>
      </w:r>
      <w:r>
        <w:rPr>
          <w:rFonts w:hint="eastAsia" w:ascii="宋体" w:hAnsi="宋体"/>
          <w:color w:val="auto"/>
          <w:szCs w:val="21"/>
          <w:highlight w:val="none"/>
          <w:u w:val="single"/>
        </w:rPr>
        <w:t>00</w:t>
      </w:r>
      <w:r>
        <w:rPr>
          <w:rFonts w:ascii="宋体" w:hAnsi="宋体"/>
          <w:color w:val="auto"/>
          <w:szCs w:val="21"/>
          <w:highlight w:val="none"/>
        </w:rPr>
        <w:t>，下午</w:t>
      </w:r>
      <w:r>
        <w:rPr>
          <w:rFonts w:ascii="宋体" w:hAnsi="宋体"/>
          <w:color w:val="auto"/>
          <w:szCs w:val="21"/>
          <w:highlight w:val="none"/>
          <w:u w:val="single"/>
        </w:rPr>
        <w:t xml:space="preserve"> 14:</w:t>
      </w:r>
      <w:r>
        <w:rPr>
          <w:rFonts w:hint="eastAsia" w:ascii="宋体" w:hAnsi="宋体"/>
          <w:color w:val="auto"/>
          <w:szCs w:val="21"/>
          <w:highlight w:val="none"/>
          <w:u w:val="single"/>
        </w:rPr>
        <w:t>0</w:t>
      </w:r>
      <w:r>
        <w:rPr>
          <w:rFonts w:ascii="宋体" w:hAnsi="宋体"/>
          <w:color w:val="auto"/>
          <w:szCs w:val="21"/>
          <w:highlight w:val="none"/>
          <w:u w:val="single"/>
        </w:rPr>
        <w:t>0:</w:t>
      </w:r>
      <w:r>
        <w:rPr>
          <w:rFonts w:hint="eastAsia" w:ascii="宋体" w:hAnsi="宋体"/>
          <w:color w:val="auto"/>
          <w:szCs w:val="21"/>
          <w:highlight w:val="none"/>
          <w:u w:val="single"/>
        </w:rPr>
        <w:t>00</w:t>
      </w:r>
      <w:r>
        <w:rPr>
          <w:rFonts w:ascii="宋体" w:hAnsi="宋体"/>
          <w:color w:val="auto"/>
          <w:szCs w:val="21"/>
          <w:highlight w:val="none"/>
        </w:rPr>
        <w:t xml:space="preserve">至 </w:t>
      </w:r>
      <w:r>
        <w:rPr>
          <w:rFonts w:ascii="宋体" w:hAnsi="宋体"/>
          <w:color w:val="auto"/>
          <w:szCs w:val="21"/>
          <w:highlight w:val="none"/>
          <w:u w:val="single"/>
        </w:rPr>
        <w:t>17:30:</w:t>
      </w:r>
      <w:r>
        <w:rPr>
          <w:rFonts w:hint="eastAsia" w:ascii="宋体" w:hAnsi="宋体"/>
          <w:color w:val="auto"/>
          <w:szCs w:val="21"/>
          <w:highlight w:val="none"/>
          <w:u w:val="single"/>
        </w:rPr>
        <w:t>00</w:t>
      </w:r>
      <w:r>
        <w:rPr>
          <w:rFonts w:ascii="宋体" w:hAnsi="宋体"/>
          <w:color w:val="auto"/>
          <w:szCs w:val="21"/>
          <w:highlight w:val="none"/>
        </w:rPr>
        <w:t>（北京时间，</w:t>
      </w:r>
      <w:r>
        <w:rPr>
          <w:rFonts w:hint="eastAsia" w:ascii="宋体" w:hAnsi="宋体"/>
          <w:color w:val="auto"/>
          <w:szCs w:val="21"/>
          <w:highlight w:val="none"/>
        </w:rPr>
        <w:t>法定节假日可正常获取</w:t>
      </w:r>
      <w:r>
        <w:rPr>
          <w:rFonts w:ascii="宋体" w:hAnsi="宋体"/>
          <w:color w:val="auto"/>
          <w:szCs w:val="21"/>
          <w:highlight w:val="none"/>
        </w:rPr>
        <w:t>）</w:t>
      </w:r>
    </w:p>
    <w:p>
      <w:pPr>
        <w:autoSpaceDE w:val="0"/>
        <w:autoSpaceDN w:val="0"/>
        <w:spacing w:line="360" w:lineRule="auto"/>
        <w:ind w:firstLine="420" w:firstLineChars="200"/>
        <w:rPr>
          <w:rFonts w:ascii="宋体" w:hAnsi="宋体"/>
          <w:color w:val="auto"/>
          <w:szCs w:val="21"/>
          <w:highlight w:val="none"/>
        </w:rPr>
      </w:pPr>
      <w:r>
        <w:rPr>
          <w:rFonts w:ascii="宋体" w:hAnsi="宋体"/>
          <w:color w:val="auto"/>
          <w:szCs w:val="21"/>
          <w:highlight w:val="none"/>
        </w:rPr>
        <w:t>地点：</w:t>
      </w:r>
      <w:r>
        <w:rPr>
          <w:rFonts w:hint="eastAsia" w:ascii="宋体" w:hAnsi="宋体"/>
          <w:color w:val="auto"/>
          <w:szCs w:val="21"/>
          <w:highlight w:val="none"/>
        </w:rPr>
        <w:t>粤招优采电子招标采购交易平台</w:t>
      </w:r>
    </w:p>
    <w:p>
      <w:pPr>
        <w:autoSpaceDE w:val="0"/>
        <w:autoSpaceDN w:val="0"/>
        <w:spacing w:line="360" w:lineRule="auto"/>
        <w:ind w:firstLine="420" w:firstLineChars="200"/>
        <w:rPr>
          <w:rFonts w:ascii="宋体" w:hAnsi="宋体"/>
          <w:color w:val="auto"/>
          <w:szCs w:val="21"/>
          <w:highlight w:val="none"/>
        </w:rPr>
      </w:pPr>
      <w:r>
        <w:rPr>
          <w:rFonts w:ascii="宋体" w:hAnsi="宋体"/>
          <w:color w:val="auto"/>
          <w:szCs w:val="21"/>
          <w:highlight w:val="none"/>
        </w:rPr>
        <w:t>方式：</w:t>
      </w:r>
      <w:r>
        <w:rPr>
          <w:rFonts w:hint="eastAsia" w:ascii="宋体" w:hAnsi="宋体"/>
          <w:color w:val="auto"/>
          <w:szCs w:val="21"/>
          <w:highlight w:val="none"/>
        </w:rPr>
        <w:t>1） 注册粤招优采电子招标采购交易平台，完善供应商相关信息并提交审核（工作日审核时间一般不超过2小时，已注册的供应商可直接登录平台，注册地址：http://www.biddinge.com/aeps/pages/register/register.html）；2） 账号审核通过后登录平台（登录地址：http://www.biddinge.com/aeps/login_bidder.html）；3） 按照《电子招投标平台使用说明》（http://www.gztpc.com/content/detail.html）获取采购文件。供应商在使用过程中遇到涉及系统使用的问题，可咨询梁工：18925053631</w:t>
      </w:r>
      <w:r>
        <w:rPr>
          <w:rFonts w:ascii="宋体" w:hAnsi="宋体"/>
          <w:color w:val="auto"/>
          <w:szCs w:val="21"/>
          <w:highlight w:val="none"/>
        </w:rPr>
        <w:t xml:space="preserve"> </w:t>
      </w:r>
    </w:p>
    <w:p>
      <w:pPr>
        <w:autoSpaceDE w:val="0"/>
        <w:autoSpaceDN w:val="0"/>
        <w:spacing w:line="360" w:lineRule="auto"/>
        <w:ind w:firstLine="562" w:firstLineChars="200"/>
        <w:rPr>
          <w:rFonts w:ascii="宋体" w:hAnsi="宋体"/>
          <w:b/>
          <w:bCs/>
          <w:color w:val="auto"/>
          <w:sz w:val="28"/>
          <w:szCs w:val="28"/>
          <w:highlight w:val="none"/>
        </w:rPr>
      </w:pPr>
      <w:r>
        <w:rPr>
          <w:rFonts w:ascii="宋体" w:hAnsi="宋体"/>
          <w:b/>
          <w:bCs/>
          <w:color w:val="auto"/>
          <w:sz w:val="28"/>
          <w:szCs w:val="28"/>
          <w:highlight w:val="none"/>
        </w:rPr>
        <w:br w:type="page"/>
      </w:r>
      <w:r>
        <w:rPr>
          <w:rFonts w:ascii="宋体" w:hAnsi="宋体"/>
          <w:b/>
          <w:bCs/>
          <w:color w:val="auto"/>
          <w:sz w:val="28"/>
          <w:szCs w:val="28"/>
          <w:highlight w:val="none"/>
        </w:rPr>
        <w:t>四、提交投标文件截止时间、开标时间和地点</w:t>
      </w:r>
    </w:p>
    <w:p>
      <w:pPr>
        <w:autoSpaceDE w:val="0"/>
        <w:autoSpaceDN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2023</w:t>
      </w:r>
      <w:r>
        <w:rPr>
          <w:rFonts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12</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19</w:t>
      </w:r>
      <w:r>
        <w:rPr>
          <w:rFonts w:ascii="宋体" w:hAnsi="宋体"/>
          <w:color w:val="auto"/>
          <w:szCs w:val="21"/>
          <w:highlight w:val="none"/>
          <w:u w:val="single"/>
        </w:rPr>
        <w:t xml:space="preserve"> </w:t>
      </w:r>
      <w:r>
        <w:rPr>
          <w:rFonts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09</w:t>
      </w:r>
      <w:r>
        <w:rPr>
          <w:rFonts w:hint="eastAsia" w:ascii="宋体" w:hAnsi="宋体"/>
          <w:color w:val="auto"/>
          <w:szCs w:val="21"/>
          <w:highlight w:val="none"/>
          <w:u w:val="single"/>
        </w:rPr>
        <w:t xml:space="preserve">  </w:t>
      </w:r>
      <w:r>
        <w:rPr>
          <w:rFonts w:ascii="宋体" w:hAnsi="宋体"/>
          <w:color w:val="auto"/>
          <w:szCs w:val="21"/>
          <w:highlight w:val="none"/>
        </w:rPr>
        <w:t>点</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30</w:t>
      </w:r>
      <w:r>
        <w:rPr>
          <w:rFonts w:hint="eastAsia" w:ascii="宋体" w:hAnsi="宋体"/>
          <w:color w:val="auto"/>
          <w:szCs w:val="21"/>
          <w:highlight w:val="none"/>
          <w:u w:val="single"/>
        </w:rPr>
        <w:t xml:space="preserve">  </w:t>
      </w:r>
      <w:r>
        <w:rPr>
          <w:rFonts w:ascii="宋体" w:hAnsi="宋体"/>
          <w:color w:val="auto"/>
          <w:szCs w:val="21"/>
          <w:highlight w:val="none"/>
        </w:rPr>
        <w:t>分（北京时间，招标代理机构提前</w:t>
      </w:r>
      <w:r>
        <w:rPr>
          <w:rFonts w:hint="eastAsia" w:ascii="宋体" w:hAnsi="宋体"/>
          <w:color w:val="auto"/>
          <w:szCs w:val="21"/>
          <w:highlight w:val="none"/>
        </w:rPr>
        <w:t>30分钟开始收取投标文件</w:t>
      </w:r>
      <w:r>
        <w:rPr>
          <w:rFonts w:ascii="宋体" w:hAnsi="宋体"/>
          <w:color w:val="auto"/>
          <w:szCs w:val="21"/>
          <w:highlight w:val="none"/>
        </w:rPr>
        <w:t>）</w:t>
      </w:r>
    </w:p>
    <w:p>
      <w:pPr>
        <w:autoSpaceDE w:val="0"/>
        <w:autoSpaceDN w:val="0"/>
        <w:spacing w:line="360" w:lineRule="auto"/>
        <w:ind w:firstLine="420" w:firstLineChars="200"/>
        <w:rPr>
          <w:rFonts w:ascii="宋体" w:hAnsi="宋体"/>
          <w:color w:val="auto"/>
          <w:szCs w:val="21"/>
          <w:highlight w:val="none"/>
        </w:rPr>
      </w:pPr>
      <w:r>
        <w:rPr>
          <w:rFonts w:ascii="宋体" w:hAnsi="宋体"/>
          <w:color w:val="auto"/>
          <w:szCs w:val="21"/>
          <w:highlight w:val="none"/>
        </w:rPr>
        <w:t>地点：</w:t>
      </w:r>
      <w:r>
        <w:rPr>
          <w:rFonts w:hint="eastAsia" w:ascii="宋体" w:hAnsi="宋体"/>
          <w:color w:val="auto"/>
          <w:szCs w:val="21"/>
          <w:highlight w:val="none"/>
        </w:rPr>
        <w:t>广州市东风东路745号东山紫园商务大厦2003单元</w:t>
      </w:r>
    </w:p>
    <w:p>
      <w:pPr>
        <w:autoSpaceDE w:val="0"/>
        <w:autoSpaceDN w:val="0"/>
        <w:spacing w:line="360" w:lineRule="auto"/>
        <w:ind w:firstLine="562" w:firstLineChars="200"/>
        <w:rPr>
          <w:rFonts w:ascii="宋体" w:hAnsi="宋体"/>
          <w:b/>
          <w:bCs/>
          <w:color w:val="auto"/>
          <w:sz w:val="28"/>
          <w:szCs w:val="28"/>
          <w:highlight w:val="none"/>
        </w:rPr>
      </w:pPr>
      <w:r>
        <w:rPr>
          <w:rFonts w:ascii="宋体" w:hAnsi="宋体"/>
          <w:b/>
          <w:bCs/>
          <w:color w:val="auto"/>
          <w:sz w:val="28"/>
          <w:szCs w:val="28"/>
          <w:highlight w:val="none"/>
        </w:rPr>
        <w:t>五、公告期限</w:t>
      </w:r>
    </w:p>
    <w:p>
      <w:pPr>
        <w:autoSpaceDE w:val="0"/>
        <w:autoSpaceDN w:val="0"/>
        <w:spacing w:line="360" w:lineRule="auto"/>
        <w:ind w:firstLine="420" w:firstLineChars="200"/>
        <w:rPr>
          <w:rFonts w:ascii="宋体" w:hAnsi="宋体"/>
          <w:color w:val="auto"/>
          <w:szCs w:val="21"/>
          <w:highlight w:val="none"/>
        </w:rPr>
      </w:pPr>
      <w:r>
        <w:rPr>
          <w:rFonts w:ascii="宋体" w:hAnsi="宋体"/>
          <w:color w:val="auto"/>
          <w:szCs w:val="21"/>
          <w:highlight w:val="none"/>
        </w:rPr>
        <w:t>自本公告发布之日起 5 个工作日</w:t>
      </w:r>
    </w:p>
    <w:p>
      <w:pPr>
        <w:autoSpaceDE w:val="0"/>
        <w:autoSpaceDN w:val="0"/>
        <w:spacing w:line="360" w:lineRule="auto"/>
        <w:ind w:firstLine="562" w:firstLineChars="200"/>
        <w:rPr>
          <w:rFonts w:ascii="宋体" w:hAnsi="宋体"/>
          <w:b/>
          <w:bCs/>
          <w:color w:val="auto"/>
          <w:sz w:val="28"/>
          <w:szCs w:val="28"/>
          <w:highlight w:val="none"/>
        </w:rPr>
      </w:pPr>
      <w:r>
        <w:rPr>
          <w:rFonts w:ascii="宋体" w:hAnsi="宋体"/>
          <w:b/>
          <w:bCs/>
          <w:color w:val="auto"/>
          <w:sz w:val="28"/>
          <w:szCs w:val="28"/>
          <w:highlight w:val="none"/>
        </w:rPr>
        <w:t>六、其他补充事宜</w:t>
      </w:r>
    </w:p>
    <w:p>
      <w:pPr>
        <w:adjustRightInd w:val="0"/>
        <w:snapToGrid w:val="0"/>
        <w:spacing w:line="360" w:lineRule="auto"/>
        <w:ind w:firstLine="420"/>
        <w:rPr>
          <w:rFonts w:ascii="宋体" w:hAnsi="宋体"/>
          <w:bCs/>
          <w:color w:val="auto"/>
          <w:szCs w:val="20"/>
          <w:highlight w:val="none"/>
        </w:rPr>
      </w:pPr>
      <w:r>
        <w:rPr>
          <w:rFonts w:hint="eastAsia" w:ascii="宋体" w:hAnsi="宋体"/>
          <w:bCs/>
          <w:color w:val="auto"/>
          <w:szCs w:val="20"/>
          <w:highlight w:val="none"/>
        </w:rPr>
        <w:t>本项目需要落实的政府采购政策：</w:t>
      </w:r>
    </w:p>
    <w:p>
      <w:pPr>
        <w:pStyle w:val="127"/>
        <w:adjustRightInd w:val="0"/>
        <w:snapToGrid w:val="0"/>
        <w:spacing w:line="360" w:lineRule="auto"/>
        <w:rPr>
          <w:rFonts w:ascii="宋体" w:hAnsi="宋体"/>
          <w:bCs/>
          <w:color w:val="auto"/>
          <w:szCs w:val="20"/>
          <w:highlight w:val="none"/>
          <w:lang w:eastAsia="zh-CN"/>
        </w:rPr>
      </w:pPr>
      <w:r>
        <w:rPr>
          <w:rFonts w:hint="eastAsia" w:ascii="宋体" w:hAnsi="宋体"/>
          <w:bCs/>
          <w:color w:val="auto"/>
          <w:szCs w:val="20"/>
          <w:highlight w:val="none"/>
          <w:lang w:eastAsia="zh-CN"/>
        </w:rPr>
        <w:t>（1）《关于印发&lt;政府采购促进中小企业发展管理办法&gt;的通知》（财库〔2020〕46号）</w:t>
      </w:r>
    </w:p>
    <w:p>
      <w:pPr>
        <w:pStyle w:val="127"/>
        <w:adjustRightInd w:val="0"/>
        <w:snapToGrid w:val="0"/>
        <w:spacing w:line="360" w:lineRule="auto"/>
        <w:rPr>
          <w:rFonts w:ascii="宋体" w:hAnsi="宋体"/>
          <w:bCs/>
          <w:color w:val="auto"/>
          <w:szCs w:val="20"/>
          <w:highlight w:val="none"/>
        </w:rPr>
      </w:pPr>
      <w:r>
        <w:rPr>
          <w:rFonts w:hint="eastAsia" w:ascii="宋体" w:hAnsi="宋体"/>
          <w:bCs/>
          <w:color w:val="auto"/>
          <w:szCs w:val="20"/>
          <w:highlight w:val="none"/>
          <w:lang w:eastAsia="zh-CN"/>
        </w:rPr>
        <w:t>（2）</w:t>
      </w:r>
      <w:r>
        <w:rPr>
          <w:rFonts w:hint="eastAsia" w:ascii="宋体" w:hAnsi="宋体"/>
          <w:bCs/>
          <w:color w:val="auto"/>
          <w:szCs w:val="20"/>
          <w:highlight w:val="none"/>
        </w:rPr>
        <w:t>《</w:t>
      </w:r>
      <w:r>
        <w:rPr>
          <w:rFonts w:hint="eastAsia" w:ascii="宋体" w:hAnsi="宋体"/>
          <w:bCs/>
          <w:color w:val="auto"/>
          <w:szCs w:val="20"/>
          <w:highlight w:val="none"/>
          <w:lang w:eastAsia="zh-CN"/>
        </w:rPr>
        <w:t>财政部 司法部关于政府采购支持监狱企业发展有关问题的通知</w:t>
      </w:r>
      <w:r>
        <w:rPr>
          <w:rFonts w:hint="eastAsia" w:ascii="宋体" w:hAnsi="宋体"/>
          <w:bCs/>
          <w:color w:val="auto"/>
          <w:szCs w:val="20"/>
          <w:highlight w:val="none"/>
        </w:rPr>
        <w:t>》(财库〔2014〕68号)</w:t>
      </w:r>
    </w:p>
    <w:p>
      <w:pPr>
        <w:pStyle w:val="127"/>
        <w:adjustRightInd w:val="0"/>
        <w:snapToGrid w:val="0"/>
        <w:spacing w:line="360" w:lineRule="auto"/>
        <w:rPr>
          <w:rFonts w:ascii="宋体" w:hAnsi="宋体"/>
          <w:bCs/>
          <w:color w:val="auto"/>
          <w:highlight w:val="none"/>
        </w:rPr>
      </w:pPr>
      <w:r>
        <w:rPr>
          <w:rFonts w:hint="eastAsia" w:ascii="宋体" w:hAnsi="宋体"/>
          <w:bCs/>
          <w:color w:val="auto"/>
          <w:highlight w:val="none"/>
          <w:lang w:eastAsia="zh-CN"/>
        </w:rPr>
        <w:t xml:space="preserve">（3） </w:t>
      </w:r>
      <w:r>
        <w:rPr>
          <w:rFonts w:hint="eastAsia" w:ascii="宋体" w:hAnsi="宋体"/>
          <w:bCs/>
          <w:color w:val="auto"/>
          <w:szCs w:val="20"/>
          <w:highlight w:val="none"/>
        </w:rPr>
        <w:t>《</w:t>
      </w:r>
      <w:r>
        <w:rPr>
          <w:rFonts w:hint="eastAsia" w:ascii="宋体" w:hAnsi="宋体"/>
          <w:bCs/>
          <w:color w:val="auto"/>
          <w:highlight w:val="none"/>
          <w:lang w:eastAsia="zh-CN"/>
        </w:rPr>
        <w:t>财政部 民政部 中国残疾人联合会关于促进残疾人就业政府采购政策的通知</w:t>
      </w:r>
      <w:r>
        <w:rPr>
          <w:rFonts w:hint="eastAsia" w:ascii="宋体" w:hAnsi="宋体"/>
          <w:bCs/>
          <w:color w:val="auto"/>
          <w:highlight w:val="none"/>
        </w:rPr>
        <w:t>》（财库〔2</w:t>
      </w:r>
      <w:r>
        <w:rPr>
          <w:rFonts w:hint="eastAsia" w:ascii="宋体" w:hAnsi="宋体"/>
          <w:bCs/>
          <w:color w:val="auto"/>
          <w:highlight w:val="none"/>
          <w:lang w:eastAsia="zh-CN"/>
        </w:rPr>
        <w:t>017</w:t>
      </w:r>
      <w:r>
        <w:rPr>
          <w:rFonts w:hint="eastAsia" w:ascii="宋体" w:hAnsi="宋体"/>
          <w:bCs/>
          <w:color w:val="auto"/>
          <w:highlight w:val="none"/>
        </w:rPr>
        <w:t>〕141</w:t>
      </w:r>
      <w:r>
        <w:rPr>
          <w:rFonts w:hint="eastAsia" w:ascii="宋体" w:hAnsi="宋体"/>
          <w:bCs/>
          <w:color w:val="auto"/>
          <w:szCs w:val="20"/>
          <w:highlight w:val="none"/>
        </w:rPr>
        <w:t>号)</w:t>
      </w:r>
    </w:p>
    <w:p>
      <w:pPr>
        <w:pStyle w:val="127"/>
        <w:adjustRightInd w:val="0"/>
        <w:snapToGrid w:val="0"/>
        <w:spacing w:line="360" w:lineRule="auto"/>
        <w:rPr>
          <w:rFonts w:ascii="宋体" w:hAnsi="宋体"/>
          <w:bCs/>
          <w:color w:val="auto"/>
          <w:szCs w:val="20"/>
          <w:highlight w:val="none"/>
          <w:lang w:eastAsia="zh-CN"/>
        </w:rPr>
      </w:pPr>
      <w:r>
        <w:rPr>
          <w:rFonts w:hint="eastAsia" w:ascii="宋体" w:hAnsi="宋体"/>
          <w:bCs/>
          <w:color w:val="auto"/>
          <w:highlight w:val="none"/>
          <w:lang w:eastAsia="zh-CN"/>
        </w:rPr>
        <w:t>（4）</w:t>
      </w:r>
      <w:r>
        <w:rPr>
          <w:rFonts w:hint="eastAsia" w:ascii="宋体" w:hAnsi="宋体"/>
          <w:bCs/>
          <w:color w:val="auto"/>
          <w:szCs w:val="20"/>
          <w:highlight w:val="none"/>
          <w:lang w:eastAsia="zh-CN"/>
        </w:rPr>
        <w:t>《关于进一步加大政府采购支持中小企业力度的通知》（财库〔2022〕19号）</w:t>
      </w:r>
    </w:p>
    <w:p>
      <w:pPr>
        <w:autoSpaceDE w:val="0"/>
        <w:autoSpaceDN w:val="0"/>
        <w:spacing w:line="360" w:lineRule="auto"/>
        <w:ind w:firstLine="562" w:firstLineChars="200"/>
        <w:rPr>
          <w:rFonts w:ascii="宋体" w:hAnsi="宋体"/>
          <w:b/>
          <w:bCs/>
          <w:color w:val="auto"/>
          <w:sz w:val="28"/>
          <w:szCs w:val="28"/>
          <w:highlight w:val="none"/>
        </w:rPr>
      </w:pPr>
      <w:r>
        <w:rPr>
          <w:rFonts w:ascii="宋体" w:hAnsi="宋体"/>
          <w:b/>
          <w:bCs/>
          <w:color w:val="auto"/>
          <w:sz w:val="28"/>
          <w:szCs w:val="28"/>
          <w:highlight w:val="none"/>
        </w:rPr>
        <w:t>七、对本次招标提出询问，请按以下方式联系。</w:t>
      </w:r>
    </w:p>
    <w:p>
      <w:pPr>
        <w:autoSpaceDE w:val="0"/>
        <w:autoSpaceDN w:val="0"/>
        <w:spacing w:line="360" w:lineRule="auto"/>
        <w:ind w:left="420" w:firstLine="420" w:firstLineChars="200"/>
        <w:rPr>
          <w:rFonts w:ascii="宋体" w:hAnsi="宋体"/>
          <w:color w:val="auto"/>
          <w:szCs w:val="21"/>
          <w:highlight w:val="none"/>
        </w:rPr>
      </w:pPr>
      <w:r>
        <w:rPr>
          <w:rFonts w:ascii="宋体" w:hAnsi="宋体"/>
          <w:color w:val="auto"/>
          <w:szCs w:val="21"/>
          <w:highlight w:val="none"/>
        </w:rPr>
        <w:t>1.采购人信息</w:t>
      </w:r>
    </w:p>
    <w:p>
      <w:pPr>
        <w:autoSpaceDE w:val="0"/>
        <w:autoSpaceDN w:val="0"/>
        <w:spacing w:line="360" w:lineRule="auto"/>
        <w:ind w:firstLine="1050" w:firstLineChars="500"/>
        <w:rPr>
          <w:rFonts w:ascii="宋体" w:hAnsi="宋体"/>
          <w:color w:val="auto"/>
          <w:szCs w:val="21"/>
          <w:highlight w:val="none"/>
        </w:rPr>
      </w:pPr>
      <w:r>
        <w:rPr>
          <w:rFonts w:ascii="宋体" w:hAnsi="宋体"/>
          <w:color w:val="auto"/>
          <w:szCs w:val="21"/>
          <w:highlight w:val="none"/>
        </w:rPr>
        <w:t>名称：</w:t>
      </w:r>
      <w:r>
        <w:rPr>
          <w:rFonts w:hint="eastAsia" w:ascii="宋体" w:hAnsi="宋体"/>
          <w:color w:val="auto"/>
          <w:szCs w:val="21"/>
          <w:highlight w:val="none"/>
        </w:rPr>
        <w:t>国家税务总局罗定市税务局</w:t>
      </w:r>
    </w:p>
    <w:p>
      <w:pPr>
        <w:autoSpaceDE w:val="0"/>
        <w:autoSpaceDN w:val="0"/>
        <w:spacing w:line="360" w:lineRule="auto"/>
        <w:ind w:firstLine="1050" w:firstLineChars="500"/>
        <w:rPr>
          <w:rFonts w:ascii="宋体" w:hAnsi="宋体"/>
          <w:color w:val="auto"/>
          <w:szCs w:val="21"/>
          <w:highlight w:val="none"/>
        </w:rPr>
      </w:pPr>
      <w:r>
        <w:rPr>
          <w:rFonts w:ascii="宋体" w:hAnsi="宋体"/>
          <w:color w:val="auto"/>
          <w:szCs w:val="21"/>
          <w:highlight w:val="none"/>
        </w:rPr>
        <w:t xml:space="preserve">地址： </w:t>
      </w:r>
      <w:r>
        <w:rPr>
          <w:rFonts w:hint="eastAsia" w:ascii="宋体" w:hAnsi="宋体"/>
          <w:color w:val="auto"/>
          <w:szCs w:val="21"/>
          <w:highlight w:val="none"/>
        </w:rPr>
        <w:t>广东省云浮市罗定市罗城街道龙华西路190号</w:t>
      </w:r>
    </w:p>
    <w:p>
      <w:pPr>
        <w:autoSpaceDE w:val="0"/>
        <w:autoSpaceDN w:val="0"/>
        <w:spacing w:line="360" w:lineRule="auto"/>
        <w:ind w:firstLine="1050" w:firstLineChars="500"/>
        <w:rPr>
          <w:rFonts w:ascii="宋体" w:hAnsi="宋体"/>
          <w:color w:val="auto"/>
          <w:szCs w:val="21"/>
          <w:highlight w:val="none"/>
        </w:rPr>
      </w:pPr>
      <w:r>
        <w:rPr>
          <w:rFonts w:hint="eastAsia" w:ascii="宋体" w:hAnsi="宋体"/>
          <w:color w:val="auto"/>
          <w:szCs w:val="21"/>
          <w:highlight w:val="none"/>
        </w:rPr>
        <w:t>采购人联系人： 梁生</w:t>
      </w:r>
    </w:p>
    <w:p>
      <w:pPr>
        <w:autoSpaceDE w:val="0"/>
        <w:autoSpaceDN w:val="0"/>
        <w:spacing w:line="360" w:lineRule="auto"/>
        <w:ind w:firstLine="1050" w:firstLineChars="500"/>
        <w:rPr>
          <w:rFonts w:ascii="宋体" w:hAnsi="宋体"/>
          <w:color w:val="auto"/>
          <w:szCs w:val="21"/>
          <w:highlight w:val="none"/>
        </w:rPr>
      </w:pPr>
      <w:r>
        <w:rPr>
          <w:rFonts w:ascii="宋体" w:hAnsi="宋体"/>
          <w:color w:val="auto"/>
          <w:szCs w:val="21"/>
          <w:highlight w:val="none"/>
        </w:rPr>
        <w:t>联系方式：</w:t>
      </w:r>
      <w:r>
        <w:rPr>
          <w:rFonts w:hint="eastAsia" w:ascii="宋体" w:hAnsi="宋体"/>
          <w:color w:val="auto"/>
          <w:szCs w:val="21"/>
          <w:highlight w:val="none"/>
        </w:rPr>
        <w:t xml:space="preserve"> </w:t>
      </w:r>
      <w:r>
        <w:rPr>
          <w:rStyle w:val="73"/>
          <w:rFonts w:hint="eastAsia"/>
          <w:color w:val="auto"/>
          <w:highlight w:val="none"/>
        </w:rPr>
        <w:t>0766-3718830</w:t>
      </w:r>
    </w:p>
    <w:p>
      <w:pPr>
        <w:autoSpaceDE w:val="0"/>
        <w:autoSpaceDN w:val="0"/>
        <w:spacing w:line="360" w:lineRule="auto"/>
        <w:ind w:firstLine="420" w:firstLineChars="200"/>
        <w:rPr>
          <w:rFonts w:ascii="宋体" w:hAnsi="宋体"/>
          <w:color w:val="auto"/>
          <w:szCs w:val="21"/>
          <w:highlight w:val="none"/>
        </w:rPr>
      </w:pPr>
      <w:r>
        <w:rPr>
          <w:rFonts w:ascii="宋体" w:hAnsi="宋体"/>
          <w:color w:val="auto"/>
          <w:szCs w:val="21"/>
          <w:highlight w:val="none"/>
        </w:rPr>
        <w:t>2.采购代理机构信息</w:t>
      </w:r>
    </w:p>
    <w:p>
      <w:pPr>
        <w:autoSpaceDE w:val="0"/>
        <w:autoSpaceDN w:val="0"/>
        <w:spacing w:line="360" w:lineRule="auto"/>
        <w:ind w:firstLine="420" w:firstLineChars="200"/>
        <w:rPr>
          <w:rFonts w:ascii="宋体" w:hAnsi="宋体"/>
          <w:color w:val="auto"/>
          <w:szCs w:val="21"/>
          <w:highlight w:val="none"/>
        </w:rPr>
      </w:pPr>
      <w:r>
        <w:rPr>
          <w:rFonts w:ascii="宋体" w:hAnsi="宋体"/>
          <w:color w:val="auto"/>
          <w:szCs w:val="21"/>
          <w:highlight w:val="none"/>
        </w:rPr>
        <w:t>   名称：</w:t>
      </w:r>
      <w:r>
        <w:rPr>
          <w:rFonts w:hint="eastAsia" w:ascii="宋体" w:hAnsi="宋体"/>
          <w:color w:val="auto"/>
          <w:szCs w:val="21"/>
          <w:highlight w:val="none"/>
        </w:rPr>
        <w:t>广东广招招标采购有限公司</w:t>
      </w:r>
    </w:p>
    <w:p>
      <w:pPr>
        <w:autoSpaceDE w:val="0"/>
        <w:autoSpaceDN w:val="0"/>
        <w:spacing w:line="360" w:lineRule="auto"/>
        <w:ind w:firstLine="420" w:firstLineChars="200"/>
        <w:rPr>
          <w:rFonts w:ascii="宋体" w:hAnsi="宋体"/>
          <w:color w:val="auto"/>
          <w:szCs w:val="21"/>
          <w:highlight w:val="none"/>
        </w:rPr>
      </w:pPr>
      <w:r>
        <w:rPr>
          <w:rFonts w:ascii="宋体" w:hAnsi="宋体"/>
          <w:color w:val="auto"/>
          <w:szCs w:val="21"/>
          <w:highlight w:val="none"/>
        </w:rPr>
        <w:t>   地址：</w:t>
      </w:r>
      <w:r>
        <w:rPr>
          <w:rFonts w:hint="eastAsia" w:ascii="宋体" w:hAnsi="宋体"/>
          <w:color w:val="auto"/>
          <w:szCs w:val="21"/>
          <w:highlight w:val="none"/>
        </w:rPr>
        <w:t>广州市东风东路745号东山紫园商务大厦2003单元</w:t>
      </w:r>
    </w:p>
    <w:p>
      <w:pPr>
        <w:autoSpaceDE w:val="0"/>
        <w:autoSpaceDN w:val="0"/>
        <w:spacing w:line="360" w:lineRule="auto"/>
        <w:ind w:firstLine="420" w:firstLineChars="200"/>
        <w:rPr>
          <w:rFonts w:ascii="宋体" w:hAnsi="宋体"/>
          <w:color w:val="auto"/>
          <w:szCs w:val="21"/>
          <w:highlight w:val="none"/>
        </w:rPr>
      </w:pPr>
      <w:r>
        <w:rPr>
          <w:rFonts w:ascii="宋体" w:hAnsi="宋体"/>
          <w:color w:val="auto"/>
          <w:szCs w:val="21"/>
          <w:highlight w:val="none"/>
        </w:rPr>
        <w:t>   联系方式：020-38931902</w:t>
      </w:r>
    </w:p>
    <w:p>
      <w:pPr>
        <w:autoSpaceDE w:val="0"/>
        <w:autoSpaceDN w:val="0"/>
        <w:spacing w:line="360" w:lineRule="auto"/>
        <w:ind w:left="420" w:firstLine="420" w:firstLineChars="200"/>
        <w:rPr>
          <w:rFonts w:ascii="宋体" w:hAnsi="宋体"/>
          <w:color w:val="auto"/>
          <w:szCs w:val="21"/>
          <w:highlight w:val="none"/>
        </w:rPr>
      </w:pPr>
      <w:r>
        <w:rPr>
          <w:rFonts w:ascii="宋体" w:hAnsi="宋体"/>
          <w:color w:val="auto"/>
          <w:szCs w:val="21"/>
          <w:highlight w:val="none"/>
        </w:rPr>
        <w:t>3.项目联系方式</w:t>
      </w:r>
    </w:p>
    <w:p>
      <w:pPr>
        <w:autoSpaceDE w:val="0"/>
        <w:autoSpaceDN w:val="0"/>
        <w:spacing w:line="360" w:lineRule="auto"/>
        <w:ind w:firstLine="420" w:firstLineChars="200"/>
        <w:rPr>
          <w:rFonts w:ascii="宋体" w:hAnsi="宋体"/>
          <w:color w:val="auto"/>
          <w:szCs w:val="21"/>
          <w:highlight w:val="none"/>
        </w:rPr>
      </w:pPr>
      <w:r>
        <w:rPr>
          <w:rFonts w:ascii="宋体" w:hAnsi="宋体"/>
          <w:color w:val="auto"/>
          <w:szCs w:val="21"/>
          <w:highlight w:val="none"/>
        </w:rPr>
        <w:t>   项目联系人：</w:t>
      </w:r>
      <w:r>
        <w:rPr>
          <w:rFonts w:hint="eastAsia" w:ascii="宋体" w:hAnsi="宋体"/>
          <w:color w:val="auto"/>
          <w:szCs w:val="21"/>
          <w:highlight w:val="none"/>
        </w:rPr>
        <w:t>丘工</w:t>
      </w:r>
    </w:p>
    <w:p>
      <w:pPr>
        <w:autoSpaceDE w:val="0"/>
        <w:autoSpaceDN w:val="0"/>
        <w:spacing w:line="360" w:lineRule="auto"/>
        <w:ind w:firstLine="420" w:firstLineChars="200"/>
        <w:rPr>
          <w:rFonts w:ascii="宋体" w:hAnsi="宋体"/>
          <w:color w:val="auto"/>
          <w:szCs w:val="21"/>
          <w:highlight w:val="none"/>
        </w:rPr>
      </w:pPr>
      <w:r>
        <w:rPr>
          <w:rFonts w:ascii="宋体" w:hAnsi="宋体"/>
          <w:color w:val="auto"/>
          <w:szCs w:val="21"/>
          <w:highlight w:val="none"/>
        </w:rPr>
        <w:t>   电话：</w:t>
      </w:r>
      <w:r>
        <w:rPr>
          <w:rFonts w:hint="eastAsia" w:ascii="宋体" w:hAnsi="宋体"/>
          <w:color w:val="auto"/>
          <w:szCs w:val="21"/>
          <w:highlight w:val="none"/>
        </w:rPr>
        <w:t>020-</w:t>
      </w:r>
      <w:r>
        <w:rPr>
          <w:rFonts w:ascii="宋体" w:hAnsi="宋体"/>
          <w:color w:val="auto"/>
          <w:szCs w:val="21"/>
          <w:highlight w:val="none"/>
        </w:rPr>
        <w:t>38931902</w:t>
      </w:r>
      <w:r>
        <w:rPr>
          <w:rFonts w:hint="eastAsia" w:ascii="宋体" w:hAnsi="宋体"/>
          <w:color w:val="auto"/>
          <w:szCs w:val="21"/>
          <w:highlight w:val="none"/>
        </w:rPr>
        <w:t>-856</w:t>
      </w:r>
    </w:p>
    <w:p>
      <w:pPr>
        <w:autoSpaceDE w:val="0"/>
        <w:autoSpaceDN w:val="0"/>
        <w:spacing w:line="360" w:lineRule="auto"/>
        <w:ind w:firstLine="420" w:firstLineChars="200"/>
        <w:rPr>
          <w:rFonts w:ascii="宋体" w:hAnsi="宋体"/>
          <w:color w:val="auto"/>
          <w:szCs w:val="21"/>
          <w:highlight w:val="none"/>
        </w:rPr>
      </w:pPr>
    </w:p>
    <w:p>
      <w:pPr>
        <w:widowControl/>
        <w:spacing w:line="360" w:lineRule="auto"/>
        <w:ind w:firstLine="472" w:firstLineChars="225"/>
        <w:jc w:val="right"/>
        <w:rPr>
          <w:rFonts w:ascii="宋体" w:hAnsi="宋体"/>
          <w:color w:val="auto"/>
          <w:szCs w:val="21"/>
          <w:highlight w:val="none"/>
        </w:rPr>
      </w:pPr>
      <w:r>
        <w:rPr>
          <w:rFonts w:hint="eastAsia" w:ascii="宋体" w:hAnsi="宋体"/>
          <w:color w:val="auto"/>
          <w:szCs w:val="21"/>
          <w:highlight w:val="none"/>
        </w:rPr>
        <w:t>广东广招招标采购有限公司</w:t>
      </w:r>
    </w:p>
    <w:p>
      <w:pPr>
        <w:widowControl/>
        <w:wordWrap w:val="0"/>
        <w:spacing w:line="360" w:lineRule="auto"/>
        <w:ind w:firstLine="472" w:firstLineChars="225"/>
        <w:jc w:val="right"/>
        <w:rPr>
          <w:rFonts w:ascii="宋体" w:hAnsi="宋体"/>
          <w:color w:val="auto"/>
          <w:szCs w:val="21"/>
          <w:highlight w:val="none"/>
        </w:rPr>
      </w:pPr>
      <w:r>
        <w:rPr>
          <w:rFonts w:hint="eastAsia" w:ascii="宋体" w:hAnsi="宋体"/>
          <w:color w:val="auto"/>
          <w:szCs w:val="21"/>
          <w:highlight w:val="none"/>
        </w:rPr>
        <w:t>2023年</w:t>
      </w:r>
      <w:r>
        <w:rPr>
          <w:rFonts w:hint="eastAsia" w:ascii="宋体" w:hAnsi="宋体"/>
          <w:color w:val="auto"/>
          <w:szCs w:val="21"/>
          <w:highlight w:val="none"/>
          <w:lang w:val="en-US" w:eastAsia="zh-CN"/>
        </w:rPr>
        <w:t>11</w:t>
      </w:r>
      <w:r>
        <w:rPr>
          <w:rFonts w:hint="eastAsia" w:ascii="宋体" w:hAnsi="宋体"/>
          <w:color w:val="auto"/>
          <w:szCs w:val="21"/>
          <w:highlight w:val="none"/>
        </w:rPr>
        <w:t>月</w:t>
      </w:r>
      <w:r>
        <w:rPr>
          <w:rFonts w:hint="eastAsia" w:ascii="宋体" w:hAnsi="宋体"/>
          <w:color w:val="auto"/>
          <w:szCs w:val="21"/>
          <w:highlight w:val="none"/>
          <w:lang w:val="en-US" w:eastAsia="zh-CN"/>
        </w:rPr>
        <w:t>27</w:t>
      </w:r>
      <w:r>
        <w:rPr>
          <w:rFonts w:hint="eastAsia" w:ascii="宋体" w:hAnsi="宋体"/>
          <w:color w:val="auto"/>
          <w:szCs w:val="21"/>
          <w:highlight w:val="none"/>
        </w:rPr>
        <w:t>日</w:t>
      </w:r>
    </w:p>
    <w:p>
      <w:pPr>
        <w:widowControl/>
        <w:snapToGrid w:val="0"/>
        <w:spacing w:line="360" w:lineRule="auto"/>
        <w:ind w:firstLine="540" w:firstLineChars="225"/>
        <w:rPr>
          <w:rFonts w:ascii="宋体" w:hAnsi="宋体"/>
          <w:color w:val="auto"/>
          <w:sz w:val="24"/>
          <w:highlight w:val="none"/>
        </w:rPr>
      </w:pPr>
      <w:r>
        <w:rPr>
          <w:rFonts w:hint="eastAsia" w:ascii="宋体" w:hAnsi="宋体"/>
          <w:color w:val="auto"/>
          <w:sz w:val="24"/>
          <w:highlight w:val="none"/>
        </w:rPr>
        <w:drawing>
          <wp:inline distT="0" distB="0" distL="114300" distR="114300">
            <wp:extent cx="5685155" cy="2370455"/>
            <wp:effectExtent l="0" t="0" r="14605" b="6985"/>
            <wp:docPr id="4" name="图片 3"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111"/>
                    <pic:cNvPicPr>
                      <a:picLocks noChangeAspect="1"/>
                    </pic:cNvPicPr>
                  </pic:nvPicPr>
                  <pic:blipFill>
                    <a:blip r:embed="rId8" cstate="print"/>
                    <a:stretch>
                      <a:fillRect/>
                    </a:stretch>
                  </pic:blipFill>
                  <pic:spPr>
                    <a:xfrm>
                      <a:off x="0" y="0"/>
                      <a:ext cx="5685155" cy="2370455"/>
                    </a:xfrm>
                    <a:prstGeom prst="rect">
                      <a:avLst/>
                    </a:prstGeom>
                    <a:noFill/>
                    <a:ln>
                      <a:noFill/>
                    </a:ln>
                  </pic:spPr>
                </pic:pic>
              </a:graphicData>
            </a:graphic>
          </wp:inline>
        </w:drawing>
      </w:r>
    </w:p>
    <w:p>
      <w:pPr>
        <w:pStyle w:val="3"/>
        <w:spacing w:before="100" w:beforeAutospacing="1" w:after="100" w:afterAutospacing="1" w:line="240" w:lineRule="auto"/>
        <w:jc w:val="center"/>
        <w:rPr>
          <w:rFonts w:ascii="宋体" w:hAnsi="宋体"/>
          <w:color w:val="auto"/>
          <w:sz w:val="36"/>
          <w:szCs w:val="36"/>
          <w:highlight w:val="none"/>
        </w:rPr>
      </w:pPr>
      <w:r>
        <w:rPr>
          <w:rFonts w:hint="eastAsia" w:ascii="宋体" w:hAnsi="宋体"/>
          <w:b w:val="0"/>
          <w:color w:val="auto"/>
          <w:sz w:val="24"/>
          <w:highlight w:val="none"/>
        </w:rPr>
        <w:br w:type="page"/>
      </w:r>
      <w:bookmarkStart w:id="16" w:name="_Toc17220"/>
      <w:r>
        <w:rPr>
          <w:rFonts w:hint="eastAsia" w:ascii="宋体" w:hAnsi="宋体"/>
          <w:color w:val="auto"/>
          <w:sz w:val="36"/>
          <w:szCs w:val="36"/>
          <w:highlight w:val="none"/>
        </w:rPr>
        <w:t>第二部分　采购需求书</w:t>
      </w:r>
      <w:bookmarkEnd w:id="16"/>
    </w:p>
    <w:p>
      <w:pPr>
        <w:snapToGrid w:val="0"/>
        <w:spacing w:line="360" w:lineRule="auto"/>
        <w:rPr>
          <w:rFonts w:ascii="宋体" w:hAnsi="宋体"/>
          <w:b/>
          <w:bCs/>
          <w:color w:val="auto"/>
          <w:sz w:val="24"/>
          <w:highlight w:val="none"/>
        </w:rPr>
      </w:pPr>
      <w:r>
        <w:rPr>
          <w:rFonts w:hint="eastAsia" w:ascii="宋体" w:hAnsi="宋体"/>
          <w:b/>
          <w:bCs/>
          <w:color w:val="auto"/>
          <w:sz w:val="24"/>
          <w:highlight w:val="none"/>
        </w:rPr>
        <w:t>说明：</w:t>
      </w:r>
    </w:p>
    <w:p>
      <w:pPr>
        <w:numPr>
          <w:ilvl w:val="0"/>
          <w:numId w:val="2"/>
        </w:numPr>
        <w:snapToGrid w:val="0"/>
        <w:spacing w:line="360" w:lineRule="auto"/>
        <w:ind w:left="482" w:hanging="482" w:hangingChars="200"/>
        <w:rPr>
          <w:rFonts w:ascii="宋体" w:hAnsi="宋体"/>
          <w:b/>
          <w:bCs/>
          <w:color w:val="auto"/>
          <w:sz w:val="24"/>
          <w:highlight w:val="none"/>
        </w:rPr>
      </w:pPr>
      <w:r>
        <w:rPr>
          <w:rFonts w:hint="eastAsia" w:ascii="宋体" w:hAnsi="宋体"/>
          <w:b/>
          <w:bCs/>
          <w:color w:val="auto"/>
          <w:sz w:val="24"/>
          <w:highlight w:val="none"/>
        </w:rPr>
        <w:t>投标人须对本项目所有的货物及服务进行整体投标，任何只对本项目其中一部分内容进行的投标都被视为无效投标。</w:t>
      </w:r>
    </w:p>
    <w:p>
      <w:pPr>
        <w:numPr>
          <w:ilvl w:val="0"/>
          <w:numId w:val="2"/>
        </w:numPr>
        <w:snapToGrid w:val="0"/>
        <w:spacing w:line="360" w:lineRule="auto"/>
        <w:ind w:left="482" w:hanging="482" w:hangingChars="200"/>
        <w:rPr>
          <w:rFonts w:ascii="宋体" w:hAnsi="宋体"/>
          <w:b/>
          <w:bCs/>
          <w:color w:val="auto"/>
          <w:sz w:val="24"/>
          <w:highlight w:val="none"/>
        </w:rPr>
      </w:pPr>
      <w:r>
        <w:rPr>
          <w:rFonts w:hint="eastAsia" w:ascii="宋体" w:hAnsi="宋体"/>
          <w:b/>
          <w:bCs/>
          <w:color w:val="auto"/>
          <w:sz w:val="24"/>
          <w:highlight w:val="none"/>
        </w:rPr>
        <w:t>招标文件中如有打</w:t>
      </w:r>
      <w:r>
        <w:rPr>
          <w:rFonts w:ascii="宋体" w:hAnsi="宋体"/>
          <w:b/>
          <w:bCs/>
          <w:color w:val="auto"/>
          <w:sz w:val="24"/>
          <w:highlight w:val="none"/>
        </w:rPr>
        <w:t>“</w:t>
      </w:r>
      <w:r>
        <w:rPr>
          <w:rFonts w:hint="eastAsia" w:ascii="宋体" w:hAnsi="宋体"/>
          <w:b/>
          <w:bCs/>
          <w:color w:val="auto"/>
          <w:sz w:val="24"/>
          <w:highlight w:val="none"/>
        </w:rPr>
        <w:t>★</w:t>
      </w:r>
      <w:r>
        <w:rPr>
          <w:rFonts w:ascii="宋体" w:hAnsi="宋体"/>
          <w:b/>
          <w:bCs/>
          <w:color w:val="auto"/>
          <w:sz w:val="24"/>
          <w:highlight w:val="none"/>
        </w:rPr>
        <w:t>”</w:t>
      </w:r>
      <w:r>
        <w:rPr>
          <w:rFonts w:hint="eastAsia" w:ascii="宋体" w:hAnsi="宋体"/>
          <w:b/>
          <w:bCs/>
          <w:color w:val="auto"/>
          <w:sz w:val="24"/>
          <w:highlight w:val="none"/>
        </w:rPr>
        <w:t>号条款为实质性条款，投标人若有任何一条负偏离或不满足则导致投标无效。</w:t>
      </w:r>
    </w:p>
    <w:p>
      <w:pPr>
        <w:spacing w:line="560" w:lineRule="exact"/>
        <w:outlineLvl w:val="0"/>
        <w:rPr>
          <w:rFonts w:ascii="宋体" w:hAnsi="宋体" w:cs="黑体"/>
          <w:bCs/>
          <w:color w:val="auto"/>
          <w:szCs w:val="21"/>
          <w:highlight w:val="none"/>
        </w:rPr>
      </w:pPr>
    </w:p>
    <w:p>
      <w:pPr>
        <w:spacing w:line="360" w:lineRule="auto"/>
        <w:jc w:val="left"/>
        <w:rPr>
          <w:b/>
          <w:color w:val="auto"/>
          <w:sz w:val="28"/>
          <w:szCs w:val="28"/>
          <w:highlight w:val="none"/>
        </w:rPr>
      </w:pPr>
      <w:r>
        <w:rPr>
          <w:rFonts w:hint="eastAsia"/>
          <w:b/>
          <w:color w:val="auto"/>
          <w:sz w:val="28"/>
          <w:szCs w:val="28"/>
          <w:highlight w:val="none"/>
        </w:rPr>
        <w:t>一、项目概况:</w:t>
      </w:r>
    </w:p>
    <w:p>
      <w:pPr>
        <w:spacing w:line="360" w:lineRule="auto"/>
        <w:ind w:firstLine="480" w:firstLineChars="200"/>
        <w:rPr>
          <w:color w:val="auto"/>
          <w:sz w:val="24"/>
          <w:highlight w:val="none"/>
        </w:rPr>
      </w:pPr>
      <w:r>
        <w:rPr>
          <w:rFonts w:hint="eastAsia"/>
          <w:color w:val="auto"/>
          <w:sz w:val="24"/>
          <w:highlight w:val="none"/>
        </w:rPr>
        <w:t>根据《中华人民共和国政府采购法》等相关规定，就国家税务总局罗定市税务局及下属单位物业区域公共秩序维护、卫生保洁、工程设施设备、绿化维护、会议接待以及后勤服务等方面后勤物业服务事项推向社会化管理。</w:t>
      </w:r>
    </w:p>
    <w:p>
      <w:pPr>
        <w:spacing w:line="360" w:lineRule="auto"/>
        <w:rPr>
          <w:color w:val="auto"/>
          <w:sz w:val="28"/>
          <w:szCs w:val="28"/>
          <w:highlight w:val="none"/>
        </w:rPr>
      </w:pPr>
      <w:r>
        <w:rPr>
          <w:rFonts w:hint="eastAsia"/>
          <w:b/>
          <w:color w:val="auto"/>
          <w:sz w:val="28"/>
          <w:szCs w:val="28"/>
          <w:highlight w:val="none"/>
        </w:rPr>
        <w:t xml:space="preserve">二、物业管理内容及服务要求 </w:t>
      </w:r>
    </w:p>
    <w:p>
      <w:pPr>
        <w:spacing w:line="360" w:lineRule="auto"/>
        <w:ind w:firstLine="361" w:firstLineChars="150"/>
        <w:rPr>
          <w:b/>
          <w:color w:val="auto"/>
          <w:sz w:val="24"/>
          <w:highlight w:val="none"/>
        </w:rPr>
      </w:pPr>
      <w:r>
        <w:rPr>
          <w:rFonts w:hint="eastAsia"/>
          <w:b/>
          <w:color w:val="auto"/>
          <w:sz w:val="24"/>
          <w:highlight w:val="none"/>
        </w:rPr>
        <w:t xml:space="preserve">（一）服务概况 </w:t>
      </w:r>
    </w:p>
    <w:p>
      <w:pPr>
        <w:spacing w:line="360" w:lineRule="auto"/>
        <w:ind w:firstLine="480" w:firstLineChars="200"/>
        <w:rPr>
          <w:color w:val="auto"/>
          <w:sz w:val="24"/>
          <w:highlight w:val="none"/>
        </w:rPr>
      </w:pPr>
      <w:r>
        <w:rPr>
          <w:rFonts w:hint="eastAsia"/>
          <w:color w:val="auto"/>
          <w:sz w:val="24"/>
          <w:highlight w:val="none"/>
        </w:rPr>
        <w:t>1、座落位置：罗定市龙华西路190号、罗定市龙华西路115号及各税务分局所在地。</w:t>
      </w:r>
    </w:p>
    <w:p>
      <w:pPr>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rPr>
        <w:t>、总建筑面积约</w:t>
      </w:r>
      <w:r>
        <w:rPr>
          <w:color w:val="auto"/>
          <w:sz w:val="24"/>
          <w:highlight w:val="none"/>
        </w:rPr>
        <w:t xml:space="preserve"> </w:t>
      </w:r>
      <w:r>
        <w:rPr>
          <w:rFonts w:hint="eastAsia"/>
          <w:color w:val="auto"/>
          <w:sz w:val="24"/>
          <w:highlight w:val="none"/>
        </w:rPr>
        <w:t>28,453.52平方米。其中局机关办公大楼面积</w:t>
      </w:r>
      <w:r>
        <w:rPr>
          <w:color w:val="auto"/>
          <w:sz w:val="24"/>
          <w:highlight w:val="none"/>
        </w:rPr>
        <w:t xml:space="preserve"> </w:t>
      </w:r>
      <w:r>
        <w:rPr>
          <w:rFonts w:hint="eastAsia"/>
          <w:color w:val="auto"/>
          <w:sz w:val="24"/>
          <w:highlight w:val="none"/>
        </w:rPr>
        <w:t>8,650.56平方米、龙华西办公区办公楼9,230.73平方米、素龙税务分局建筑面积1,654.51平方米、老干部活动中心（素龙分局）建筑面积837.33平方米、泗纶税务分局建筑面积</w:t>
      </w:r>
      <w:r>
        <w:rPr>
          <w:color w:val="auto"/>
          <w:sz w:val="24"/>
          <w:highlight w:val="none"/>
        </w:rPr>
        <w:t xml:space="preserve"> </w:t>
      </w:r>
      <w:r>
        <w:rPr>
          <w:rFonts w:hint="eastAsia"/>
          <w:color w:val="auto"/>
          <w:sz w:val="24"/>
          <w:highlight w:val="none"/>
        </w:rPr>
        <w:t>1,327.92</w:t>
      </w:r>
      <w:r>
        <w:rPr>
          <w:color w:val="auto"/>
          <w:sz w:val="24"/>
          <w:highlight w:val="none"/>
        </w:rPr>
        <w:t xml:space="preserve"> </w:t>
      </w:r>
      <w:r>
        <w:rPr>
          <w:rFonts w:hint="eastAsia"/>
          <w:color w:val="auto"/>
          <w:sz w:val="24"/>
          <w:highlight w:val="none"/>
        </w:rPr>
        <w:t>平方米、苹塘税务分局建筑面积约</w:t>
      </w:r>
      <w:r>
        <w:rPr>
          <w:color w:val="auto"/>
          <w:sz w:val="24"/>
          <w:highlight w:val="none"/>
        </w:rPr>
        <w:t xml:space="preserve"> </w:t>
      </w:r>
      <w:r>
        <w:rPr>
          <w:rFonts w:hint="eastAsia"/>
          <w:color w:val="auto"/>
          <w:sz w:val="24"/>
          <w:highlight w:val="none"/>
        </w:rPr>
        <w:t>4,284平方米、罗镜税务分局建筑面积1,924.88平方米、船步税务分局建筑面积</w:t>
      </w:r>
      <w:r>
        <w:rPr>
          <w:color w:val="auto"/>
          <w:sz w:val="24"/>
          <w:highlight w:val="none"/>
        </w:rPr>
        <w:t xml:space="preserve"> </w:t>
      </w:r>
      <w:r>
        <w:rPr>
          <w:rFonts w:hint="eastAsia"/>
          <w:color w:val="auto"/>
          <w:sz w:val="24"/>
          <w:highlight w:val="none"/>
        </w:rPr>
        <w:t>543.59</w:t>
      </w:r>
      <w:r>
        <w:rPr>
          <w:color w:val="auto"/>
          <w:sz w:val="24"/>
          <w:highlight w:val="none"/>
        </w:rPr>
        <w:t xml:space="preserve"> </w:t>
      </w:r>
      <w:r>
        <w:rPr>
          <w:rFonts w:hint="eastAsia"/>
          <w:color w:val="auto"/>
          <w:sz w:val="24"/>
          <w:highlight w:val="none"/>
        </w:rPr>
        <w:t xml:space="preserve">平方米。 </w:t>
      </w:r>
    </w:p>
    <w:p>
      <w:pPr>
        <w:spacing w:line="360" w:lineRule="auto"/>
        <w:ind w:firstLine="482" w:firstLineChars="200"/>
        <w:rPr>
          <w:b/>
          <w:color w:val="auto"/>
          <w:sz w:val="24"/>
          <w:highlight w:val="none"/>
        </w:rPr>
      </w:pPr>
      <w:r>
        <w:rPr>
          <w:rFonts w:hint="eastAsia"/>
          <w:b/>
          <w:color w:val="auto"/>
          <w:sz w:val="24"/>
          <w:highlight w:val="none"/>
        </w:rPr>
        <w:t>（二）物业管理及服务要求（总体要求）</w:t>
      </w:r>
    </w:p>
    <w:p>
      <w:pPr>
        <w:spacing w:line="360" w:lineRule="auto"/>
        <w:ind w:firstLine="480" w:firstLineChars="200"/>
        <w:rPr>
          <w:color w:val="auto"/>
          <w:sz w:val="24"/>
          <w:highlight w:val="none"/>
        </w:rPr>
      </w:pPr>
      <w:r>
        <w:rPr>
          <w:rFonts w:hint="eastAsia"/>
          <w:color w:val="auto"/>
          <w:sz w:val="24"/>
          <w:highlight w:val="none"/>
        </w:rPr>
        <w:t xml:space="preserve">1、国家税务总局罗定市税务局是政府机关对外服务窗口，对安全性、保密性、规范性方面对物业管理服务要求严格。 </w:t>
      </w:r>
    </w:p>
    <w:p>
      <w:pPr>
        <w:spacing w:line="360" w:lineRule="auto"/>
        <w:ind w:firstLine="480" w:firstLineChars="200"/>
        <w:rPr>
          <w:color w:val="auto"/>
          <w:sz w:val="24"/>
          <w:highlight w:val="none"/>
        </w:rPr>
      </w:pPr>
      <w:r>
        <w:rPr>
          <w:rFonts w:hint="eastAsia"/>
          <w:color w:val="auto"/>
          <w:sz w:val="24"/>
          <w:highlight w:val="none"/>
        </w:rPr>
        <w:t xml:space="preserve">2、本项目的物业管理服务要体现“安全、优质、高效、节约”。 </w:t>
      </w:r>
    </w:p>
    <w:p>
      <w:pPr>
        <w:spacing w:line="360" w:lineRule="auto"/>
        <w:ind w:firstLine="480" w:firstLineChars="200"/>
        <w:rPr>
          <w:color w:val="auto"/>
          <w:sz w:val="24"/>
          <w:highlight w:val="none"/>
        </w:rPr>
      </w:pPr>
      <w:r>
        <w:rPr>
          <w:rFonts w:hint="eastAsia"/>
          <w:color w:val="auto"/>
          <w:sz w:val="24"/>
          <w:highlight w:val="none"/>
        </w:rPr>
        <w:t>3、国家税务总局罗定市税务局办公室对中标人组建的物业管理机构进行业务归口管理。</w:t>
      </w:r>
    </w:p>
    <w:p>
      <w:pPr>
        <w:spacing w:line="360" w:lineRule="auto"/>
        <w:ind w:firstLine="480" w:firstLineChars="200"/>
        <w:rPr>
          <w:color w:val="auto"/>
          <w:sz w:val="24"/>
          <w:highlight w:val="none"/>
        </w:rPr>
      </w:pPr>
      <w:r>
        <w:rPr>
          <w:rFonts w:hint="eastAsia"/>
          <w:color w:val="auto"/>
          <w:sz w:val="24"/>
          <w:highlight w:val="none"/>
        </w:rPr>
        <w:t>4、中标人对本项目的物业管理方案、组织架构、人员录用、建立的各项规章制度，中标人在实施前要报采购人主管部门，优先使用原有人员。采购人主管部门有审核权和建议权。</w:t>
      </w:r>
    </w:p>
    <w:p>
      <w:pPr>
        <w:spacing w:line="360" w:lineRule="auto"/>
        <w:ind w:firstLine="480" w:firstLineChars="200"/>
        <w:rPr>
          <w:color w:val="auto"/>
          <w:sz w:val="24"/>
          <w:highlight w:val="none"/>
        </w:rPr>
      </w:pPr>
      <w:r>
        <w:rPr>
          <w:rFonts w:hint="eastAsia"/>
          <w:color w:val="auto"/>
          <w:sz w:val="24"/>
          <w:highlight w:val="none"/>
        </w:rPr>
        <w:t xml:space="preserve">5、在处理特殊事件和紧急、突发事故时，采购人主管部门对中标人派驻的管理服务人员有直接指挥权。 </w:t>
      </w:r>
    </w:p>
    <w:p>
      <w:pPr>
        <w:spacing w:line="360" w:lineRule="auto"/>
        <w:ind w:firstLine="480" w:firstLineChars="200"/>
        <w:rPr>
          <w:color w:val="auto"/>
          <w:sz w:val="24"/>
          <w:highlight w:val="none"/>
        </w:rPr>
      </w:pPr>
      <w:r>
        <w:rPr>
          <w:rFonts w:hint="eastAsia"/>
          <w:color w:val="auto"/>
          <w:sz w:val="24"/>
          <w:highlight w:val="none"/>
        </w:rPr>
        <w:t xml:space="preserve">6、中标人对所录用人员要严格政审，保证录用人员没有刑事犯罪记录，身体健康，有上岗资格证，并严格执行广东省职工最低工资标准的通知规定及属地政府部门有关职工劳动保障规定，为所有录用人员在罗定辖区依法购买社会养老、医疗、工伤、失业和生育保险，并按规定办理社会保障卡。 </w:t>
      </w:r>
    </w:p>
    <w:p>
      <w:pPr>
        <w:spacing w:line="360" w:lineRule="auto"/>
        <w:ind w:firstLine="480" w:firstLineChars="200"/>
        <w:rPr>
          <w:color w:val="auto"/>
          <w:sz w:val="24"/>
          <w:highlight w:val="none"/>
        </w:rPr>
      </w:pPr>
      <w:r>
        <w:rPr>
          <w:rFonts w:hint="eastAsia"/>
          <w:color w:val="auto"/>
          <w:sz w:val="24"/>
          <w:highlight w:val="none"/>
        </w:rPr>
        <w:t xml:space="preserve">7、中标人派驻现场的管理服务人员按岗位要求统一着装，言行规范，注意仪容仪表，公众形象。 </w:t>
      </w:r>
    </w:p>
    <w:p>
      <w:pPr>
        <w:spacing w:line="360" w:lineRule="auto"/>
        <w:ind w:firstLine="480" w:firstLineChars="200"/>
        <w:rPr>
          <w:color w:val="auto"/>
          <w:sz w:val="24"/>
          <w:highlight w:val="none"/>
        </w:rPr>
      </w:pPr>
      <w:r>
        <w:rPr>
          <w:rFonts w:hint="eastAsia"/>
          <w:color w:val="auto"/>
          <w:sz w:val="24"/>
          <w:highlight w:val="none"/>
        </w:rPr>
        <w:t>8、物业服务人员按采购人的要求，遵守各项保密制度。</w:t>
      </w:r>
    </w:p>
    <w:p>
      <w:pPr>
        <w:spacing w:line="360" w:lineRule="auto"/>
        <w:ind w:firstLine="480" w:firstLineChars="200"/>
        <w:rPr>
          <w:color w:val="auto"/>
          <w:sz w:val="24"/>
          <w:highlight w:val="none"/>
        </w:rPr>
      </w:pPr>
      <w:r>
        <w:rPr>
          <w:rFonts w:hint="eastAsia"/>
          <w:color w:val="auto"/>
          <w:sz w:val="24"/>
          <w:highlight w:val="none"/>
        </w:rPr>
        <w:t>9、中标人不得违反政府采购法等相关法律规定，不得整体分包本项，但对于采购人委托的对于部分具有国家强制性规定、经营范围未涉及的维保服务项目（包括但不限于高压维保、消防系统、电梯等维保项目），中标人无法独立完成的，由采购人委托具有相应资质的专业企业承担，但不免除中标人对该部分的物业管理的监管责任。</w:t>
      </w:r>
    </w:p>
    <w:p>
      <w:pPr>
        <w:spacing w:line="360" w:lineRule="auto"/>
        <w:ind w:firstLine="480" w:firstLineChars="200"/>
        <w:rPr>
          <w:color w:val="auto"/>
          <w:sz w:val="24"/>
          <w:highlight w:val="none"/>
        </w:rPr>
      </w:pPr>
      <w:r>
        <w:rPr>
          <w:rFonts w:hint="eastAsia"/>
          <w:color w:val="auto"/>
          <w:sz w:val="24"/>
          <w:highlight w:val="none"/>
        </w:rPr>
        <w:t xml:space="preserve">10、中标人在做好物业管理服务后勤保障工作的同时，有责任向采购人主管部门提出物业管理合理化建议，确保物业区域内办公环境安全有序，并不断提高管理效率和服务质量。 </w:t>
      </w:r>
    </w:p>
    <w:p>
      <w:pPr>
        <w:spacing w:line="360" w:lineRule="auto"/>
        <w:ind w:firstLine="480" w:firstLineChars="200"/>
        <w:rPr>
          <w:rFonts w:ascii="宋体" w:hAnsi="宋体" w:cs="宋体"/>
          <w:color w:val="auto"/>
          <w:sz w:val="24"/>
          <w:highlight w:val="none"/>
        </w:rPr>
      </w:pPr>
      <w:r>
        <w:rPr>
          <w:rFonts w:hint="eastAsia"/>
          <w:color w:val="auto"/>
          <w:sz w:val="24"/>
          <w:highlight w:val="none"/>
        </w:rPr>
        <w:t>11、</w:t>
      </w:r>
      <w:r>
        <w:rPr>
          <w:rFonts w:hint="eastAsia" w:ascii="宋体" w:hAnsi="宋体" w:cs="宋体"/>
          <w:color w:val="auto"/>
          <w:sz w:val="24"/>
          <w:highlight w:val="none"/>
        </w:rPr>
        <w:t>中标人负责按照合同约定时间，经国家税务总局罗定市税务局核准的发放标准向全体物业管理派遣人员按时发放工资和其他薪酬，非经国家税务总局罗定市税务局同意不得扣发物业管理人员工资和其他薪酬，不得缩减或变更物业管理人员社会保险缴付金额和险种。工资、其他薪酬及物业管理人员社会保险缴付比例和险种不得低于现有的标准。</w:t>
      </w:r>
    </w:p>
    <w:p>
      <w:pPr>
        <w:spacing w:line="360" w:lineRule="auto"/>
        <w:ind w:firstLine="480" w:firstLineChars="200"/>
        <w:rPr>
          <w:color w:val="auto"/>
          <w:sz w:val="24"/>
          <w:highlight w:val="none"/>
        </w:rPr>
      </w:pPr>
      <w:r>
        <w:rPr>
          <w:rFonts w:ascii="宋体" w:hAnsi="宋体" w:cs="宋体"/>
          <w:color w:val="auto"/>
          <w:sz w:val="24"/>
          <w:szCs w:val="24"/>
          <w:highlight w:val="none"/>
        </w:rPr>
        <w:t>12、★投标人必须承诺，严格遵守中华人民共和国相关法律法规，不得“围猎”税务人员，如有违反则承担相应的法律后。中标人的工作人员需遵守采购人有关规章制度和管理规定，中标人向采购人负有保密义务，不得泄露国家秘密、工作秘密和敏感信息，如有违反或损害采购人利益的，采购人有拒绝中标人的工作人员在此工作的权利，并有权要求中标人更换工作人员，中标人应当在2天内予以更换。中标人所负的保密义务不因本合同期限届满、解除或终止而无效。</w:t>
      </w:r>
    </w:p>
    <w:p>
      <w:pPr>
        <w:spacing w:line="360" w:lineRule="auto"/>
        <w:ind w:firstLine="241" w:firstLineChars="100"/>
        <w:rPr>
          <w:b/>
          <w:color w:val="auto"/>
          <w:sz w:val="24"/>
          <w:highlight w:val="none"/>
        </w:rPr>
      </w:pPr>
      <w:r>
        <w:rPr>
          <w:rFonts w:hint="eastAsia"/>
          <w:b/>
          <w:color w:val="auto"/>
          <w:sz w:val="24"/>
          <w:highlight w:val="none"/>
        </w:rPr>
        <w:t xml:space="preserve">（三）服务内容 </w:t>
      </w:r>
    </w:p>
    <w:p>
      <w:pPr>
        <w:spacing w:line="360" w:lineRule="auto"/>
        <w:ind w:firstLine="482" w:firstLineChars="200"/>
        <w:rPr>
          <w:b/>
          <w:color w:val="auto"/>
          <w:sz w:val="24"/>
          <w:highlight w:val="none"/>
        </w:rPr>
      </w:pPr>
      <w:r>
        <w:rPr>
          <w:rFonts w:hint="eastAsia"/>
          <w:b/>
          <w:color w:val="auto"/>
          <w:sz w:val="24"/>
          <w:highlight w:val="none"/>
        </w:rPr>
        <w:t xml:space="preserve">1、 公共秩序维护服务 </w:t>
      </w:r>
    </w:p>
    <w:p>
      <w:pPr>
        <w:spacing w:line="360" w:lineRule="auto"/>
        <w:ind w:firstLine="480" w:firstLineChars="200"/>
        <w:rPr>
          <w:color w:val="auto"/>
          <w:sz w:val="24"/>
          <w:highlight w:val="none"/>
        </w:rPr>
      </w:pPr>
      <w:r>
        <w:rPr>
          <w:rFonts w:hint="eastAsia"/>
          <w:color w:val="auto"/>
          <w:sz w:val="24"/>
          <w:highlight w:val="none"/>
        </w:rPr>
        <w:t>（1）负责物业服务范围内的安全保卫和维护秩序工作：包括安全监控、巡查、门岗执勤、社会治安等安全保卫，确保大楼内无被盗等治安案件的发生；无纵火、爆炸、投毒等恶性事（案）件发生；无消防责任事故发生。</w:t>
      </w:r>
    </w:p>
    <w:p>
      <w:pPr>
        <w:spacing w:line="360" w:lineRule="auto"/>
        <w:ind w:firstLine="480" w:firstLineChars="200"/>
        <w:rPr>
          <w:color w:val="auto"/>
          <w:sz w:val="24"/>
          <w:highlight w:val="none"/>
        </w:rPr>
      </w:pPr>
      <w:r>
        <w:rPr>
          <w:rFonts w:hint="eastAsia"/>
          <w:color w:val="auto"/>
          <w:sz w:val="24"/>
          <w:highlight w:val="none"/>
        </w:rPr>
        <w:t>（2）做好来访人员及进出大楼物品的询问、检查及登记工作，制定较为完善的安全保卫应急方案，确保对外服务大厅无群众混乱踩伤、跌倒、寻衅滋事、大声喧哗等情况发生。</w:t>
      </w:r>
    </w:p>
    <w:p>
      <w:pPr>
        <w:spacing w:line="360" w:lineRule="auto"/>
        <w:ind w:firstLine="480" w:firstLineChars="200"/>
        <w:rPr>
          <w:color w:val="auto"/>
          <w:sz w:val="24"/>
          <w:highlight w:val="none"/>
        </w:rPr>
      </w:pPr>
      <w:r>
        <w:rPr>
          <w:rFonts w:hint="eastAsia"/>
          <w:color w:val="auto"/>
          <w:sz w:val="24"/>
          <w:highlight w:val="none"/>
        </w:rPr>
        <w:t>（3）24小时对大楼外围治安情况实施监控，严禁在大楼门口通道上停放任何车辆、 外围张贴、摆卖或闲坐等。</w:t>
      </w:r>
    </w:p>
    <w:p>
      <w:pPr>
        <w:spacing w:line="360" w:lineRule="auto"/>
        <w:ind w:firstLine="480" w:firstLineChars="200"/>
        <w:rPr>
          <w:color w:val="auto"/>
          <w:sz w:val="24"/>
          <w:highlight w:val="none"/>
        </w:rPr>
      </w:pPr>
      <w:r>
        <w:rPr>
          <w:rFonts w:hint="eastAsia"/>
          <w:color w:val="auto"/>
          <w:sz w:val="24"/>
          <w:highlight w:val="none"/>
        </w:rPr>
        <w:t>（4）对携带大件物品进入大楼的外来人员，仔细询问其到达楼层并对所携带物品进行检查，对非接待受理时间来访或办事的群众进行指引、解释，并确保其不得进入办公大楼。</w:t>
      </w:r>
    </w:p>
    <w:p>
      <w:pPr>
        <w:spacing w:line="360" w:lineRule="auto"/>
        <w:ind w:firstLine="480" w:firstLineChars="200"/>
        <w:rPr>
          <w:color w:val="auto"/>
          <w:sz w:val="24"/>
          <w:highlight w:val="none"/>
        </w:rPr>
      </w:pPr>
      <w:r>
        <w:rPr>
          <w:rFonts w:hint="eastAsia"/>
          <w:color w:val="auto"/>
          <w:sz w:val="24"/>
          <w:highlight w:val="none"/>
        </w:rPr>
        <w:t>（5）</w:t>
      </w:r>
      <w:r>
        <w:rPr>
          <w:color w:val="auto"/>
          <w:sz w:val="24"/>
          <w:highlight w:val="none"/>
        </w:rPr>
        <w:t xml:space="preserve"> </w:t>
      </w:r>
      <w:r>
        <w:rPr>
          <w:rFonts w:hint="eastAsia"/>
          <w:color w:val="auto"/>
          <w:sz w:val="24"/>
          <w:highlight w:val="none"/>
        </w:rPr>
        <w:t>对外接待办公时间内，维持人流、车流有序进出，严防外来人员从非出入口进入大楼。负责伤残、高龄及行动不便人员直达注册受理大厅的引导和帮助服务工作。</w:t>
      </w:r>
    </w:p>
    <w:p>
      <w:pPr>
        <w:spacing w:line="360" w:lineRule="auto"/>
        <w:ind w:firstLine="480" w:firstLineChars="200"/>
        <w:rPr>
          <w:color w:val="auto"/>
          <w:sz w:val="24"/>
          <w:highlight w:val="none"/>
        </w:rPr>
      </w:pPr>
      <w:r>
        <w:rPr>
          <w:rFonts w:hint="eastAsia"/>
          <w:color w:val="auto"/>
          <w:sz w:val="24"/>
          <w:highlight w:val="none"/>
        </w:rPr>
        <w:t xml:space="preserve">（6）每天对大楼安全巡查，检查大楼内重点部位，下班后检查大楼内各楼层门窗、水电设备是否关闭，并做好检查记录。 </w:t>
      </w:r>
    </w:p>
    <w:p>
      <w:pPr>
        <w:spacing w:line="360" w:lineRule="auto"/>
        <w:ind w:firstLine="480" w:firstLineChars="200"/>
        <w:rPr>
          <w:color w:val="auto"/>
          <w:sz w:val="24"/>
          <w:highlight w:val="none"/>
        </w:rPr>
      </w:pPr>
      <w:r>
        <w:rPr>
          <w:rFonts w:hint="eastAsia"/>
          <w:color w:val="auto"/>
          <w:sz w:val="24"/>
          <w:highlight w:val="none"/>
        </w:rPr>
        <w:t>（7）熟练掌握运用视频监控系统，并懂得常规的维护保养，充分发挥本大楼的技防优势，24小时使用监控系统对大楼各楼层及重要科室进行监控及录像。</w:t>
      </w:r>
    </w:p>
    <w:p>
      <w:pPr>
        <w:spacing w:line="360" w:lineRule="auto"/>
        <w:ind w:firstLine="480" w:firstLineChars="200"/>
        <w:rPr>
          <w:color w:val="auto"/>
          <w:sz w:val="24"/>
          <w:highlight w:val="none"/>
        </w:rPr>
      </w:pPr>
      <w:r>
        <w:rPr>
          <w:rFonts w:hint="eastAsia"/>
          <w:color w:val="auto"/>
          <w:sz w:val="24"/>
          <w:highlight w:val="none"/>
        </w:rPr>
        <w:t>（8）协助采购人各类活动的开展及临时接待任务的安全保卫工作，随时提供人力支援。</w:t>
      </w:r>
    </w:p>
    <w:p>
      <w:pPr>
        <w:spacing w:line="360" w:lineRule="auto"/>
        <w:ind w:firstLine="480" w:firstLineChars="200"/>
        <w:rPr>
          <w:color w:val="auto"/>
          <w:sz w:val="24"/>
          <w:highlight w:val="none"/>
        </w:rPr>
      </w:pPr>
      <w:r>
        <w:rPr>
          <w:rFonts w:hint="eastAsia"/>
          <w:color w:val="auto"/>
          <w:sz w:val="24"/>
          <w:highlight w:val="none"/>
        </w:rPr>
        <w:t>（9）负责采购人公务车辆的停放秩序和安全，如遇突发情况要及时上报并做好检查记录。</w:t>
      </w:r>
    </w:p>
    <w:p>
      <w:pPr>
        <w:spacing w:line="360" w:lineRule="auto"/>
        <w:ind w:firstLine="480" w:firstLineChars="200"/>
        <w:rPr>
          <w:color w:val="auto"/>
          <w:sz w:val="24"/>
          <w:highlight w:val="none"/>
        </w:rPr>
      </w:pPr>
      <w:r>
        <w:rPr>
          <w:rFonts w:hint="eastAsia"/>
          <w:color w:val="auto"/>
          <w:sz w:val="24"/>
          <w:highlight w:val="none"/>
        </w:rPr>
        <w:t xml:space="preserve">（10）保证采购人公务车辆的安全停放、妥善保管，停车场内严禁停放外来车辆，如遇突发情况要及时上报、处理并做好检查记录。 </w:t>
      </w:r>
    </w:p>
    <w:p>
      <w:pPr>
        <w:spacing w:line="360" w:lineRule="auto"/>
        <w:ind w:firstLine="480" w:firstLineChars="200"/>
        <w:rPr>
          <w:color w:val="auto"/>
          <w:sz w:val="24"/>
          <w:highlight w:val="none"/>
        </w:rPr>
      </w:pPr>
      <w:r>
        <w:rPr>
          <w:rFonts w:hint="eastAsia"/>
          <w:color w:val="auto"/>
          <w:sz w:val="24"/>
          <w:highlight w:val="none"/>
        </w:rPr>
        <w:t>（11）办公大楼大门出入口设保安岗，夜晚增设流动巡逻岗，确保大门24小时有保安值班。对办公楼内或者大楼外红线范围内发生的侵犯采购人的工作人员事件或者出现扰乱采购人正常工作秩序情况时，保安人员应当予以制止和保护采购人的工作人员。</w:t>
      </w:r>
    </w:p>
    <w:p>
      <w:pPr>
        <w:spacing w:line="360" w:lineRule="auto"/>
        <w:ind w:firstLine="480" w:firstLineChars="200"/>
        <w:rPr>
          <w:color w:val="auto"/>
          <w:sz w:val="24"/>
          <w:highlight w:val="none"/>
        </w:rPr>
      </w:pPr>
      <w:r>
        <w:rPr>
          <w:rFonts w:hint="eastAsia"/>
          <w:color w:val="auto"/>
          <w:sz w:val="24"/>
          <w:highlight w:val="none"/>
        </w:rPr>
        <w:t>（12）负责服务范围内重大突发情况和事（案）件的报警和救助工作; 建立与社区居委、驻地派出所、周边相邻小区物业紧密联系的有效联防机制，形成点面结合、安全互动的安全防护网络。</w:t>
      </w:r>
    </w:p>
    <w:p>
      <w:pPr>
        <w:spacing w:line="360" w:lineRule="auto"/>
        <w:ind w:firstLine="480" w:firstLineChars="200"/>
        <w:rPr>
          <w:color w:val="auto"/>
          <w:sz w:val="24"/>
          <w:highlight w:val="none"/>
        </w:rPr>
      </w:pPr>
      <w:r>
        <w:rPr>
          <w:rFonts w:hint="eastAsia"/>
          <w:color w:val="auto"/>
          <w:sz w:val="24"/>
          <w:highlight w:val="none"/>
        </w:rPr>
        <w:t>（13）自开始保安服务之日起30日内向物业所在地设区的市级人民政府公安机关办理备案，并于停止保安服务之日起30日内到备案的公安机关撤销备案。</w:t>
      </w:r>
    </w:p>
    <w:p>
      <w:pPr>
        <w:spacing w:line="360" w:lineRule="auto"/>
        <w:ind w:firstLine="480" w:firstLineChars="200"/>
        <w:rPr>
          <w:color w:val="auto"/>
          <w:sz w:val="24"/>
          <w:highlight w:val="none"/>
        </w:rPr>
      </w:pPr>
      <w:r>
        <w:rPr>
          <w:rFonts w:hint="eastAsia"/>
          <w:color w:val="auto"/>
          <w:sz w:val="24"/>
          <w:highlight w:val="none"/>
        </w:rPr>
        <w:t>（14）中标人负责保安服务人员工作服、口罩等劳保用品。</w:t>
      </w:r>
    </w:p>
    <w:p>
      <w:pPr>
        <w:spacing w:line="360" w:lineRule="auto"/>
        <w:ind w:firstLine="482" w:firstLineChars="200"/>
        <w:rPr>
          <w:b/>
          <w:color w:val="auto"/>
          <w:sz w:val="24"/>
          <w:highlight w:val="none"/>
        </w:rPr>
      </w:pPr>
      <w:r>
        <w:rPr>
          <w:rFonts w:hint="eastAsia"/>
          <w:b/>
          <w:color w:val="auto"/>
          <w:sz w:val="24"/>
          <w:highlight w:val="none"/>
        </w:rPr>
        <w:t xml:space="preserve">2、消防管理服务 </w:t>
      </w:r>
    </w:p>
    <w:p>
      <w:pPr>
        <w:spacing w:line="360" w:lineRule="auto"/>
        <w:ind w:firstLine="360" w:firstLineChars="150"/>
        <w:rPr>
          <w:color w:val="auto"/>
          <w:sz w:val="24"/>
          <w:highlight w:val="none"/>
        </w:rPr>
      </w:pPr>
      <w:r>
        <w:rPr>
          <w:rFonts w:hint="eastAsia"/>
          <w:color w:val="auto"/>
          <w:sz w:val="24"/>
          <w:highlight w:val="none"/>
        </w:rPr>
        <w:t>（1）协助做好物业区域内的全部消防设施、设备的使用、管理、巡查及大楼火灾的报警和救助工作。</w:t>
      </w:r>
    </w:p>
    <w:p>
      <w:pPr>
        <w:spacing w:line="360" w:lineRule="auto"/>
        <w:ind w:firstLine="360" w:firstLineChars="150"/>
        <w:rPr>
          <w:color w:val="auto"/>
          <w:sz w:val="24"/>
          <w:highlight w:val="none"/>
        </w:rPr>
      </w:pPr>
      <w:r>
        <w:rPr>
          <w:rFonts w:hint="eastAsia"/>
          <w:color w:val="auto"/>
          <w:sz w:val="24"/>
          <w:highlight w:val="none"/>
        </w:rPr>
        <w:t xml:space="preserve">（2）按广东省公共建筑消防管理规定，对消防设备和设施定期和不定期进行全面检查，如发现消防设施设备存在故障要及时报采购人维修，确保消防设备和设施随时处于正常工作状态。中标人须按照采购人的要求监督配合并积极联系、协调大楼消防系统专业外包单位的各项维修保养工作。 </w:t>
      </w:r>
    </w:p>
    <w:p>
      <w:pPr>
        <w:spacing w:line="360" w:lineRule="auto"/>
        <w:ind w:firstLine="360" w:firstLineChars="150"/>
        <w:rPr>
          <w:color w:val="auto"/>
          <w:sz w:val="24"/>
          <w:highlight w:val="none"/>
        </w:rPr>
      </w:pPr>
      <w:r>
        <w:rPr>
          <w:rFonts w:hint="eastAsia"/>
          <w:color w:val="auto"/>
          <w:sz w:val="24"/>
          <w:highlight w:val="none"/>
        </w:rPr>
        <w:t>（3）协助做好其它防火灭火工作及消防配套设施的维护。</w:t>
      </w:r>
    </w:p>
    <w:p>
      <w:pPr>
        <w:spacing w:line="360" w:lineRule="auto"/>
        <w:ind w:firstLine="482" w:firstLineChars="200"/>
        <w:rPr>
          <w:b/>
          <w:color w:val="auto"/>
          <w:sz w:val="24"/>
          <w:highlight w:val="none"/>
        </w:rPr>
      </w:pPr>
      <w:r>
        <w:rPr>
          <w:rFonts w:hint="eastAsia"/>
          <w:b/>
          <w:color w:val="auto"/>
          <w:sz w:val="24"/>
          <w:highlight w:val="none"/>
        </w:rPr>
        <w:t xml:space="preserve"> 3、停车场管理服务</w:t>
      </w:r>
    </w:p>
    <w:p>
      <w:pPr>
        <w:spacing w:line="360" w:lineRule="auto"/>
        <w:ind w:firstLine="360" w:firstLineChars="150"/>
        <w:rPr>
          <w:color w:val="auto"/>
          <w:sz w:val="24"/>
          <w:highlight w:val="none"/>
        </w:rPr>
      </w:pPr>
      <w:r>
        <w:rPr>
          <w:rFonts w:hint="eastAsia"/>
          <w:color w:val="auto"/>
          <w:sz w:val="24"/>
          <w:highlight w:val="none"/>
        </w:rPr>
        <w:t>（1）全天24小时对停车场实施管理和服务，保证车辆停放安全，严格执行采购人停车场管理规定或临时特定要求;加强车场巡查，避免车辆乱停乱放乱占车位现象。</w:t>
      </w:r>
    </w:p>
    <w:p>
      <w:pPr>
        <w:spacing w:line="360" w:lineRule="auto"/>
        <w:ind w:firstLine="360" w:firstLineChars="150"/>
        <w:rPr>
          <w:color w:val="auto"/>
          <w:sz w:val="24"/>
          <w:highlight w:val="none"/>
        </w:rPr>
      </w:pPr>
      <w:r>
        <w:rPr>
          <w:rFonts w:hint="eastAsia"/>
          <w:color w:val="auto"/>
          <w:sz w:val="24"/>
          <w:highlight w:val="none"/>
        </w:rPr>
        <w:t xml:space="preserve">（2）负责重要接待及会议的车辆停放指挥、协调，必要时增加秩序维护人员加强地面车辆临时停放管理。 </w:t>
      </w:r>
    </w:p>
    <w:p>
      <w:pPr>
        <w:spacing w:line="360" w:lineRule="auto"/>
        <w:ind w:firstLine="360" w:firstLineChars="150"/>
        <w:rPr>
          <w:color w:val="auto"/>
          <w:sz w:val="24"/>
          <w:highlight w:val="none"/>
        </w:rPr>
      </w:pPr>
      <w:r>
        <w:rPr>
          <w:rFonts w:hint="eastAsia"/>
          <w:color w:val="auto"/>
          <w:sz w:val="24"/>
          <w:highlight w:val="none"/>
        </w:rPr>
        <w:t>（3）记录车辆的进出时间和车容车貌（完损程度）情况,熟知熟记内部车辆号码。采购人准许进入的临时外来车辆进场后，须跟车泊位，禁止无关外来车辆进入停车场。</w:t>
      </w:r>
    </w:p>
    <w:p>
      <w:pPr>
        <w:spacing w:line="360" w:lineRule="auto"/>
        <w:ind w:firstLine="360" w:firstLineChars="150"/>
        <w:rPr>
          <w:color w:val="auto"/>
          <w:sz w:val="24"/>
          <w:highlight w:val="none"/>
        </w:rPr>
      </w:pPr>
      <w:r>
        <w:rPr>
          <w:rFonts w:hint="eastAsia"/>
          <w:color w:val="auto"/>
          <w:sz w:val="24"/>
          <w:highlight w:val="none"/>
        </w:rPr>
        <w:t>（4）每2小时对车场、车辆巡视一次，检查车辆窗门是否关好，是否有漏油等情况并做好记录。</w:t>
      </w:r>
    </w:p>
    <w:p>
      <w:pPr>
        <w:spacing w:line="360" w:lineRule="auto"/>
        <w:ind w:firstLine="360" w:firstLineChars="150"/>
        <w:rPr>
          <w:color w:val="auto"/>
          <w:sz w:val="24"/>
          <w:highlight w:val="none"/>
        </w:rPr>
      </w:pPr>
      <w:r>
        <w:rPr>
          <w:rFonts w:hint="eastAsia"/>
          <w:color w:val="auto"/>
          <w:sz w:val="24"/>
          <w:highlight w:val="none"/>
        </w:rPr>
        <w:t>（5）对停车场和物业辖内发生的车辆事故及交通设施损坏应及时保护现场，妥善处理并报告协助采购人做好善后处理工作。</w:t>
      </w:r>
    </w:p>
    <w:p>
      <w:pPr>
        <w:spacing w:line="360" w:lineRule="auto"/>
        <w:ind w:firstLine="482" w:firstLineChars="200"/>
        <w:rPr>
          <w:b/>
          <w:color w:val="auto"/>
          <w:sz w:val="24"/>
          <w:highlight w:val="none"/>
        </w:rPr>
      </w:pPr>
      <w:r>
        <w:rPr>
          <w:rFonts w:hint="eastAsia"/>
          <w:b/>
          <w:color w:val="auto"/>
          <w:sz w:val="24"/>
          <w:highlight w:val="none"/>
        </w:rPr>
        <w:t xml:space="preserve"> 4、物业配套设施及机电设备的管理</w:t>
      </w:r>
    </w:p>
    <w:p>
      <w:pPr>
        <w:spacing w:line="360" w:lineRule="auto"/>
        <w:ind w:firstLine="360" w:firstLineChars="150"/>
        <w:rPr>
          <w:color w:val="auto"/>
          <w:sz w:val="24"/>
          <w:highlight w:val="none"/>
        </w:rPr>
      </w:pPr>
      <w:r>
        <w:rPr>
          <w:rFonts w:hint="eastAsia"/>
          <w:color w:val="auto"/>
          <w:sz w:val="24"/>
          <w:highlight w:val="none"/>
        </w:rPr>
        <w:t xml:space="preserve">（1）中标人要有熟练、专职、有上岗证及资格证的专业工程技术人员对物业各项设施、设备进行维修、养护。 </w:t>
      </w:r>
    </w:p>
    <w:p>
      <w:pPr>
        <w:spacing w:line="360" w:lineRule="auto"/>
        <w:ind w:firstLine="360" w:firstLineChars="150"/>
        <w:rPr>
          <w:color w:val="auto"/>
          <w:sz w:val="24"/>
          <w:highlight w:val="none"/>
        </w:rPr>
      </w:pPr>
      <w:r>
        <w:rPr>
          <w:rFonts w:hint="eastAsia"/>
          <w:color w:val="auto"/>
          <w:sz w:val="24"/>
          <w:highlight w:val="none"/>
        </w:rPr>
        <w:t>（2）采购人的设备设施已聘请专业公司承包维修、养护、服务工作的，中标人要制定措施指定专人做好与专业公司的协调工作，明确分工及责任。</w:t>
      </w:r>
    </w:p>
    <w:p>
      <w:pPr>
        <w:spacing w:line="360" w:lineRule="auto"/>
        <w:ind w:firstLine="360" w:firstLineChars="150"/>
        <w:rPr>
          <w:color w:val="auto"/>
          <w:sz w:val="24"/>
          <w:highlight w:val="none"/>
        </w:rPr>
      </w:pPr>
      <w:r>
        <w:rPr>
          <w:rFonts w:hint="eastAsia"/>
          <w:color w:val="auto"/>
          <w:sz w:val="24"/>
          <w:highlight w:val="none"/>
        </w:rPr>
        <w:t>（3）中标人对专业公司承包保养的设备设施服务项目，在日常使用和管理过程中要制定使用运行管理制度，定人、定时开、关设备并巡查，及时发现设备使用过程中的隐患并通知专业公司维修、保养，按时通知并督促专业公司提供优质的服务，杜绝安全事故发生。</w:t>
      </w:r>
    </w:p>
    <w:p>
      <w:pPr>
        <w:spacing w:line="360" w:lineRule="auto"/>
        <w:ind w:firstLine="360" w:firstLineChars="150"/>
        <w:rPr>
          <w:color w:val="auto"/>
          <w:sz w:val="24"/>
          <w:highlight w:val="none"/>
        </w:rPr>
      </w:pPr>
      <w:r>
        <w:rPr>
          <w:rFonts w:hint="eastAsia"/>
          <w:color w:val="auto"/>
          <w:sz w:val="24"/>
          <w:highlight w:val="none"/>
        </w:rPr>
        <w:t xml:space="preserve">（4）对消防设施、设备物业管理人员要做到人人懂消防知识，人人会基本操作，杜绝火灾事故。要做好巡查工作，制止破坏消防设施现象发生。 </w:t>
      </w:r>
    </w:p>
    <w:p>
      <w:pPr>
        <w:spacing w:line="360" w:lineRule="auto"/>
        <w:ind w:firstLine="240" w:firstLineChars="100"/>
        <w:rPr>
          <w:color w:val="auto"/>
          <w:sz w:val="24"/>
          <w:highlight w:val="none"/>
        </w:rPr>
      </w:pPr>
      <w:r>
        <w:rPr>
          <w:rFonts w:hint="eastAsia"/>
          <w:color w:val="auto"/>
          <w:sz w:val="24"/>
          <w:highlight w:val="none"/>
        </w:rPr>
        <w:t>（5）除专业公司承包、维修、养护的设施、设备外，其余物业设施、设备由中标人进行维护和管理，进行定期或临时的保养和维修，以确保各项设施的完好和正常使用。维修保养工作要建立制度，强调时效性，必须做到当日事当日清，对无法解决的事故或较大型的保养和维修，及时报采购人主管部门处理。</w:t>
      </w:r>
    </w:p>
    <w:p>
      <w:pPr>
        <w:spacing w:line="360" w:lineRule="auto"/>
        <w:ind w:firstLine="240" w:firstLineChars="100"/>
        <w:rPr>
          <w:color w:val="auto"/>
          <w:sz w:val="24"/>
          <w:highlight w:val="none"/>
        </w:rPr>
      </w:pPr>
      <w:r>
        <w:rPr>
          <w:rFonts w:hint="eastAsia"/>
          <w:color w:val="auto"/>
          <w:sz w:val="24"/>
          <w:highlight w:val="none"/>
        </w:rPr>
        <w:t>（6）中标人在维修保养项目中的维修、保养更新或使用中的消耗，报采购人主管部门审批后由采购人支付维修材料费用。</w:t>
      </w:r>
    </w:p>
    <w:p>
      <w:pPr>
        <w:spacing w:line="360" w:lineRule="auto"/>
        <w:ind w:firstLine="240" w:firstLineChars="100"/>
        <w:rPr>
          <w:color w:val="auto"/>
          <w:sz w:val="24"/>
          <w:highlight w:val="none"/>
        </w:rPr>
      </w:pPr>
      <w:r>
        <w:rPr>
          <w:rFonts w:hint="eastAsia"/>
          <w:color w:val="auto"/>
          <w:sz w:val="24"/>
          <w:highlight w:val="none"/>
        </w:rPr>
        <w:t>（7）协助采购人实施办公楼内土建修缮的一般性维修、装饰工程、设备的中修和大修、加装等工程的监督、监理、验收和施工安全监管工作，切实落实工程合同中各项要求。</w:t>
      </w:r>
    </w:p>
    <w:p>
      <w:pPr>
        <w:spacing w:line="360" w:lineRule="auto"/>
        <w:ind w:firstLine="240" w:firstLineChars="100"/>
        <w:rPr>
          <w:color w:val="auto"/>
          <w:sz w:val="24"/>
          <w:highlight w:val="none"/>
        </w:rPr>
      </w:pPr>
      <w:r>
        <w:rPr>
          <w:rFonts w:hint="eastAsia"/>
          <w:color w:val="auto"/>
          <w:sz w:val="24"/>
          <w:highlight w:val="none"/>
        </w:rPr>
        <w:t>（8）在满足采购人使用要求的前提下，合理控制机电设备和照明的开关时间，尽量节省能源。</w:t>
      </w:r>
    </w:p>
    <w:p>
      <w:pPr>
        <w:spacing w:line="360" w:lineRule="auto"/>
        <w:ind w:firstLine="240" w:firstLineChars="100"/>
        <w:rPr>
          <w:color w:val="auto"/>
          <w:sz w:val="24"/>
          <w:highlight w:val="none"/>
        </w:rPr>
      </w:pPr>
      <w:r>
        <w:rPr>
          <w:rFonts w:hint="eastAsia"/>
          <w:color w:val="auto"/>
          <w:sz w:val="24"/>
          <w:highlight w:val="none"/>
        </w:rPr>
        <w:t>（9）其它与物业设施、设备的使用、维护和管理有关的事项。</w:t>
      </w:r>
    </w:p>
    <w:p>
      <w:pPr>
        <w:spacing w:line="360" w:lineRule="auto"/>
        <w:ind w:firstLine="482" w:firstLineChars="200"/>
        <w:rPr>
          <w:b/>
          <w:color w:val="auto"/>
          <w:sz w:val="24"/>
          <w:highlight w:val="none"/>
        </w:rPr>
      </w:pPr>
      <w:r>
        <w:rPr>
          <w:rFonts w:hint="eastAsia"/>
          <w:b/>
          <w:color w:val="auto"/>
          <w:sz w:val="24"/>
          <w:highlight w:val="none"/>
        </w:rPr>
        <w:t>5、环境卫生保洁服务</w:t>
      </w:r>
    </w:p>
    <w:p>
      <w:pPr>
        <w:spacing w:line="360" w:lineRule="auto"/>
        <w:ind w:firstLine="360" w:firstLineChars="150"/>
        <w:rPr>
          <w:color w:val="auto"/>
          <w:sz w:val="24"/>
          <w:highlight w:val="none"/>
        </w:rPr>
      </w:pPr>
      <w:r>
        <w:rPr>
          <w:rFonts w:hint="eastAsia"/>
          <w:color w:val="auto"/>
          <w:sz w:val="24"/>
          <w:highlight w:val="none"/>
        </w:rPr>
        <w:t>（1）负责物业区域内日常卫生循环保洁工作；采购人临时要求的突击清洁任务，如清洁会场、大扫除、创卫网格化清洁等，招标人要随时响应。</w:t>
      </w:r>
    </w:p>
    <w:p>
      <w:pPr>
        <w:spacing w:line="360" w:lineRule="auto"/>
        <w:ind w:firstLine="360" w:firstLineChars="150"/>
        <w:rPr>
          <w:color w:val="auto"/>
          <w:sz w:val="24"/>
          <w:highlight w:val="none"/>
        </w:rPr>
      </w:pPr>
      <w:r>
        <w:rPr>
          <w:rFonts w:hint="eastAsia"/>
          <w:color w:val="auto"/>
          <w:sz w:val="24"/>
          <w:highlight w:val="none"/>
        </w:rPr>
        <w:t>（2）关键办公区域、指定办公室的清洁卫生由采购人安排专人跟进和监督质量。每天对大楼指定重点办公室、会议室保洁1次，并视具体情况随时进行保洁，每周对大楼一般工作人员办公室保洁1次，每季度对档案室保洁1次。</w:t>
      </w:r>
    </w:p>
    <w:p>
      <w:pPr>
        <w:spacing w:line="360" w:lineRule="auto"/>
        <w:ind w:firstLine="360" w:firstLineChars="150"/>
        <w:rPr>
          <w:color w:val="auto"/>
          <w:sz w:val="24"/>
          <w:highlight w:val="none"/>
        </w:rPr>
      </w:pPr>
      <w:r>
        <w:rPr>
          <w:rFonts w:hint="eastAsia"/>
          <w:color w:val="auto"/>
          <w:sz w:val="24"/>
          <w:highlight w:val="none"/>
        </w:rPr>
        <w:t xml:space="preserve">（3）中标人清洁时间应尽量避免打扰采购人的正常工作时间，对大堂、公共区域等每天采取循环保洁方式。 </w:t>
      </w:r>
    </w:p>
    <w:p>
      <w:pPr>
        <w:spacing w:line="360" w:lineRule="auto"/>
        <w:ind w:firstLine="360" w:firstLineChars="150"/>
        <w:rPr>
          <w:color w:val="auto"/>
          <w:sz w:val="24"/>
          <w:highlight w:val="none"/>
        </w:rPr>
      </w:pPr>
      <w:r>
        <w:rPr>
          <w:rFonts w:hint="eastAsia"/>
          <w:color w:val="auto"/>
          <w:sz w:val="24"/>
          <w:highlight w:val="none"/>
        </w:rPr>
        <w:t xml:space="preserve">（4）协助采购人做好专业单位灭四害消杀监管工作以及与辖内街道爱卫工作的商洽和落实，并按采购人要求做好爱卫工作有关资料的建档工作。 </w:t>
      </w:r>
    </w:p>
    <w:p>
      <w:pPr>
        <w:spacing w:line="360" w:lineRule="auto"/>
        <w:ind w:firstLine="360" w:firstLineChars="150"/>
        <w:rPr>
          <w:color w:val="auto"/>
          <w:sz w:val="24"/>
          <w:highlight w:val="none"/>
        </w:rPr>
      </w:pPr>
      <w:r>
        <w:rPr>
          <w:rFonts w:hint="eastAsia"/>
          <w:color w:val="auto"/>
          <w:sz w:val="24"/>
          <w:highlight w:val="none"/>
        </w:rPr>
        <w:t>（5）中标人负责保洁服务人员工作服、口罩等劳保用品；中标人自行采购日常使用的清洁洁具用品（掃把、地拖、清洁液、消毒液、垃圾袋等），确保满足采购人正常使用。</w:t>
      </w:r>
    </w:p>
    <w:p>
      <w:pPr>
        <w:spacing w:line="360" w:lineRule="auto"/>
        <w:ind w:firstLine="360" w:firstLineChars="150"/>
        <w:rPr>
          <w:color w:val="auto"/>
          <w:sz w:val="24"/>
          <w:highlight w:val="none"/>
        </w:rPr>
      </w:pPr>
      <w:r>
        <w:rPr>
          <w:rFonts w:hint="eastAsia"/>
          <w:color w:val="auto"/>
          <w:sz w:val="24"/>
          <w:highlight w:val="none"/>
        </w:rPr>
        <w:t>（6）协助采购人做好物业范围的生活垃圾分类收集和清运，做到垃圾日产日清。</w:t>
      </w:r>
    </w:p>
    <w:p>
      <w:pPr>
        <w:spacing w:line="360" w:lineRule="auto"/>
        <w:ind w:firstLine="482" w:firstLineChars="200"/>
        <w:rPr>
          <w:b/>
          <w:color w:val="auto"/>
          <w:sz w:val="24"/>
          <w:highlight w:val="none"/>
        </w:rPr>
      </w:pPr>
      <w:r>
        <w:rPr>
          <w:rFonts w:hint="eastAsia"/>
          <w:b/>
          <w:color w:val="auto"/>
          <w:sz w:val="24"/>
          <w:highlight w:val="none"/>
        </w:rPr>
        <w:t>6、绿化养护服务</w:t>
      </w:r>
    </w:p>
    <w:p>
      <w:pPr>
        <w:spacing w:line="360" w:lineRule="auto"/>
        <w:ind w:firstLine="480" w:firstLineChars="200"/>
        <w:rPr>
          <w:color w:val="auto"/>
          <w:sz w:val="24"/>
          <w:highlight w:val="none"/>
        </w:rPr>
      </w:pPr>
      <w:r>
        <w:rPr>
          <w:rFonts w:hint="eastAsia"/>
          <w:color w:val="auto"/>
          <w:sz w:val="24"/>
          <w:highlight w:val="none"/>
        </w:rPr>
        <w:t>（1）负责物业区域内园林的绿化养护工作；</w:t>
      </w:r>
    </w:p>
    <w:p>
      <w:pPr>
        <w:spacing w:line="360" w:lineRule="auto"/>
        <w:ind w:firstLine="480" w:firstLineChars="200"/>
        <w:rPr>
          <w:color w:val="auto"/>
          <w:sz w:val="24"/>
          <w:highlight w:val="none"/>
        </w:rPr>
      </w:pPr>
      <w:r>
        <w:rPr>
          <w:rFonts w:hint="eastAsia"/>
          <w:color w:val="auto"/>
          <w:sz w:val="24"/>
          <w:highlight w:val="none"/>
        </w:rPr>
        <w:t>（2）中标人管理及工作人员在采购人场所工作期间，应自觉遵守国家的法律法规以及采购人的规章制度，配合采购人管理人员的安排。</w:t>
      </w:r>
    </w:p>
    <w:p>
      <w:pPr>
        <w:spacing w:line="360" w:lineRule="auto"/>
        <w:ind w:firstLine="480" w:firstLineChars="200"/>
        <w:rPr>
          <w:color w:val="auto"/>
          <w:sz w:val="24"/>
          <w:highlight w:val="none"/>
        </w:rPr>
      </w:pPr>
      <w:r>
        <w:rPr>
          <w:rFonts w:hint="eastAsia"/>
          <w:color w:val="auto"/>
          <w:sz w:val="24"/>
          <w:highlight w:val="none"/>
        </w:rPr>
        <w:t>（3）中标人必须根据采购人要求按时、按质、按量地完成相关作业：中标人须每月对采购人办公场所（包括龙华西办公区）园林内的绿化进行一次修剪、施肥及喷虫工作；每两个月对采购人属下的税务分局办公场所园林内的绿化进行一次修剪、施肥及喷虫工作。中标人须保证园内树木树冠完整美观，无枯枝死杈；花坛花带拉轮廓清晰，整齐美观；草坪及地被植物无杂物。</w:t>
      </w:r>
    </w:p>
    <w:p>
      <w:pPr>
        <w:spacing w:line="360" w:lineRule="auto"/>
        <w:ind w:firstLine="482" w:firstLineChars="200"/>
        <w:rPr>
          <w:b/>
          <w:color w:val="auto"/>
          <w:sz w:val="24"/>
          <w:highlight w:val="none"/>
        </w:rPr>
      </w:pPr>
      <w:r>
        <w:rPr>
          <w:rFonts w:hint="eastAsia"/>
          <w:b/>
          <w:color w:val="auto"/>
          <w:sz w:val="24"/>
          <w:highlight w:val="none"/>
        </w:rPr>
        <w:t xml:space="preserve">7、接待咨询服务 </w:t>
      </w:r>
    </w:p>
    <w:p>
      <w:pPr>
        <w:spacing w:line="360" w:lineRule="auto"/>
        <w:ind w:firstLine="360" w:firstLineChars="150"/>
        <w:rPr>
          <w:color w:val="auto"/>
          <w:sz w:val="24"/>
          <w:highlight w:val="none"/>
        </w:rPr>
      </w:pPr>
      <w:r>
        <w:rPr>
          <w:rFonts w:hint="eastAsia"/>
          <w:color w:val="auto"/>
          <w:sz w:val="24"/>
          <w:highlight w:val="none"/>
        </w:rPr>
        <w:t>（1）负责来人、来电的接待咨询服务。</w:t>
      </w:r>
    </w:p>
    <w:p>
      <w:pPr>
        <w:spacing w:line="360" w:lineRule="auto"/>
        <w:ind w:firstLine="360" w:firstLineChars="150"/>
        <w:rPr>
          <w:color w:val="auto"/>
          <w:sz w:val="24"/>
          <w:highlight w:val="none"/>
        </w:rPr>
      </w:pPr>
      <w:r>
        <w:rPr>
          <w:rFonts w:hint="eastAsia"/>
          <w:color w:val="auto"/>
          <w:sz w:val="24"/>
          <w:highlight w:val="none"/>
        </w:rPr>
        <w:t>（2）熟悉物业范围内的各部门布局设置，熟记所有电话号码。</w:t>
      </w:r>
    </w:p>
    <w:p>
      <w:pPr>
        <w:spacing w:line="360" w:lineRule="auto"/>
        <w:ind w:firstLine="360" w:firstLineChars="150"/>
        <w:rPr>
          <w:color w:val="auto"/>
          <w:sz w:val="24"/>
          <w:highlight w:val="none"/>
        </w:rPr>
      </w:pPr>
      <w:r>
        <w:rPr>
          <w:rFonts w:hint="eastAsia"/>
          <w:color w:val="auto"/>
          <w:sz w:val="24"/>
          <w:highlight w:val="none"/>
        </w:rPr>
        <w:t xml:space="preserve">（3）值班人员要形象好，着装整齐，服务热情，文明礼貌，处事稳重机智，会熟练使用普通话和粤语。 </w:t>
      </w:r>
    </w:p>
    <w:p>
      <w:pPr>
        <w:spacing w:line="360" w:lineRule="auto"/>
        <w:ind w:firstLine="360" w:firstLineChars="150"/>
        <w:rPr>
          <w:color w:val="auto"/>
          <w:sz w:val="24"/>
          <w:highlight w:val="none"/>
        </w:rPr>
      </w:pPr>
      <w:r>
        <w:rPr>
          <w:rFonts w:hint="eastAsia"/>
          <w:color w:val="auto"/>
          <w:sz w:val="24"/>
          <w:highlight w:val="none"/>
        </w:rPr>
        <w:t>（4）遵守纪律，认真做好保密工作。</w:t>
      </w:r>
    </w:p>
    <w:p>
      <w:pPr>
        <w:spacing w:line="360" w:lineRule="auto"/>
        <w:ind w:firstLine="482" w:firstLineChars="200"/>
        <w:rPr>
          <w:b/>
          <w:color w:val="auto"/>
          <w:sz w:val="24"/>
          <w:highlight w:val="none"/>
        </w:rPr>
      </w:pPr>
      <w:r>
        <w:rPr>
          <w:rFonts w:hint="eastAsia"/>
          <w:b/>
          <w:color w:val="auto"/>
          <w:sz w:val="24"/>
          <w:highlight w:val="none"/>
        </w:rPr>
        <w:t xml:space="preserve">8、档案资料建立与管理 </w:t>
      </w:r>
    </w:p>
    <w:p>
      <w:pPr>
        <w:spacing w:line="360" w:lineRule="auto"/>
        <w:ind w:firstLine="360" w:firstLineChars="150"/>
        <w:rPr>
          <w:color w:val="auto"/>
          <w:sz w:val="24"/>
          <w:highlight w:val="none"/>
        </w:rPr>
      </w:pPr>
      <w:r>
        <w:rPr>
          <w:rFonts w:hint="eastAsia"/>
          <w:color w:val="auto"/>
          <w:sz w:val="24"/>
          <w:highlight w:val="none"/>
        </w:rPr>
        <w:t>（1）档案资料包括物业资料、工程资料、设备档案、设备运行维护保养资料、客户资料、管理服务资料的收集、编目、归档和管理。</w:t>
      </w:r>
    </w:p>
    <w:p>
      <w:pPr>
        <w:spacing w:line="360" w:lineRule="auto"/>
        <w:ind w:firstLine="360" w:firstLineChars="150"/>
        <w:rPr>
          <w:color w:val="auto"/>
          <w:sz w:val="24"/>
          <w:highlight w:val="none"/>
        </w:rPr>
      </w:pPr>
      <w:r>
        <w:rPr>
          <w:rFonts w:hint="eastAsia"/>
          <w:color w:val="auto"/>
          <w:sz w:val="24"/>
          <w:highlight w:val="none"/>
        </w:rPr>
        <w:t xml:space="preserve">（2）资料的收集坚持内容丰富实用性强的原则，根据实体资料和信息资料的内容，在实际工作中从需要出发， 扩大采购人管理资料的来源渠道。 </w:t>
      </w:r>
    </w:p>
    <w:p>
      <w:pPr>
        <w:spacing w:line="360" w:lineRule="auto"/>
        <w:ind w:firstLine="360" w:firstLineChars="150"/>
        <w:rPr>
          <w:color w:val="auto"/>
          <w:sz w:val="24"/>
          <w:highlight w:val="none"/>
        </w:rPr>
      </w:pPr>
      <w:r>
        <w:rPr>
          <w:rFonts w:hint="eastAsia"/>
          <w:color w:val="auto"/>
          <w:sz w:val="24"/>
          <w:highlight w:val="none"/>
        </w:rPr>
        <w:t>（3）资料归档管理按照资料本身的内在规律、联系进行科学地分类与保存。</w:t>
      </w:r>
    </w:p>
    <w:p>
      <w:pPr>
        <w:spacing w:line="360" w:lineRule="auto"/>
        <w:ind w:firstLine="482" w:firstLineChars="200"/>
        <w:rPr>
          <w:b/>
          <w:color w:val="auto"/>
          <w:sz w:val="24"/>
          <w:highlight w:val="none"/>
        </w:rPr>
      </w:pPr>
      <w:r>
        <w:rPr>
          <w:rFonts w:hint="eastAsia"/>
          <w:b/>
          <w:color w:val="auto"/>
          <w:sz w:val="24"/>
          <w:highlight w:val="none"/>
        </w:rPr>
        <w:t xml:space="preserve">9、接待及会务服务 </w:t>
      </w:r>
    </w:p>
    <w:p>
      <w:pPr>
        <w:spacing w:line="360" w:lineRule="auto"/>
        <w:ind w:firstLine="360" w:firstLineChars="150"/>
        <w:rPr>
          <w:color w:val="auto"/>
          <w:sz w:val="24"/>
          <w:highlight w:val="none"/>
        </w:rPr>
      </w:pPr>
      <w:r>
        <w:rPr>
          <w:rFonts w:hint="eastAsia"/>
          <w:color w:val="auto"/>
          <w:sz w:val="24"/>
          <w:highlight w:val="none"/>
        </w:rPr>
        <w:t xml:space="preserve">（1）服务内容包括来访接待、报刊信件收发、会议及餐饮接待服务等。 </w:t>
      </w:r>
    </w:p>
    <w:p>
      <w:pPr>
        <w:spacing w:line="360" w:lineRule="auto"/>
        <w:ind w:firstLine="360" w:firstLineChars="150"/>
        <w:rPr>
          <w:color w:val="auto"/>
          <w:sz w:val="24"/>
          <w:highlight w:val="none"/>
        </w:rPr>
      </w:pPr>
      <w:r>
        <w:rPr>
          <w:rFonts w:hint="eastAsia"/>
          <w:color w:val="auto"/>
          <w:sz w:val="24"/>
          <w:highlight w:val="none"/>
        </w:rPr>
        <w:t>（2）负责局机关、分局会场桌椅摆放布置、茶水供应、协助采购方做好迎宾签到，坐席安排，标牌摆放、会标悬挂，会中的保障、会前会后清洁等。</w:t>
      </w:r>
    </w:p>
    <w:p>
      <w:pPr>
        <w:spacing w:line="360" w:lineRule="auto"/>
        <w:ind w:firstLine="360" w:firstLineChars="150"/>
        <w:rPr>
          <w:color w:val="auto"/>
          <w:sz w:val="24"/>
          <w:highlight w:val="none"/>
        </w:rPr>
      </w:pPr>
      <w:r>
        <w:rPr>
          <w:rFonts w:hint="eastAsia"/>
          <w:color w:val="auto"/>
          <w:sz w:val="24"/>
          <w:highlight w:val="none"/>
        </w:rPr>
        <w:t>（3）根据采购人的要求，按会议不同规模、性质和与会人员不同，制定会务服务方案，协助采购人合理分配安排会议地点。</w:t>
      </w:r>
    </w:p>
    <w:p>
      <w:pPr>
        <w:spacing w:line="360" w:lineRule="auto"/>
        <w:ind w:firstLine="360" w:firstLineChars="150"/>
        <w:rPr>
          <w:color w:val="auto"/>
          <w:sz w:val="24"/>
          <w:highlight w:val="none"/>
        </w:rPr>
      </w:pPr>
      <w:r>
        <w:rPr>
          <w:rFonts w:hint="eastAsia"/>
          <w:color w:val="auto"/>
          <w:sz w:val="24"/>
          <w:highlight w:val="none"/>
        </w:rPr>
        <w:t>（4）要求工作人员仪态端庄，举止大方，服务热情，语言文明。</w:t>
      </w:r>
    </w:p>
    <w:p>
      <w:pPr>
        <w:spacing w:line="360" w:lineRule="auto"/>
        <w:ind w:firstLine="360" w:firstLineChars="150"/>
        <w:rPr>
          <w:color w:val="auto"/>
          <w:sz w:val="24"/>
          <w:highlight w:val="none"/>
        </w:rPr>
      </w:pPr>
      <w:r>
        <w:rPr>
          <w:rFonts w:hint="eastAsia"/>
          <w:color w:val="auto"/>
          <w:sz w:val="24"/>
          <w:highlight w:val="none"/>
        </w:rPr>
        <w:t xml:space="preserve">（5）重要场所、重要会议活动，工作人员要严格遵守保密法规，做到不该听的坚决不听，不该问的坚决不问，不该说的坚决不说，不该看的文件资料坚决不看。 </w:t>
      </w:r>
    </w:p>
    <w:p>
      <w:pPr>
        <w:spacing w:line="360" w:lineRule="auto"/>
        <w:ind w:firstLine="482" w:firstLineChars="200"/>
        <w:rPr>
          <w:b/>
          <w:color w:val="auto"/>
          <w:sz w:val="24"/>
          <w:highlight w:val="none"/>
        </w:rPr>
      </w:pPr>
      <w:r>
        <w:rPr>
          <w:rFonts w:hint="eastAsia"/>
          <w:b/>
          <w:color w:val="auto"/>
          <w:sz w:val="24"/>
          <w:highlight w:val="none"/>
        </w:rPr>
        <w:t xml:space="preserve">10、后勤服务 </w:t>
      </w:r>
    </w:p>
    <w:p>
      <w:pPr>
        <w:spacing w:line="360" w:lineRule="auto"/>
        <w:ind w:left="315" w:leftChars="150" w:firstLine="240" w:firstLineChars="100"/>
        <w:rPr>
          <w:color w:val="auto"/>
          <w:sz w:val="24"/>
          <w:highlight w:val="none"/>
        </w:rPr>
      </w:pPr>
      <w:r>
        <w:rPr>
          <w:rFonts w:hint="eastAsia"/>
          <w:color w:val="auto"/>
          <w:sz w:val="24"/>
          <w:highlight w:val="none"/>
        </w:rPr>
        <w:t>（1）后勤服务人员由中标人负责招聘和培训后才能上岗，所有人员均需有健康证，并按照有关规定进行体检，制定落实严格的食堂餐厅管理制度和卫生管理制度。</w:t>
      </w:r>
    </w:p>
    <w:p>
      <w:pPr>
        <w:spacing w:line="360" w:lineRule="auto"/>
        <w:ind w:left="315" w:leftChars="150" w:firstLine="240" w:firstLineChars="100"/>
        <w:jc w:val="left"/>
        <w:rPr>
          <w:color w:val="auto"/>
          <w:sz w:val="24"/>
          <w:highlight w:val="none"/>
        </w:rPr>
      </w:pPr>
      <w:r>
        <w:rPr>
          <w:rFonts w:hint="eastAsia"/>
          <w:color w:val="auto"/>
          <w:sz w:val="24"/>
          <w:highlight w:val="none"/>
        </w:rPr>
        <w:t>（2）采购人负责饭堂产生的食材、水电、卫生、厨具、器具、调料、易耗品、厨余垃圾清理等一切费用。</w:t>
      </w:r>
    </w:p>
    <w:p>
      <w:pPr>
        <w:spacing w:line="360" w:lineRule="auto"/>
        <w:ind w:left="315" w:leftChars="150" w:firstLine="240" w:firstLineChars="100"/>
        <w:jc w:val="left"/>
        <w:rPr>
          <w:color w:val="auto"/>
          <w:sz w:val="24"/>
          <w:highlight w:val="none"/>
        </w:rPr>
      </w:pPr>
      <w:r>
        <w:rPr>
          <w:rFonts w:hint="eastAsia"/>
          <w:color w:val="auto"/>
          <w:sz w:val="24"/>
          <w:highlight w:val="none"/>
        </w:rPr>
        <w:t>（3）中标人负责采购人派驻行政服务中心人员的送餐服务。</w:t>
      </w:r>
    </w:p>
    <w:p>
      <w:pPr>
        <w:spacing w:line="360" w:lineRule="auto"/>
        <w:ind w:left="315" w:leftChars="150" w:firstLine="240" w:firstLineChars="100"/>
        <w:jc w:val="left"/>
        <w:rPr>
          <w:color w:val="auto"/>
          <w:sz w:val="24"/>
          <w:highlight w:val="none"/>
        </w:rPr>
      </w:pPr>
      <w:r>
        <w:rPr>
          <w:rFonts w:hint="eastAsia"/>
          <w:color w:val="auto"/>
          <w:sz w:val="24"/>
          <w:highlight w:val="none"/>
        </w:rPr>
        <w:t xml:space="preserve">（4）中标人负责后勤人员工作服、工作鞋、口罩等劳保用品。 </w:t>
      </w:r>
    </w:p>
    <w:p>
      <w:pPr>
        <w:spacing w:line="360" w:lineRule="auto"/>
        <w:ind w:left="315" w:leftChars="150" w:firstLine="240" w:firstLineChars="100"/>
        <w:jc w:val="left"/>
        <w:rPr>
          <w:color w:val="auto"/>
          <w:sz w:val="24"/>
          <w:highlight w:val="none"/>
        </w:rPr>
      </w:pPr>
      <w:r>
        <w:rPr>
          <w:rFonts w:hint="eastAsia"/>
          <w:color w:val="auto"/>
          <w:sz w:val="24"/>
          <w:highlight w:val="none"/>
        </w:rPr>
        <w:t>（5）后勤管理中所涉及的设备设施使用、维护、管理过程中产生的费用由采购人负责支付。</w:t>
      </w:r>
    </w:p>
    <w:p>
      <w:pPr>
        <w:spacing w:line="360" w:lineRule="auto"/>
        <w:ind w:left="315" w:leftChars="150" w:firstLine="240" w:firstLineChars="100"/>
        <w:jc w:val="left"/>
        <w:rPr>
          <w:color w:val="auto"/>
          <w:sz w:val="24"/>
          <w:highlight w:val="none"/>
        </w:rPr>
      </w:pPr>
      <w:r>
        <w:rPr>
          <w:rFonts w:hint="eastAsia"/>
          <w:color w:val="auto"/>
          <w:sz w:val="24"/>
          <w:highlight w:val="none"/>
        </w:rPr>
        <w:t>（6）如遇临时停水、停电时，需有应急处理方案，应采取及时、有效的措施，确保正常服务。</w:t>
      </w:r>
    </w:p>
    <w:p>
      <w:pPr>
        <w:spacing w:line="360" w:lineRule="auto"/>
        <w:ind w:firstLine="482" w:firstLineChars="200"/>
        <w:rPr>
          <w:b/>
          <w:color w:val="auto"/>
          <w:sz w:val="24"/>
          <w:highlight w:val="none"/>
        </w:rPr>
      </w:pPr>
      <w:r>
        <w:rPr>
          <w:rFonts w:hint="eastAsia"/>
          <w:b/>
          <w:color w:val="auto"/>
          <w:sz w:val="24"/>
          <w:highlight w:val="none"/>
        </w:rPr>
        <w:t xml:space="preserve">11、其他服务 </w:t>
      </w:r>
    </w:p>
    <w:p>
      <w:pPr>
        <w:spacing w:line="360" w:lineRule="auto"/>
        <w:ind w:firstLine="648" w:firstLineChars="270"/>
        <w:rPr>
          <w:color w:val="auto"/>
          <w:sz w:val="24"/>
          <w:highlight w:val="none"/>
        </w:rPr>
      </w:pPr>
      <w:r>
        <w:rPr>
          <w:rFonts w:hint="eastAsia"/>
          <w:color w:val="auto"/>
          <w:sz w:val="24"/>
          <w:highlight w:val="none"/>
        </w:rPr>
        <w:t>（1）按采购人要求做好物业范围内防范各类传染病（非典及类似疫情）的各项防疫及应急工作。</w:t>
      </w:r>
    </w:p>
    <w:p>
      <w:pPr>
        <w:spacing w:line="360" w:lineRule="auto"/>
        <w:ind w:left="315" w:leftChars="150" w:firstLine="288" w:firstLineChars="120"/>
        <w:rPr>
          <w:color w:val="auto"/>
          <w:sz w:val="24"/>
          <w:highlight w:val="none"/>
        </w:rPr>
      </w:pPr>
      <w:r>
        <w:rPr>
          <w:rFonts w:hint="eastAsia"/>
          <w:color w:val="auto"/>
          <w:sz w:val="24"/>
          <w:highlight w:val="none"/>
        </w:rPr>
        <w:t>（2）负责物业范围内防范自然灾害（台风、洪水）等及应急工作。</w:t>
      </w:r>
    </w:p>
    <w:p>
      <w:pPr>
        <w:spacing w:line="360" w:lineRule="auto"/>
        <w:ind w:left="315" w:leftChars="150" w:firstLine="288" w:firstLineChars="120"/>
        <w:rPr>
          <w:color w:val="auto"/>
          <w:sz w:val="24"/>
          <w:highlight w:val="none"/>
        </w:rPr>
      </w:pPr>
      <w:r>
        <w:rPr>
          <w:rFonts w:hint="eastAsia"/>
          <w:color w:val="auto"/>
          <w:sz w:val="24"/>
          <w:highlight w:val="none"/>
        </w:rPr>
        <w:t>（3）根据采购人的要求和指引，协助完成进出物业范围内零星物品的搬卸任务。</w:t>
      </w:r>
    </w:p>
    <w:p>
      <w:pPr>
        <w:spacing w:line="360" w:lineRule="auto"/>
        <w:ind w:left="315" w:leftChars="150" w:firstLine="288" w:firstLineChars="120"/>
        <w:rPr>
          <w:color w:val="auto"/>
          <w:sz w:val="24"/>
          <w:highlight w:val="none"/>
        </w:rPr>
      </w:pPr>
      <w:r>
        <w:rPr>
          <w:rFonts w:hint="eastAsia"/>
          <w:color w:val="auto"/>
          <w:sz w:val="24"/>
          <w:highlight w:val="none"/>
        </w:rPr>
        <w:t>（4）协助采购人做好大楼二次装修、改造期间外单位施工现场的监管工作。</w:t>
      </w:r>
    </w:p>
    <w:p>
      <w:pPr>
        <w:spacing w:line="360" w:lineRule="auto"/>
        <w:ind w:left="315" w:leftChars="150" w:firstLine="288" w:firstLineChars="120"/>
        <w:rPr>
          <w:color w:val="auto"/>
          <w:sz w:val="24"/>
          <w:highlight w:val="none"/>
        </w:rPr>
      </w:pPr>
      <w:r>
        <w:rPr>
          <w:rFonts w:hint="eastAsia"/>
          <w:color w:val="auto"/>
          <w:sz w:val="24"/>
          <w:highlight w:val="none"/>
        </w:rPr>
        <w:t xml:space="preserve">（5）自合同签订之日起，根据采购人的要求，中标人需提前一周派驻相关管理人员和技术人员，协助采购人跟踪和熟悉物业工程进展情况和各种设备的现状，掌握各种设备和管理要求和操作要求；掌握相关技术资料，协助做好各种设备和工程的验收和接管交接工作。 </w:t>
      </w:r>
    </w:p>
    <w:p>
      <w:pPr>
        <w:spacing w:line="360" w:lineRule="auto"/>
        <w:ind w:left="315" w:leftChars="150" w:firstLine="480" w:firstLineChars="200"/>
        <w:rPr>
          <w:color w:val="auto"/>
          <w:sz w:val="24"/>
          <w:highlight w:val="none"/>
        </w:rPr>
      </w:pPr>
      <w:r>
        <w:rPr>
          <w:rFonts w:hint="eastAsia"/>
          <w:color w:val="auto"/>
          <w:sz w:val="24"/>
          <w:highlight w:val="none"/>
        </w:rPr>
        <w:t xml:space="preserve">（6）协助采购人做好与上述服务内容相关的其他工作。 </w:t>
      </w:r>
    </w:p>
    <w:p>
      <w:pPr>
        <w:spacing w:line="360" w:lineRule="auto"/>
        <w:ind w:firstLine="482" w:firstLineChars="200"/>
        <w:rPr>
          <w:b/>
          <w:color w:val="auto"/>
          <w:sz w:val="24"/>
          <w:highlight w:val="none"/>
        </w:rPr>
      </w:pPr>
      <w:r>
        <w:rPr>
          <w:rFonts w:hint="eastAsia"/>
          <w:b/>
          <w:color w:val="auto"/>
          <w:sz w:val="24"/>
          <w:highlight w:val="none"/>
        </w:rPr>
        <w:t>（四）管理服务质量要求</w:t>
      </w:r>
    </w:p>
    <w:p>
      <w:pPr>
        <w:spacing w:line="360" w:lineRule="auto"/>
        <w:ind w:firstLine="480" w:firstLineChars="200"/>
        <w:rPr>
          <w:color w:val="auto"/>
          <w:sz w:val="24"/>
          <w:highlight w:val="none"/>
        </w:rPr>
      </w:pPr>
      <w:r>
        <w:rPr>
          <w:rFonts w:hint="eastAsia"/>
          <w:color w:val="auto"/>
          <w:sz w:val="24"/>
          <w:highlight w:val="none"/>
        </w:rPr>
        <w:t>1、中标人必须严格执行《广东省物业管理示范大厦标准》，认真履行《物业管理服务合同》的各项约定，不断提升管理水平和服务质量，并达到以下重点事项的管理标准和服务要求。</w:t>
      </w:r>
    </w:p>
    <w:p>
      <w:pPr>
        <w:spacing w:line="360" w:lineRule="auto"/>
        <w:ind w:firstLine="480" w:firstLineChars="200"/>
        <w:rPr>
          <w:color w:val="auto"/>
          <w:sz w:val="24"/>
          <w:highlight w:val="none"/>
        </w:rPr>
      </w:pPr>
      <w:r>
        <w:rPr>
          <w:rFonts w:hint="eastAsia"/>
          <w:color w:val="auto"/>
          <w:sz w:val="24"/>
          <w:highlight w:val="none"/>
        </w:rPr>
        <w:t xml:space="preserve">2、管理服务范围内无因中标人管理不当而发生重大刑事案件和重大交通及重大火灾等安全事故。 </w:t>
      </w:r>
    </w:p>
    <w:p>
      <w:pPr>
        <w:spacing w:line="360" w:lineRule="auto"/>
        <w:ind w:firstLine="480" w:firstLineChars="200"/>
        <w:rPr>
          <w:color w:val="auto"/>
          <w:sz w:val="24"/>
          <w:highlight w:val="none"/>
        </w:rPr>
      </w:pPr>
      <w:r>
        <w:rPr>
          <w:rFonts w:hint="eastAsia"/>
          <w:color w:val="auto"/>
          <w:sz w:val="24"/>
          <w:highlight w:val="none"/>
        </w:rPr>
        <w:t>3、各项设施设备的维修保养工作，必须按采购人要求的时限，高效、保质、保量完成。</w:t>
      </w:r>
    </w:p>
    <w:p>
      <w:pPr>
        <w:spacing w:line="360" w:lineRule="auto"/>
        <w:ind w:firstLine="480" w:firstLineChars="200"/>
        <w:rPr>
          <w:color w:val="auto"/>
          <w:sz w:val="24"/>
          <w:highlight w:val="none"/>
        </w:rPr>
      </w:pPr>
      <w:r>
        <w:rPr>
          <w:rFonts w:hint="eastAsia"/>
          <w:color w:val="auto"/>
          <w:sz w:val="24"/>
          <w:highlight w:val="none"/>
        </w:rPr>
        <w:t>4、除因基建质量、设备质量在保养期内等特殊原因外，房屋及配套设施、设备完好率达100%；零星维修、急修(1小时内完成)及时率达100%(网络等专业设施除外)。</w:t>
      </w:r>
    </w:p>
    <w:p>
      <w:pPr>
        <w:spacing w:line="360" w:lineRule="auto"/>
        <w:ind w:firstLine="480" w:firstLineChars="200"/>
        <w:rPr>
          <w:color w:val="auto"/>
          <w:sz w:val="24"/>
          <w:highlight w:val="none"/>
        </w:rPr>
      </w:pPr>
      <w:r>
        <w:rPr>
          <w:rFonts w:hint="eastAsia"/>
          <w:color w:val="auto"/>
          <w:sz w:val="24"/>
          <w:highlight w:val="none"/>
        </w:rPr>
        <w:t>5、管理范围内照明、排水管、明暗沟、停车场、道路完好率100%。</w:t>
      </w:r>
    </w:p>
    <w:p>
      <w:pPr>
        <w:spacing w:line="360" w:lineRule="auto"/>
        <w:ind w:firstLine="480" w:firstLineChars="200"/>
        <w:rPr>
          <w:color w:val="auto"/>
          <w:sz w:val="24"/>
          <w:highlight w:val="none"/>
        </w:rPr>
      </w:pPr>
      <w:r>
        <w:rPr>
          <w:rFonts w:hint="eastAsia"/>
          <w:color w:val="auto"/>
          <w:sz w:val="24"/>
          <w:highlight w:val="none"/>
        </w:rPr>
        <w:t>6、实行动态保洁，卫生清洁保洁率100%。</w:t>
      </w:r>
    </w:p>
    <w:p>
      <w:pPr>
        <w:spacing w:line="360" w:lineRule="auto"/>
        <w:ind w:firstLine="480" w:firstLineChars="200"/>
        <w:rPr>
          <w:color w:val="auto"/>
          <w:sz w:val="24"/>
          <w:highlight w:val="none"/>
        </w:rPr>
      </w:pPr>
      <w:r>
        <w:rPr>
          <w:rFonts w:hint="eastAsia"/>
          <w:color w:val="auto"/>
          <w:sz w:val="24"/>
          <w:highlight w:val="none"/>
        </w:rPr>
        <w:t>6、物业管理服务投诉处理率100%。</w:t>
      </w:r>
    </w:p>
    <w:p>
      <w:pPr>
        <w:spacing w:line="360" w:lineRule="auto"/>
        <w:ind w:firstLine="480" w:firstLineChars="200"/>
        <w:rPr>
          <w:color w:val="auto"/>
          <w:sz w:val="24"/>
          <w:highlight w:val="none"/>
        </w:rPr>
      </w:pPr>
      <w:r>
        <w:rPr>
          <w:rFonts w:hint="eastAsia"/>
          <w:color w:val="auto"/>
          <w:sz w:val="24"/>
          <w:highlight w:val="none"/>
        </w:rPr>
        <w:t>7、中标人一切管理服务工作的实施，必须以服从于采购人的工作需要为前提，以方便采购人为原则。维修保养等工作通常情况下尽可能在采购人工作时间以外进行。</w:t>
      </w:r>
    </w:p>
    <w:p>
      <w:pPr>
        <w:spacing w:line="360" w:lineRule="auto"/>
        <w:ind w:firstLine="480" w:firstLineChars="200"/>
        <w:rPr>
          <w:color w:val="auto"/>
          <w:sz w:val="24"/>
          <w:highlight w:val="none"/>
        </w:rPr>
      </w:pPr>
      <w:r>
        <w:rPr>
          <w:rFonts w:hint="eastAsia"/>
          <w:color w:val="auto"/>
          <w:sz w:val="24"/>
          <w:highlight w:val="none"/>
        </w:rPr>
        <w:t xml:space="preserve">8、根据有关规定和采购人需求，拟定详细的管理服务细则或拟定详细的管理服务实施方案，且经采购人认可后方能实施。 </w:t>
      </w:r>
    </w:p>
    <w:p>
      <w:pPr>
        <w:spacing w:line="360" w:lineRule="auto"/>
        <w:ind w:firstLine="480" w:firstLineChars="200"/>
        <w:rPr>
          <w:color w:val="auto"/>
          <w:sz w:val="24"/>
          <w:highlight w:val="none"/>
        </w:rPr>
      </w:pPr>
      <w:r>
        <w:rPr>
          <w:rFonts w:hint="eastAsia"/>
          <w:color w:val="auto"/>
          <w:sz w:val="24"/>
          <w:highlight w:val="none"/>
        </w:rPr>
        <w:t>9、根据有关规定和采购人需求，拟定详细的管理服务细则或拟定详细的管理服务实施方案，且经采购人认可后方能实施。</w:t>
      </w:r>
    </w:p>
    <w:p>
      <w:pPr>
        <w:spacing w:line="360" w:lineRule="auto"/>
        <w:ind w:firstLine="360" w:firstLineChars="150"/>
        <w:rPr>
          <w:color w:val="auto"/>
          <w:sz w:val="24"/>
          <w:highlight w:val="none"/>
        </w:rPr>
      </w:pPr>
      <w:r>
        <w:rPr>
          <w:rFonts w:hint="eastAsia"/>
          <w:color w:val="auto"/>
          <w:sz w:val="24"/>
          <w:highlight w:val="none"/>
        </w:rPr>
        <w:t>（五）人员配置及其它要求</w:t>
      </w:r>
    </w:p>
    <w:p>
      <w:pPr>
        <w:spacing w:line="360" w:lineRule="auto"/>
        <w:ind w:firstLine="480" w:firstLineChars="200"/>
        <w:rPr>
          <w:color w:val="auto"/>
          <w:sz w:val="24"/>
          <w:highlight w:val="none"/>
        </w:rPr>
      </w:pPr>
      <w:r>
        <w:rPr>
          <w:rFonts w:hint="eastAsia"/>
          <w:color w:val="auto"/>
          <w:sz w:val="24"/>
          <w:highlight w:val="none"/>
        </w:rPr>
        <w:t>1、</w:t>
      </w:r>
      <w:r>
        <w:rPr>
          <w:rFonts w:hint="eastAsia" w:ascii="宋体" w:hAnsi="宋体"/>
          <w:color w:val="auto"/>
          <w:sz w:val="24"/>
          <w:highlight w:val="none"/>
        </w:rPr>
        <w:t>★</w:t>
      </w:r>
      <w:r>
        <w:rPr>
          <w:rFonts w:hint="eastAsia"/>
          <w:color w:val="auto"/>
          <w:sz w:val="24"/>
          <w:highlight w:val="none"/>
        </w:rPr>
        <w:t>中标人须设立完整的本项目物业管理服务组织机构，组织机构配备总人数必须不少于47人。</w:t>
      </w:r>
    </w:p>
    <w:p>
      <w:pPr>
        <w:spacing w:line="360" w:lineRule="auto"/>
        <w:ind w:firstLine="480" w:firstLineChars="200"/>
        <w:rPr>
          <w:color w:val="auto"/>
          <w:sz w:val="24"/>
          <w:highlight w:val="none"/>
        </w:rPr>
      </w:pPr>
      <w:r>
        <w:rPr>
          <w:rFonts w:hint="eastAsia"/>
          <w:color w:val="auto"/>
          <w:sz w:val="24"/>
          <w:highlight w:val="none"/>
        </w:rPr>
        <w:t>人员详细配置如下：</w:t>
      </w:r>
    </w:p>
    <w:tbl>
      <w:tblPr>
        <w:tblStyle w:val="64"/>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418"/>
        <w:gridCol w:w="850"/>
        <w:gridCol w:w="6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pPr>
              <w:widowControl/>
              <w:adjustRightInd w:val="0"/>
              <w:snapToGrid w:val="0"/>
              <w:spacing w:beforeLines="10" w:afterLines="10"/>
              <w:jc w:val="center"/>
              <w:rPr>
                <w:color w:val="auto"/>
                <w:sz w:val="24"/>
                <w:highlight w:val="none"/>
              </w:rPr>
            </w:pPr>
            <w:r>
              <w:rPr>
                <w:rFonts w:hint="eastAsia"/>
                <w:color w:val="auto"/>
                <w:sz w:val="24"/>
                <w:highlight w:val="none"/>
              </w:rPr>
              <w:t>序 号</w:t>
            </w:r>
          </w:p>
        </w:tc>
        <w:tc>
          <w:tcPr>
            <w:tcW w:w="1418" w:type="dxa"/>
            <w:vAlign w:val="center"/>
          </w:tcPr>
          <w:p>
            <w:pPr>
              <w:widowControl/>
              <w:adjustRightInd w:val="0"/>
              <w:snapToGrid w:val="0"/>
              <w:spacing w:beforeLines="10" w:afterLines="10"/>
              <w:jc w:val="center"/>
              <w:rPr>
                <w:color w:val="auto"/>
                <w:sz w:val="24"/>
                <w:highlight w:val="none"/>
              </w:rPr>
            </w:pPr>
            <w:r>
              <w:rPr>
                <w:rFonts w:hint="eastAsia"/>
                <w:color w:val="auto"/>
                <w:sz w:val="24"/>
                <w:highlight w:val="none"/>
              </w:rPr>
              <w:t>项目配置</w:t>
            </w:r>
          </w:p>
        </w:tc>
        <w:tc>
          <w:tcPr>
            <w:tcW w:w="850" w:type="dxa"/>
            <w:vAlign w:val="center"/>
          </w:tcPr>
          <w:p>
            <w:pPr>
              <w:widowControl/>
              <w:adjustRightInd w:val="0"/>
              <w:snapToGrid w:val="0"/>
              <w:spacing w:beforeLines="10" w:afterLines="10"/>
              <w:jc w:val="center"/>
              <w:rPr>
                <w:color w:val="auto"/>
                <w:sz w:val="24"/>
                <w:highlight w:val="none"/>
              </w:rPr>
            </w:pPr>
            <w:r>
              <w:rPr>
                <w:rFonts w:hint="eastAsia"/>
                <w:color w:val="auto"/>
                <w:sz w:val="24"/>
                <w:highlight w:val="none"/>
              </w:rPr>
              <w:t>人 数</w:t>
            </w:r>
          </w:p>
        </w:tc>
        <w:tc>
          <w:tcPr>
            <w:tcW w:w="6636" w:type="dxa"/>
            <w:vAlign w:val="center"/>
          </w:tcPr>
          <w:p>
            <w:pPr>
              <w:widowControl/>
              <w:adjustRightInd w:val="0"/>
              <w:snapToGrid w:val="0"/>
              <w:spacing w:beforeLines="10" w:afterLines="10"/>
              <w:jc w:val="center"/>
              <w:rPr>
                <w:color w:val="auto"/>
                <w:sz w:val="24"/>
                <w:highlight w:val="none"/>
              </w:rPr>
            </w:pPr>
            <w:r>
              <w:rPr>
                <w:rFonts w:hint="eastAsia"/>
                <w:color w:val="auto"/>
                <w:sz w:val="24"/>
                <w:highlight w:val="none"/>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pPr>
              <w:widowControl/>
              <w:adjustRightInd w:val="0"/>
              <w:snapToGrid w:val="0"/>
              <w:spacing w:beforeLines="10" w:afterLines="10"/>
              <w:jc w:val="center"/>
              <w:rPr>
                <w:color w:val="auto"/>
                <w:sz w:val="24"/>
                <w:highlight w:val="none"/>
              </w:rPr>
            </w:pPr>
            <w:r>
              <w:rPr>
                <w:rFonts w:hint="eastAsia"/>
                <w:color w:val="auto"/>
                <w:sz w:val="24"/>
                <w:highlight w:val="none"/>
              </w:rPr>
              <w:t>1</w:t>
            </w:r>
          </w:p>
        </w:tc>
        <w:tc>
          <w:tcPr>
            <w:tcW w:w="1418" w:type="dxa"/>
            <w:vAlign w:val="center"/>
          </w:tcPr>
          <w:p>
            <w:pPr>
              <w:widowControl/>
              <w:adjustRightInd w:val="0"/>
              <w:snapToGrid w:val="0"/>
              <w:spacing w:beforeLines="10" w:afterLines="10"/>
              <w:jc w:val="center"/>
              <w:rPr>
                <w:color w:val="auto"/>
                <w:sz w:val="24"/>
                <w:highlight w:val="none"/>
              </w:rPr>
            </w:pPr>
            <w:r>
              <w:rPr>
                <w:rFonts w:hint="eastAsia"/>
                <w:color w:val="auto"/>
                <w:sz w:val="24"/>
                <w:highlight w:val="none"/>
              </w:rPr>
              <w:t>项目经理</w:t>
            </w:r>
          </w:p>
        </w:tc>
        <w:tc>
          <w:tcPr>
            <w:tcW w:w="850" w:type="dxa"/>
            <w:vAlign w:val="center"/>
          </w:tcPr>
          <w:p>
            <w:pPr>
              <w:widowControl/>
              <w:adjustRightInd w:val="0"/>
              <w:snapToGrid w:val="0"/>
              <w:spacing w:beforeLines="10" w:afterLines="10"/>
              <w:jc w:val="center"/>
              <w:rPr>
                <w:color w:val="auto"/>
                <w:sz w:val="24"/>
                <w:highlight w:val="none"/>
              </w:rPr>
            </w:pPr>
            <w:r>
              <w:rPr>
                <w:rFonts w:hint="eastAsia"/>
                <w:color w:val="auto"/>
                <w:sz w:val="24"/>
                <w:highlight w:val="none"/>
              </w:rPr>
              <w:t>1人</w:t>
            </w:r>
          </w:p>
        </w:tc>
        <w:tc>
          <w:tcPr>
            <w:tcW w:w="6636" w:type="dxa"/>
            <w:vAlign w:val="center"/>
          </w:tcPr>
          <w:p>
            <w:pPr>
              <w:adjustRightInd w:val="0"/>
              <w:snapToGrid w:val="0"/>
              <w:spacing w:beforeLines="10" w:afterLines="10"/>
              <w:rPr>
                <w:color w:val="auto"/>
                <w:sz w:val="24"/>
                <w:highlight w:val="none"/>
              </w:rPr>
            </w:pPr>
            <w:r>
              <w:rPr>
                <w:rFonts w:hint="eastAsia"/>
                <w:color w:val="auto"/>
                <w:sz w:val="24"/>
                <w:highlight w:val="none"/>
              </w:rPr>
              <w:t xml:space="preserve">男女、身高不限，年龄要求25周岁50周岁之间，思想品德好，工作责任心强；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pPr>
              <w:widowControl/>
              <w:adjustRightInd w:val="0"/>
              <w:snapToGrid w:val="0"/>
              <w:spacing w:beforeLines="10" w:afterLines="10"/>
              <w:jc w:val="center"/>
              <w:rPr>
                <w:color w:val="auto"/>
                <w:sz w:val="24"/>
                <w:highlight w:val="none"/>
              </w:rPr>
            </w:pPr>
            <w:r>
              <w:rPr>
                <w:rFonts w:hint="eastAsia"/>
                <w:color w:val="auto"/>
                <w:sz w:val="24"/>
                <w:highlight w:val="none"/>
              </w:rPr>
              <w:t>2</w:t>
            </w:r>
          </w:p>
        </w:tc>
        <w:tc>
          <w:tcPr>
            <w:tcW w:w="1418" w:type="dxa"/>
            <w:vAlign w:val="center"/>
          </w:tcPr>
          <w:p>
            <w:pPr>
              <w:widowControl/>
              <w:adjustRightInd w:val="0"/>
              <w:snapToGrid w:val="0"/>
              <w:spacing w:beforeLines="10" w:afterLines="10"/>
              <w:jc w:val="center"/>
              <w:rPr>
                <w:color w:val="auto"/>
                <w:sz w:val="24"/>
                <w:highlight w:val="none"/>
              </w:rPr>
            </w:pPr>
            <w:r>
              <w:rPr>
                <w:rFonts w:hint="eastAsia"/>
                <w:color w:val="auto"/>
                <w:sz w:val="24"/>
                <w:highlight w:val="none"/>
              </w:rPr>
              <w:t>会务人员</w:t>
            </w:r>
          </w:p>
        </w:tc>
        <w:tc>
          <w:tcPr>
            <w:tcW w:w="850" w:type="dxa"/>
            <w:vAlign w:val="center"/>
          </w:tcPr>
          <w:p>
            <w:pPr>
              <w:widowControl/>
              <w:adjustRightInd w:val="0"/>
              <w:snapToGrid w:val="0"/>
              <w:spacing w:beforeLines="10" w:afterLines="10"/>
              <w:jc w:val="center"/>
              <w:rPr>
                <w:color w:val="auto"/>
                <w:sz w:val="24"/>
                <w:highlight w:val="none"/>
              </w:rPr>
            </w:pPr>
            <w:r>
              <w:rPr>
                <w:rFonts w:hint="eastAsia"/>
                <w:color w:val="auto"/>
                <w:sz w:val="24"/>
                <w:highlight w:val="none"/>
              </w:rPr>
              <w:t>2人</w:t>
            </w:r>
          </w:p>
        </w:tc>
        <w:tc>
          <w:tcPr>
            <w:tcW w:w="6636" w:type="dxa"/>
            <w:vAlign w:val="center"/>
          </w:tcPr>
          <w:p>
            <w:pPr>
              <w:adjustRightInd w:val="0"/>
              <w:snapToGrid w:val="0"/>
              <w:spacing w:beforeLines="10" w:afterLines="10"/>
              <w:rPr>
                <w:color w:val="auto"/>
                <w:sz w:val="24"/>
                <w:highlight w:val="none"/>
              </w:rPr>
            </w:pPr>
            <w:r>
              <w:rPr>
                <w:rFonts w:hint="eastAsia"/>
                <w:color w:val="auto"/>
                <w:sz w:val="24"/>
                <w:highlight w:val="none"/>
              </w:rPr>
              <w:t xml:space="preserve">1、中专或以上学历，女性，年龄要求在18周岁-50岁之间，五官端正，身体健康； </w:t>
            </w:r>
          </w:p>
          <w:p>
            <w:pPr>
              <w:adjustRightInd w:val="0"/>
              <w:snapToGrid w:val="0"/>
              <w:spacing w:beforeLines="10" w:afterLines="10"/>
              <w:rPr>
                <w:color w:val="auto"/>
                <w:sz w:val="24"/>
                <w:highlight w:val="none"/>
              </w:rPr>
            </w:pPr>
            <w:r>
              <w:rPr>
                <w:rFonts w:hint="eastAsia"/>
                <w:color w:val="auto"/>
                <w:sz w:val="24"/>
                <w:highlight w:val="none"/>
              </w:rPr>
              <w:t xml:space="preserve">2、能流利使用粤语及普通话。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pPr>
              <w:widowControl/>
              <w:adjustRightInd w:val="0"/>
              <w:snapToGrid w:val="0"/>
              <w:spacing w:beforeLines="10" w:afterLines="10"/>
              <w:jc w:val="center"/>
              <w:rPr>
                <w:color w:val="auto"/>
                <w:sz w:val="24"/>
                <w:highlight w:val="none"/>
              </w:rPr>
            </w:pPr>
            <w:r>
              <w:rPr>
                <w:rFonts w:hint="eastAsia"/>
                <w:color w:val="auto"/>
                <w:sz w:val="24"/>
                <w:highlight w:val="none"/>
              </w:rPr>
              <w:t>3</w:t>
            </w:r>
          </w:p>
        </w:tc>
        <w:tc>
          <w:tcPr>
            <w:tcW w:w="1418" w:type="dxa"/>
            <w:vAlign w:val="center"/>
          </w:tcPr>
          <w:p>
            <w:pPr>
              <w:widowControl/>
              <w:adjustRightInd w:val="0"/>
              <w:snapToGrid w:val="0"/>
              <w:spacing w:beforeLines="10" w:afterLines="10"/>
              <w:jc w:val="center"/>
              <w:rPr>
                <w:color w:val="auto"/>
                <w:sz w:val="24"/>
                <w:highlight w:val="none"/>
              </w:rPr>
            </w:pPr>
            <w:r>
              <w:rPr>
                <w:rFonts w:hint="eastAsia"/>
                <w:color w:val="auto"/>
                <w:sz w:val="24"/>
                <w:highlight w:val="none"/>
              </w:rPr>
              <w:t>水电工</w:t>
            </w:r>
          </w:p>
        </w:tc>
        <w:tc>
          <w:tcPr>
            <w:tcW w:w="850" w:type="dxa"/>
            <w:vAlign w:val="center"/>
          </w:tcPr>
          <w:p>
            <w:pPr>
              <w:widowControl/>
              <w:adjustRightInd w:val="0"/>
              <w:snapToGrid w:val="0"/>
              <w:spacing w:beforeLines="10" w:afterLines="10"/>
              <w:jc w:val="center"/>
              <w:rPr>
                <w:color w:val="auto"/>
                <w:sz w:val="24"/>
                <w:highlight w:val="none"/>
              </w:rPr>
            </w:pPr>
            <w:r>
              <w:rPr>
                <w:rFonts w:hint="eastAsia"/>
                <w:color w:val="auto"/>
                <w:sz w:val="24"/>
                <w:highlight w:val="none"/>
              </w:rPr>
              <w:t>1人</w:t>
            </w:r>
          </w:p>
        </w:tc>
        <w:tc>
          <w:tcPr>
            <w:tcW w:w="6636" w:type="dxa"/>
            <w:vAlign w:val="center"/>
          </w:tcPr>
          <w:p>
            <w:pPr>
              <w:adjustRightInd w:val="0"/>
              <w:snapToGrid w:val="0"/>
              <w:spacing w:beforeLines="10" w:afterLines="10"/>
              <w:rPr>
                <w:color w:val="auto"/>
                <w:sz w:val="24"/>
                <w:highlight w:val="none"/>
              </w:rPr>
            </w:pPr>
            <w:r>
              <w:rPr>
                <w:rFonts w:hint="eastAsia"/>
                <w:color w:val="auto"/>
                <w:sz w:val="24"/>
                <w:highlight w:val="none"/>
              </w:rPr>
              <w:t>1、工程人员要求中专或以上学历，具有3年以上工作经验，持有相关工作资格证书；</w:t>
            </w:r>
          </w:p>
          <w:p>
            <w:pPr>
              <w:adjustRightInd w:val="0"/>
              <w:snapToGrid w:val="0"/>
              <w:spacing w:beforeLines="10" w:afterLines="10"/>
              <w:rPr>
                <w:color w:val="auto"/>
                <w:sz w:val="24"/>
                <w:highlight w:val="none"/>
              </w:rPr>
            </w:pPr>
            <w:r>
              <w:rPr>
                <w:rFonts w:hint="eastAsia"/>
                <w:color w:val="auto"/>
                <w:sz w:val="24"/>
                <w:highlight w:val="none"/>
              </w:rPr>
              <w:t xml:space="preserve">2、男性，身高不限，年龄要求23周岁-60周岁之间，身体健康。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pPr>
              <w:widowControl/>
              <w:adjustRightInd w:val="0"/>
              <w:snapToGrid w:val="0"/>
              <w:spacing w:beforeLines="10" w:afterLines="10"/>
              <w:jc w:val="center"/>
              <w:rPr>
                <w:color w:val="auto"/>
                <w:sz w:val="24"/>
                <w:highlight w:val="none"/>
              </w:rPr>
            </w:pPr>
            <w:r>
              <w:rPr>
                <w:rFonts w:hint="eastAsia"/>
                <w:color w:val="auto"/>
                <w:sz w:val="24"/>
                <w:highlight w:val="none"/>
              </w:rPr>
              <w:t>4</w:t>
            </w:r>
          </w:p>
        </w:tc>
        <w:tc>
          <w:tcPr>
            <w:tcW w:w="1418" w:type="dxa"/>
            <w:vAlign w:val="center"/>
          </w:tcPr>
          <w:p>
            <w:pPr>
              <w:widowControl/>
              <w:adjustRightInd w:val="0"/>
              <w:snapToGrid w:val="0"/>
              <w:spacing w:beforeLines="10" w:afterLines="10"/>
              <w:jc w:val="center"/>
              <w:rPr>
                <w:color w:val="auto"/>
                <w:sz w:val="24"/>
                <w:highlight w:val="none"/>
              </w:rPr>
            </w:pPr>
            <w:r>
              <w:rPr>
                <w:rFonts w:hint="eastAsia"/>
                <w:color w:val="auto"/>
                <w:sz w:val="24"/>
                <w:highlight w:val="none"/>
              </w:rPr>
              <w:t>安保人员</w:t>
            </w:r>
          </w:p>
        </w:tc>
        <w:tc>
          <w:tcPr>
            <w:tcW w:w="850" w:type="dxa"/>
            <w:vAlign w:val="center"/>
          </w:tcPr>
          <w:p>
            <w:pPr>
              <w:widowControl/>
              <w:adjustRightInd w:val="0"/>
              <w:snapToGrid w:val="0"/>
              <w:spacing w:beforeLines="10" w:afterLines="10"/>
              <w:jc w:val="center"/>
              <w:rPr>
                <w:color w:val="auto"/>
                <w:sz w:val="24"/>
                <w:highlight w:val="none"/>
              </w:rPr>
            </w:pPr>
            <w:r>
              <w:rPr>
                <w:rFonts w:hint="eastAsia"/>
                <w:color w:val="auto"/>
                <w:sz w:val="24"/>
                <w:highlight w:val="none"/>
              </w:rPr>
              <w:t>12人</w:t>
            </w:r>
          </w:p>
        </w:tc>
        <w:tc>
          <w:tcPr>
            <w:tcW w:w="6636" w:type="dxa"/>
            <w:vAlign w:val="center"/>
          </w:tcPr>
          <w:p>
            <w:pPr>
              <w:adjustRightInd w:val="0"/>
              <w:snapToGrid w:val="0"/>
              <w:spacing w:beforeLines="10" w:afterLines="10"/>
              <w:rPr>
                <w:color w:val="auto"/>
                <w:sz w:val="24"/>
                <w:highlight w:val="none"/>
              </w:rPr>
            </w:pPr>
            <w:r>
              <w:rPr>
                <w:rFonts w:hint="eastAsia"/>
                <w:color w:val="auto"/>
                <w:sz w:val="24"/>
                <w:highlight w:val="none"/>
              </w:rPr>
              <w:t xml:space="preserve">1、男性保安员年龄一般应在60周岁以下，身高1.65米或以上；女性保安员年龄一般应在55周岁以下，身高1.58米或以上； </w:t>
            </w:r>
          </w:p>
          <w:p>
            <w:pPr>
              <w:adjustRightInd w:val="0"/>
              <w:snapToGrid w:val="0"/>
              <w:spacing w:beforeLines="10" w:afterLines="10"/>
              <w:rPr>
                <w:color w:val="auto"/>
                <w:sz w:val="24"/>
                <w:highlight w:val="none"/>
              </w:rPr>
            </w:pPr>
            <w:r>
              <w:rPr>
                <w:rFonts w:hint="eastAsia"/>
                <w:color w:val="auto"/>
                <w:sz w:val="24"/>
                <w:highlight w:val="none"/>
              </w:rPr>
              <w:t xml:space="preserve">2、以上人员要求初中及以上文化，需持有公安机关核发的保安员上岗证； </w:t>
            </w:r>
          </w:p>
          <w:p>
            <w:pPr>
              <w:adjustRightInd w:val="0"/>
              <w:snapToGrid w:val="0"/>
              <w:spacing w:beforeLines="10" w:afterLines="10"/>
              <w:rPr>
                <w:color w:val="auto"/>
                <w:sz w:val="24"/>
                <w:highlight w:val="none"/>
              </w:rPr>
            </w:pPr>
            <w:r>
              <w:rPr>
                <w:rFonts w:hint="eastAsia"/>
                <w:color w:val="auto"/>
                <w:sz w:val="24"/>
                <w:highlight w:val="none"/>
              </w:rPr>
              <w:t>3、要求安保队长1人，局机关办公楼6人，龙华西办公区4人；老干</w:t>
            </w:r>
            <w:r>
              <w:rPr>
                <w:rFonts w:hint="eastAsia"/>
                <w:color w:val="auto"/>
                <w:sz w:val="24"/>
                <w:highlight w:val="none"/>
                <w:lang w:eastAsia="zh-CN"/>
              </w:rPr>
              <w:t>部</w:t>
            </w:r>
            <w:r>
              <w:rPr>
                <w:rFonts w:hint="eastAsia"/>
                <w:color w:val="auto"/>
                <w:sz w:val="24"/>
                <w:highlight w:val="none"/>
              </w:rPr>
              <w:t>活动中心（素龙分局）1人；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pPr>
              <w:widowControl/>
              <w:adjustRightInd w:val="0"/>
              <w:snapToGrid w:val="0"/>
              <w:spacing w:beforeLines="10" w:afterLines="10"/>
              <w:jc w:val="center"/>
              <w:rPr>
                <w:color w:val="auto"/>
                <w:sz w:val="24"/>
                <w:highlight w:val="none"/>
              </w:rPr>
            </w:pPr>
            <w:r>
              <w:rPr>
                <w:rFonts w:hint="eastAsia"/>
                <w:color w:val="auto"/>
                <w:sz w:val="24"/>
                <w:highlight w:val="none"/>
              </w:rPr>
              <w:t>6</w:t>
            </w:r>
          </w:p>
        </w:tc>
        <w:tc>
          <w:tcPr>
            <w:tcW w:w="1418" w:type="dxa"/>
            <w:vAlign w:val="center"/>
          </w:tcPr>
          <w:p>
            <w:pPr>
              <w:widowControl/>
              <w:adjustRightInd w:val="0"/>
              <w:snapToGrid w:val="0"/>
              <w:spacing w:beforeLines="10" w:afterLines="10"/>
              <w:jc w:val="center"/>
              <w:rPr>
                <w:color w:val="auto"/>
                <w:sz w:val="24"/>
                <w:highlight w:val="none"/>
              </w:rPr>
            </w:pPr>
            <w:r>
              <w:rPr>
                <w:rFonts w:hint="eastAsia"/>
                <w:color w:val="auto"/>
                <w:sz w:val="24"/>
                <w:highlight w:val="none"/>
              </w:rPr>
              <w:t>清洁人员</w:t>
            </w:r>
          </w:p>
        </w:tc>
        <w:tc>
          <w:tcPr>
            <w:tcW w:w="850" w:type="dxa"/>
            <w:vAlign w:val="center"/>
          </w:tcPr>
          <w:p>
            <w:pPr>
              <w:widowControl/>
              <w:adjustRightInd w:val="0"/>
              <w:snapToGrid w:val="0"/>
              <w:spacing w:beforeLines="10" w:afterLines="10"/>
              <w:jc w:val="center"/>
              <w:rPr>
                <w:color w:val="auto"/>
                <w:sz w:val="24"/>
                <w:highlight w:val="none"/>
              </w:rPr>
            </w:pPr>
            <w:r>
              <w:rPr>
                <w:rFonts w:hint="eastAsia"/>
                <w:color w:val="auto"/>
                <w:sz w:val="24"/>
                <w:highlight w:val="none"/>
              </w:rPr>
              <w:t>15人</w:t>
            </w:r>
          </w:p>
        </w:tc>
        <w:tc>
          <w:tcPr>
            <w:tcW w:w="6636" w:type="dxa"/>
            <w:vAlign w:val="center"/>
          </w:tcPr>
          <w:p>
            <w:pPr>
              <w:adjustRightInd w:val="0"/>
              <w:snapToGrid w:val="0"/>
              <w:spacing w:beforeLines="10" w:afterLines="10"/>
              <w:rPr>
                <w:color w:val="auto"/>
                <w:sz w:val="24"/>
                <w:highlight w:val="none"/>
              </w:rPr>
            </w:pPr>
            <w:r>
              <w:rPr>
                <w:rFonts w:hint="eastAsia"/>
                <w:color w:val="auto"/>
                <w:sz w:val="24"/>
                <w:highlight w:val="none"/>
              </w:rPr>
              <w:t xml:space="preserve">1、清洁人员熟悉地毯、木质地板、石材清洁工作； </w:t>
            </w:r>
          </w:p>
          <w:p>
            <w:pPr>
              <w:adjustRightInd w:val="0"/>
              <w:snapToGrid w:val="0"/>
              <w:spacing w:beforeLines="10" w:afterLines="10"/>
              <w:rPr>
                <w:color w:val="auto"/>
                <w:sz w:val="24"/>
                <w:highlight w:val="none"/>
              </w:rPr>
            </w:pPr>
            <w:r>
              <w:rPr>
                <w:rFonts w:hint="eastAsia"/>
                <w:color w:val="auto"/>
                <w:sz w:val="24"/>
                <w:highlight w:val="none"/>
              </w:rPr>
              <w:t xml:space="preserve">2、年龄要求：女性18-50周岁之间，男性18-60周岁之间； </w:t>
            </w:r>
          </w:p>
          <w:p>
            <w:pPr>
              <w:adjustRightInd w:val="0"/>
              <w:snapToGrid w:val="0"/>
              <w:spacing w:beforeLines="10" w:afterLines="10"/>
              <w:rPr>
                <w:color w:val="auto"/>
                <w:sz w:val="24"/>
                <w:highlight w:val="none"/>
              </w:rPr>
            </w:pPr>
            <w:r>
              <w:rPr>
                <w:rFonts w:hint="eastAsia"/>
                <w:color w:val="auto"/>
                <w:sz w:val="24"/>
                <w:highlight w:val="none"/>
              </w:rPr>
              <w:t>3、要求局机关办公楼6人，龙华西办公区4人；</w:t>
            </w:r>
            <w:r>
              <w:rPr>
                <w:color w:val="auto"/>
                <w:sz w:val="24"/>
                <w:highlight w:val="none"/>
              </w:rPr>
              <w:t xml:space="preserve"> </w:t>
            </w:r>
            <w:r>
              <w:rPr>
                <w:rFonts w:hint="eastAsia"/>
                <w:color w:val="auto"/>
                <w:sz w:val="24"/>
                <w:highlight w:val="none"/>
              </w:rPr>
              <w:t>素龙税务分局1人；苹塘税务分局1人；罗镜税务分局1人；船步税务分局1人；泗纶税务分局1人。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pPr>
              <w:widowControl/>
              <w:adjustRightInd w:val="0"/>
              <w:snapToGrid w:val="0"/>
              <w:spacing w:beforeLines="10" w:afterLines="10"/>
              <w:jc w:val="center"/>
              <w:rPr>
                <w:color w:val="auto"/>
                <w:sz w:val="24"/>
                <w:highlight w:val="none"/>
              </w:rPr>
            </w:pPr>
            <w:r>
              <w:rPr>
                <w:rFonts w:hint="eastAsia"/>
                <w:color w:val="auto"/>
                <w:sz w:val="24"/>
                <w:highlight w:val="none"/>
              </w:rPr>
              <w:t>7</w:t>
            </w:r>
          </w:p>
        </w:tc>
        <w:tc>
          <w:tcPr>
            <w:tcW w:w="1418" w:type="dxa"/>
            <w:vAlign w:val="center"/>
          </w:tcPr>
          <w:p>
            <w:pPr>
              <w:widowControl/>
              <w:adjustRightInd w:val="0"/>
              <w:snapToGrid w:val="0"/>
              <w:spacing w:beforeLines="10" w:afterLines="10"/>
              <w:jc w:val="center"/>
              <w:rPr>
                <w:color w:val="auto"/>
                <w:sz w:val="24"/>
                <w:highlight w:val="none"/>
              </w:rPr>
            </w:pPr>
            <w:r>
              <w:rPr>
                <w:rFonts w:hint="eastAsia"/>
                <w:color w:val="auto"/>
                <w:sz w:val="24"/>
                <w:highlight w:val="none"/>
              </w:rPr>
              <w:t>后勤工作人员</w:t>
            </w:r>
          </w:p>
        </w:tc>
        <w:tc>
          <w:tcPr>
            <w:tcW w:w="850" w:type="dxa"/>
            <w:vAlign w:val="center"/>
          </w:tcPr>
          <w:p>
            <w:pPr>
              <w:widowControl/>
              <w:adjustRightInd w:val="0"/>
              <w:snapToGrid w:val="0"/>
              <w:spacing w:beforeLines="10" w:afterLines="10"/>
              <w:jc w:val="center"/>
              <w:rPr>
                <w:color w:val="auto"/>
                <w:sz w:val="24"/>
                <w:highlight w:val="none"/>
              </w:rPr>
            </w:pPr>
            <w:r>
              <w:rPr>
                <w:rFonts w:hint="eastAsia"/>
                <w:color w:val="auto"/>
                <w:sz w:val="24"/>
                <w:highlight w:val="none"/>
              </w:rPr>
              <w:t>14人</w:t>
            </w:r>
          </w:p>
        </w:tc>
        <w:tc>
          <w:tcPr>
            <w:tcW w:w="6636" w:type="dxa"/>
            <w:vAlign w:val="center"/>
          </w:tcPr>
          <w:p>
            <w:pPr>
              <w:widowControl/>
              <w:numPr>
                <w:ilvl w:val="0"/>
                <w:numId w:val="30"/>
              </w:numPr>
              <w:adjustRightInd w:val="0"/>
              <w:snapToGrid w:val="0"/>
              <w:spacing w:beforeLines="10" w:afterLines="10"/>
              <w:ind w:left="0"/>
              <w:rPr>
                <w:color w:val="auto"/>
                <w:sz w:val="24"/>
                <w:highlight w:val="none"/>
              </w:rPr>
            </w:pPr>
            <w:r>
              <w:rPr>
                <w:rFonts w:hint="eastAsia"/>
                <w:color w:val="auto"/>
                <w:sz w:val="24"/>
                <w:highlight w:val="none"/>
              </w:rPr>
              <w:t>要求年龄女性18-50周岁之间，男性18-60周岁之间；工作技能较强，身体健康（要求持有效的健康证），工作敬业，责任心强，能吃苦耐劳。</w:t>
            </w:r>
          </w:p>
          <w:p>
            <w:pPr>
              <w:widowControl/>
              <w:numPr>
                <w:ilvl w:val="0"/>
                <w:numId w:val="30"/>
              </w:numPr>
              <w:adjustRightInd w:val="0"/>
              <w:snapToGrid w:val="0"/>
              <w:spacing w:beforeLines="10" w:afterLines="10"/>
              <w:ind w:left="0"/>
              <w:rPr>
                <w:color w:val="auto"/>
                <w:sz w:val="24"/>
                <w:highlight w:val="none"/>
              </w:rPr>
            </w:pPr>
            <w:r>
              <w:rPr>
                <w:rFonts w:hint="eastAsia"/>
                <w:color w:val="auto"/>
                <w:sz w:val="24"/>
                <w:highlight w:val="none"/>
              </w:rPr>
              <w:t>要求局机关办公楼9人，龙华西办公区5人；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pPr>
              <w:widowControl/>
              <w:adjustRightInd w:val="0"/>
              <w:snapToGrid w:val="0"/>
              <w:spacing w:beforeLines="10" w:afterLines="10"/>
              <w:jc w:val="center"/>
              <w:rPr>
                <w:color w:val="auto"/>
                <w:sz w:val="24"/>
                <w:highlight w:val="none"/>
              </w:rPr>
            </w:pPr>
            <w:r>
              <w:rPr>
                <w:rFonts w:hint="eastAsia"/>
                <w:color w:val="auto"/>
                <w:sz w:val="24"/>
                <w:highlight w:val="none"/>
              </w:rPr>
              <w:t>8</w:t>
            </w:r>
          </w:p>
        </w:tc>
        <w:tc>
          <w:tcPr>
            <w:tcW w:w="1418" w:type="dxa"/>
            <w:vAlign w:val="center"/>
          </w:tcPr>
          <w:p>
            <w:pPr>
              <w:widowControl/>
              <w:adjustRightInd w:val="0"/>
              <w:snapToGrid w:val="0"/>
              <w:spacing w:beforeLines="10" w:afterLines="10"/>
              <w:jc w:val="center"/>
              <w:rPr>
                <w:color w:val="auto"/>
                <w:sz w:val="24"/>
                <w:highlight w:val="none"/>
              </w:rPr>
            </w:pPr>
            <w:r>
              <w:rPr>
                <w:rFonts w:hint="eastAsia"/>
                <w:color w:val="auto"/>
                <w:sz w:val="24"/>
                <w:highlight w:val="none"/>
              </w:rPr>
              <w:t>绿化人员</w:t>
            </w:r>
          </w:p>
        </w:tc>
        <w:tc>
          <w:tcPr>
            <w:tcW w:w="850" w:type="dxa"/>
            <w:vAlign w:val="center"/>
          </w:tcPr>
          <w:p>
            <w:pPr>
              <w:widowControl/>
              <w:adjustRightInd w:val="0"/>
              <w:snapToGrid w:val="0"/>
              <w:spacing w:beforeLines="10" w:afterLines="10"/>
              <w:jc w:val="center"/>
              <w:rPr>
                <w:color w:val="auto"/>
                <w:sz w:val="24"/>
                <w:highlight w:val="none"/>
              </w:rPr>
            </w:pPr>
            <w:r>
              <w:rPr>
                <w:rFonts w:hint="eastAsia"/>
                <w:color w:val="auto"/>
                <w:sz w:val="24"/>
                <w:highlight w:val="none"/>
              </w:rPr>
              <w:t>2人</w:t>
            </w:r>
          </w:p>
        </w:tc>
        <w:tc>
          <w:tcPr>
            <w:tcW w:w="6636" w:type="dxa"/>
            <w:vAlign w:val="center"/>
          </w:tcPr>
          <w:p>
            <w:pPr>
              <w:adjustRightInd w:val="0"/>
              <w:snapToGrid w:val="0"/>
              <w:spacing w:beforeLines="10" w:afterLines="10"/>
              <w:rPr>
                <w:color w:val="auto"/>
                <w:sz w:val="24"/>
                <w:highlight w:val="none"/>
              </w:rPr>
            </w:pPr>
            <w:r>
              <w:rPr>
                <w:rFonts w:hint="eastAsia"/>
                <w:color w:val="auto"/>
                <w:sz w:val="24"/>
                <w:highlight w:val="none"/>
              </w:rPr>
              <w:t>1、作业人员要具有3年以上绿化工作经验，持有相关业务知识和水平；</w:t>
            </w:r>
          </w:p>
          <w:p>
            <w:pPr>
              <w:adjustRightInd w:val="0"/>
              <w:snapToGrid w:val="0"/>
              <w:spacing w:beforeLines="10" w:afterLines="10"/>
              <w:rPr>
                <w:color w:val="auto"/>
                <w:sz w:val="24"/>
                <w:highlight w:val="none"/>
              </w:rPr>
            </w:pPr>
            <w:r>
              <w:rPr>
                <w:rFonts w:hint="eastAsia"/>
                <w:color w:val="auto"/>
                <w:sz w:val="24"/>
                <w:highlight w:val="none"/>
              </w:rPr>
              <w:t>2、男女、身高不限，女性周岁21-50岁之间，男性21周岁-60岁之间，身体健康。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pPr>
              <w:widowControl/>
              <w:adjustRightInd w:val="0"/>
              <w:snapToGrid w:val="0"/>
              <w:spacing w:beforeLines="10" w:afterLines="10"/>
              <w:jc w:val="center"/>
              <w:rPr>
                <w:color w:val="auto"/>
                <w:sz w:val="24"/>
                <w:highlight w:val="none"/>
              </w:rPr>
            </w:pPr>
            <w:r>
              <w:rPr>
                <w:rFonts w:hint="eastAsia"/>
                <w:color w:val="auto"/>
                <w:sz w:val="24"/>
                <w:highlight w:val="none"/>
              </w:rPr>
              <w:t>合计</w:t>
            </w:r>
          </w:p>
        </w:tc>
        <w:tc>
          <w:tcPr>
            <w:tcW w:w="8904" w:type="dxa"/>
            <w:gridSpan w:val="3"/>
            <w:vAlign w:val="center"/>
          </w:tcPr>
          <w:p>
            <w:pPr>
              <w:widowControl/>
              <w:adjustRightInd w:val="0"/>
              <w:snapToGrid w:val="0"/>
              <w:spacing w:beforeLines="10" w:afterLines="10"/>
              <w:jc w:val="left"/>
              <w:rPr>
                <w:color w:val="auto"/>
                <w:sz w:val="24"/>
                <w:highlight w:val="none"/>
              </w:rPr>
            </w:pPr>
            <w:r>
              <w:rPr>
                <w:rFonts w:hint="eastAsia"/>
                <w:color w:val="auto"/>
                <w:sz w:val="24"/>
                <w:highlight w:val="none"/>
              </w:rPr>
              <w:t>47人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dxa"/>
            <w:vAlign w:val="center"/>
          </w:tcPr>
          <w:p>
            <w:pPr>
              <w:widowControl/>
              <w:adjustRightInd w:val="0"/>
              <w:snapToGrid w:val="0"/>
              <w:spacing w:beforeLines="10" w:afterLines="10"/>
              <w:jc w:val="center"/>
              <w:rPr>
                <w:color w:val="auto"/>
                <w:sz w:val="24"/>
                <w:highlight w:val="none"/>
              </w:rPr>
            </w:pPr>
            <w:r>
              <w:rPr>
                <w:rFonts w:hint="eastAsia"/>
                <w:color w:val="auto"/>
                <w:sz w:val="24"/>
                <w:highlight w:val="none"/>
              </w:rPr>
              <w:t>备注</w:t>
            </w:r>
          </w:p>
        </w:tc>
        <w:tc>
          <w:tcPr>
            <w:tcW w:w="8904" w:type="dxa"/>
            <w:gridSpan w:val="3"/>
            <w:vAlign w:val="center"/>
          </w:tcPr>
          <w:p>
            <w:pPr>
              <w:widowControl/>
              <w:adjustRightInd w:val="0"/>
              <w:snapToGrid w:val="0"/>
              <w:spacing w:beforeLines="10" w:afterLines="10"/>
              <w:rPr>
                <w:color w:val="auto"/>
                <w:sz w:val="24"/>
                <w:highlight w:val="none"/>
              </w:rPr>
            </w:pPr>
            <w:r>
              <w:rPr>
                <w:rFonts w:hint="eastAsia"/>
                <w:color w:val="auto"/>
                <w:sz w:val="24"/>
                <w:highlight w:val="none"/>
              </w:rPr>
              <w:t>1、</w:t>
            </w:r>
            <w:r>
              <w:rPr>
                <w:rFonts w:hint="eastAsia"/>
                <w:color w:val="auto"/>
                <w:sz w:val="24"/>
                <w:szCs w:val="24"/>
                <w:highlight w:val="none"/>
              </w:rPr>
              <w:t>有同类工作经验5年或以上的人员可以酌情放宽1-3岁，具体放宽幅度：5-7年（含5年），放宽1岁；7-8年（含7年），放宽2岁；8年及以上（含8年），放宽3岁。对于放宽年龄要求而无法购买社会保险的人员，供应商须提供为该人员购买商业意外险的保单凭证资料。</w:t>
            </w:r>
          </w:p>
          <w:p>
            <w:pPr>
              <w:widowControl/>
              <w:adjustRightInd w:val="0"/>
              <w:snapToGrid w:val="0"/>
              <w:spacing w:beforeLines="10" w:afterLines="10"/>
              <w:rPr>
                <w:color w:val="auto"/>
                <w:sz w:val="24"/>
                <w:highlight w:val="none"/>
              </w:rPr>
            </w:pPr>
            <w:r>
              <w:rPr>
                <w:rFonts w:hint="eastAsia"/>
                <w:color w:val="auto"/>
                <w:sz w:val="24"/>
                <w:highlight w:val="none"/>
              </w:rPr>
              <w:t xml:space="preserve">2、所有人员必须身体健康，并出具当地卫生部门的相应证明材料，同时，以上所有人员必须无犯罪、劳改、拘留、吸毒等记录，无参与危害社会活动的记录； </w:t>
            </w:r>
          </w:p>
          <w:p>
            <w:pPr>
              <w:widowControl/>
              <w:adjustRightInd w:val="0"/>
              <w:snapToGrid w:val="0"/>
              <w:spacing w:beforeLines="10" w:afterLines="10"/>
              <w:rPr>
                <w:color w:val="auto"/>
                <w:sz w:val="24"/>
                <w:highlight w:val="none"/>
              </w:rPr>
            </w:pPr>
            <w:r>
              <w:rPr>
                <w:rFonts w:hint="eastAsia"/>
                <w:color w:val="auto"/>
                <w:sz w:val="24"/>
                <w:highlight w:val="none"/>
              </w:rPr>
              <w:t xml:space="preserve">3、列出人员须附其学历、资质证书的复印件，及在本公司服务的外部证明，如：代缴个税税单或参加社会保险的《投保单》或《社会保险参保人员证明》等； </w:t>
            </w:r>
          </w:p>
          <w:p>
            <w:pPr>
              <w:widowControl/>
              <w:adjustRightInd w:val="0"/>
              <w:snapToGrid w:val="0"/>
              <w:spacing w:beforeLines="10" w:afterLines="10"/>
              <w:rPr>
                <w:color w:val="auto"/>
                <w:sz w:val="24"/>
                <w:highlight w:val="none"/>
              </w:rPr>
            </w:pPr>
            <w:r>
              <w:rPr>
                <w:rFonts w:hint="eastAsia"/>
                <w:color w:val="auto"/>
                <w:sz w:val="24"/>
                <w:highlight w:val="none"/>
              </w:rPr>
              <w:t>4、如需解聘人员由中标人按现行劳动法有关规定协商处理；</w:t>
            </w:r>
          </w:p>
          <w:p>
            <w:pPr>
              <w:widowControl/>
              <w:adjustRightInd w:val="0"/>
              <w:snapToGrid w:val="0"/>
              <w:spacing w:beforeLines="10" w:afterLines="10"/>
              <w:rPr>
                <w:color w:val="auto"/>
                <w:sz w:val="24"/>
                <w:highlight w:val="none"/>
              </w:rPr>
            </w:pPr>
            <w:r>
              <w:rPr>
                <w:rFonts w:hint="eastAsia"/>
                <w:color w:val="auto"/>
                <w:sz w:val="24"/>
                <w:highlight w:val="none"/>
              </w:rPr>
              <w:t>5、以上人员资料须报采购人备案，</w:t>
            </w:r>
            <w:r>
              <w:rPr>
                <w:rFonts w:hint="eastAsia"/>
                <w:color w:val="auto"/>
                <w:sz w:val="24"/>
                <w:szCs w:val="24"/>
                <w:highlight w:val="none"/>
              </w:rPr>
              <w:t>人员变动需先经采购人同意</w:t>
            </w:r>
            <w:r>
              <w:rPr>
                <w:rFonts w:hint="eastAsia"/>
                <w:color w:val="auto"/>
                <w:sz w:val="24"/>
                <w:highlight w:val="none"/>
              </w:rPr>
              <w:t>。</w:t>
            </w:r>
          </w:p>
        </w:tc>
      </w:tr>
    </w:tbl>
    <w:p>
      <w:pPr>
        <w:spacing w:line="360" w:lineRule="auto"/>
        <w:ind w:firstLine="360" w:firstLineChars="150"/>
        <w:jc w:val="left"/>
        <w:rPr>
          <w:color w:val="auto"/>
          <w:sz w:val="24"/>
          <w:highlight w:val="none"/>
        </w:rPr>
      </w:pPr>
    </w:p>
    <w:p>
      <w:pPr>
        <w:spacing w:line="360" w:lineRule="auto"/>
        <w:ind w:firstLine="360" w:firstLineChars="150"/>
        <w:jc w:val="left"/>
        <w:rPr>
          <w:color w:val="auto"/>
          <w:sz w:val="24"/>
          <w:highlight w:val="none"/>
        </w:rPr>
      </w:pPr>
      <w:r>
        <w:rPr>
          <w:rFonts w:hint="eastAsia"/>
          <w:color w:val="auto"/>
          <w:sz w:val="24"/>
          <w:highlight w:val="none"/>
        </w:rPr>
        <w:t>2、项目经理具体要求：具有专科或以上学历， 具有三年或以上同类物业服务工作经验；</w:t>
      </w:r>
    </w:p>
    <w:p>
      <w:pPr>
        <w:spacing w:line="360" w:lineRule="auto"/>
        <w:ind w:firstLine="360" w:firstLineChars="150"/>
        <w:jc w:val="left"/>
        <w:rPr>
          <w:color w:val="auto"/>
          <w:sz w:val="24"/>
          <w:highlight w:val="none"/>
        </w:rPr>
      </w:pPr>
      <w:r>
        <w:rPr>
          <w:rFonts w:hint="eastAsia"/>
          <w:color w:val="auto"/>
          <w:sz w:val="24"/>
          <w:highlight w:val="none"/>
        </w:rPr>
        <w:t xml:space="preserve">3、采购人免费提供1至2间管理用房给中标人使用，中标人要列明管理用房分配方案并报采购人主管部门审批。 </w:t>
      </w:r>
    </w:p>
    <w:p>
      <w:pPr>
        <w:spacing w:line="360" w:lineRule="auto"/>
        <w:ind w:firstLine="360" w:firstLineChars="150"/>
        <w:jc w:val="left"/>
        <w:rPr>
          <w:color w:val="auto"/>
          <w:sz w:val="24"/>
          <w:highlight w:val="none"/>
        </w:rPr>
      </w:pPr>
      <w:r>
        <w:rPr>
          <w:rFonts w:hint="eastAsia"/>
          <w:color w:val="auto"/>
          <w:sz w:val="24"/>
          <w:highlight w:val="none"/>
        </w:rPr>
        <w:t xml:space="preserve">4、中标人中标后，在合同期限内，物业公司所有人员的意外伤亡事故，由中标人自负。 </w:t>
      </w:r>
    </w:p>
    <w:p>
      <w:pPr>
        <w:spacing w:line="360" w:lineRule="auto"/>
        <w:ind w:firstLine="361" w:firstLineChars="150"/>
        <w:jc w:val="left"/>
        <w:rPr>
          <w:b/>
          <w:color w:val="auto"/>
          <w:sz w:val="24"/>
          <w:highlight w:val="none"/>
        </w:rPr>
      </w:pPr>
    </w:p>
    <w:p>
      <w:pPr>
        <w:spacing w:line="360" w:lineRule="auto"/>
        <w:ind w:firstLine="361" w:firstLineChars="150"/>
        <w:jc w:val="left"/>
        <w:rPr>
          <w:color w:val="auto"/>
          <w:sz w:val="24"/>
          <w:highlight w:val="none"/>
        </w:rPr>
      </w:pPr>
      <w:r>
        <w:rPr>
          <w:rFonts w:hint="eastAsia"/>
          <w:b/>
          <w:color w:val="auto"/>
          <w:sz w:val="24"/>
          <w:highlight w:val="none"/>
        </w:rPr>
        <w:t xml:space="preserve">三、物业管理期限及管理服务费内容 </w:t>
      </w:r>
    </w:p>
    <w:p>
      <w:pPr>
        <w:spacing w:line="360" w:lineRule="auto"/>
        <w:ind w:firstLine="240" w:firstLineChars="100"/>
        <w:jc w:val="left"/>
        <w:rPr>
          <w:color w:val="auto"/>
          <w:sz w:val="24"/>
          <w:highlight w:val="none"/>
        </w:rPr>
      </w:pPr>
      <w:r>
        <w:rPr>
          <w:rFonts w:hint="eastAsia"/>
          <w:color w:val="auto"/>
          <w:sz w:val="24"/>
          <w:highlight w:val="none"/>
        </w:rPr>
        <w:t xml:space="preserve">（一）物业管理期限：服务期12个月，物业管理服务费采用包干制。 </w:t>
      </w:r>
    </w:p>
    <w:p>
      <w:pPr>
        <w:spacing w:line="360" w:lineRule="auto"/>
        <w:ind w:firstLine="240" w:firstLineChars="100"/>
        <w:jc w:val="left"/>
        <w:rPr>
          <w:color w:val="auto"/>
          <w:sz w:val="24"/>
          <w:highlight w:val="none"/>
        </w:rPr>
      </w:pPr>
      <w:r>
        <w:rPr>
          <w:rFonts w:hint="eastAsia"/>
          <w:color w:val="auto"/>
          <w:sz w:val="24"/>
          <w:highlight w:val="none"/>
        </w:rPr>
        <w:t>（二）物业服务费内容：</w:t>
      </w:r>
    </w:p>
    <w:p>
      <w:pPr>
        <w:spacing w:line="360" w:lineRule="auto"/>
        <w:ind w:firstLine="240" w:firstLineChars="100"/>
        <w:jc w:val="left"/>
        <w:rPr>
          <w:color w:val="auto"/>
          <w:sz w:val="24"/>
          <w:highlight w:val="none"/>
        </w:rPr>
      </w:pPr>
      <w:r>
        <w:rPr>
          <w:rFonts w:hint="eastAsia"/>
          <w:color w:val="auto"/>
          <w:sz w:val="24"/>
          <w:highlight w:val="none"/>
        </w:rPr>
        <w:t xml:space="preserve"> 1、中标人在进场时和合同期间根据采购需求和工作需要雇(聘)用服务工作人员的开支和采购自用设备、用具、用品所需费用，是中标人投标报价内容，也是中标价格，即由采购人按月定额支付给中标人的物业服务费。该费用包括具体内容如下： </w:t>
      </w:r>
    </w:p>
    <w:p>
      <w:pPr>
        <w:spacing w:line="360" w:lineRule="auto"/>
        <w:ind w:firstLine="240" w:firstLineChars="100"/>
        <w:jc w:val="left"/>
        <w:rPr>
          <w:color w:val="auto"/>
          <w:sz w:val="24"/>
          <w:highlight w:val="none"/>
        </w:rPr>
      </w:pPr>
      <w:r>
        <w:rPr>
          <w:rFonts w:hint="eastAsia"/>
          <w:color w:val="auto"/>
          <w:sz w:val="24"/>
          <w:highlight w:val="none"/>
        </w:rPr>
        <w:t>（1）聘用服务工作人员费用：物业服务工作人员工资、依法缴交的社会保险费、福利费。</w:t>
      </w:r>
    </w:p>
    <w:p>
      <w:pPr>
        <w:spacing w:line="360" w:lineRule="auto"/>
        <w:ind w:firstLine="240" w:firstLineChars="100"/>
        <w:jc w:val="left"/>
        <w:rPr>
          <w:color w:val="auto"/>
          <w:sz w:val="24"/>
          <w:highlight w:val="none"/>
        </w:rPr>
      </w:pPr>
      <w:r>
        <w:rPr>
          <w:rFonts w:hint="eastAsia"/>
          <w:color w:val="auto"/>
          <w:sz w:val="24"/>
          <w:highlight w:val="none"/>
        </w:rPr>
        <w:t xml:space="preserve">（2）物业服务工作所需办公设备及办公用品费用。 </w:t>
      </w:r>
    </w:p>
    <w:p>
      <w:pPr>
        <w:spacing w:line="360" w:lineRule="auto"/>
        <w:ind w:firstLine="240" w:firstLineChars="100"/>
        <w:jc w:val="left"/>
        <w:rPr>
          <w:color w:val="auto"/>
          <w:sz w:val="24"/>
          <w:highlight w:val="none"/>
        </w:rPr>
      </w:pPr>
      <w:r>
        <w:rPr>
          <w:rFonts w:hint="eastAsia"/>
          <w:color w:val="auto"/>
          <w:sz w:val="24"/>
          <w:highlight w:val="none"/>
        </w:rPr>
        <w:t>（3）物业人员服装及劳保用品费用。</w:t>
      </w:r>
    </w:p>
    <w:p>
      <w:pPr>
        <w:spacing w:line="360" w:lineRule="auto"/>
        <w:ind w:firstLine="240" w:firstLineChars="100"/>
        <w:jc w:val="left"/>
        <w:rPr>
          <w:color w:val="auto"/>
          <w:sz w:val="24"/>
          <w:highlight w:val="none"/>
        </w:rPr>
      </w:pPr>
      <w:r>
        <w:rPr>
          <w:rFonts w:hint="eastAsia"/>
          <w:color w:val="auto"/>
          <w:sz w:val="24"/>
          <w:highlight w:val="none"/>
        </w:rPr>
        <w:t xml:space="preserve">（4）约定服务内容工作过程中所需工具的折旧费。 </w:t>
      </w:r>
    </w:p>
    <w:p>
      <w:pPr>
        <w:spacing w:line="360" w:lineRule="auto"/>
        <w:ind w:firstLine="240" w:firstLineChars="100"/>
        <w:jc w:val="left"/>
        <w:rPr>
          <w:color w:val="auto"/>
          <w:sz w:val="24"/>
          <w:highlight w:val="none"/>
        </w:rPr>
      </w:pPr>
      <w:r>
        <w:rPr>
          <w:rFonts w:hint="eastAsia"/>
          <w:color w:val="auto"/>
          <w:sz w:val="24"/>
          <w:highlight w:val="none"/>
        </w:rPr>
        <w:t xml:space="preserve">（5）保洁工作中所需要的物料费（不含客用品、厨房用品及其它易耗品）。 </w:t>
      </w:r>
    </w:p>
    <w:p>
      <w:pPr>
        <w:spacing w:line="360" w:lineRule="auto"/>
        <w:ind w:firstLine="240" w:firstLineChars="100"/>
        <w:jc w:val="left"/>
        <w:rPr>
          <w:color w:val="auto"/>
          <w:sz w:val="24"/>
          <w:highlight w:val="none"/>
        </w:rPr>
      </w:pPr>
      <w:r>
        <w:rPr>
          <w:rFonts w:hint="eastAsia"/>
          <w:color w:val="auto"/>
          <w:sz w:val="24"/>
          <w:highlight w:val="none"/>
        </w:rPr>
        <w:t>（6）绿化养护工作中所需要的修剪工具、化肥、杀虫剂等费用。</w:t>
      </w:r>
    </w:p>
    <w:p>
      <w:pPr>
        <w:spacing w:line="360" w:lineRule="auto"/>
        <w:ind w:firstLine="240" w:firstLineChars="100"/>
        <w:jc w:val="left"/>
        <w:rPr>
          <w:color w:val="auto"/>
          <w:sz w:val="24"/>
          <w:highlight w:val="none"/>
        </w:rPr>
      </w:pPr>
      <w:r>
        <w:rPr>
          <w:rFonts w:hint="eastAsia"/>
          <w:color w:val="auto"/>
          <w:sz w:val="24"/>
          <w:highlight w:val="none"/>
        </w:rPr>
        <w:t xml:space="preserve">（7）中标人依法缴纳的税费。 </w:t>
      </w:r>
    </w:p>
    <w:p>
      <w:pPr>
        <w:spacing w:line="360" w:lineRule="auto"/>
        <w:ind w:firstLine="240" w:firstLineChars="100"/>
        <w:jc w:val="left"/>
        <w:rPr>
          <w:color w:val="auto"/>
          <w:sz w:val="24"/>
          <w:highlight w:val="none"/>
        </w:rPr>
      </w:pPr>
      <w:r>
        <w:rPr>
          <w:rFonts w:hint="eastAsia"/>
          <w:color w:val="auto"/>
          <w:sz w:val="24"/>
          <w:highlight w:val="none"/>
        </w:rPr>
        <w:t xml:space="preserve">（8）中标人的管理服务酬金。 </w:t>
      </w:r>
    </w:p>
    <w:p>
      <w:pPr>
        <w:spacing w:line="360" w:lineRule="auto"/>
        <w:ind w:firstLine="480" w:firstLineChars="200"/>
        <w:rPr>
          <w:color w:val="auto"/>
          <w:sz w:val="24"/>
          <w:highlight w:val="none"/>
        </w:rPr>
      </w:pPr>
      <w:r>
        <w:rPr>
          <w:rFonts w:hint="eastAsia"/>
          <w:color w:val="auto"/>
          <w:sz w:val="24"/>
          <w:highlight w:val="none"/>
        </w:rPr>
        <w:t xml:space="preserve">2、除上述定额费用外，其它非定额费用由采购人支付，包括但不限于：维修过程中的材料费、专业设备设施维修维保费用、专项服务外包承包费用、室内租摆及补种费用、客用品和其它易耗品、后勤所用用具、用品及其它易耗品、采购人设施设备所产生电费、水费、煤气费、电话费、化粪池清理、厕所疏通、外墙清洗、灭四害等一切费用。 </w:t>
      </w:r>
    </w:p>
    <w:p>
      <w:pPr>
        <w:spacing w:line="360" w:lineRule="auto"/>
        <w:ind w:firstLine="480" w:firstLineChars="200"/>
        <w:rPr>
          <w:color w:val="auto"/>
          <w:sz w:val="24"/>
          <w:highlight w:val="none"/>
        </w:rPr>
      </w:pPr>
      <w:r>
        <w:rPr>
          <w:rFonts w:hint="eastAsia"/>
          <w:color w:val="auto"/>
          <w:sz w:val="24"/>
          <w:highlight w:val="none"/>
        </w:rPr>
        <w:t xml:space="preserve">3、根据现行法律、法规，在本项目采购过程中应由采购人所缴纳的其它费用应由采购人负担。 </w:t>
      </w:r>
    </w:p>
    <w:p>
      <w:pPr>
        <w:spacing w:line="360" w:lineRule="auto"/>
        <w:ind w:firstLine="562" w:firstLineChars="200"/>
        <w:rPr>
          <w:b/>
          <w:color w:val="auto"/>
          <w:sz w:val="28"/>
          <w:szCs w:val="28"/>
          <w:highlight w:val="none"/>
        </w:rPr>
      </w:pPr>
    </w:p>
    <w:p>
      <w:pPr>
        <w:spacing w:line="360" w:lineRule="auto"/>
        <w:ind w:firstLine="562" w:firstLineChars="200"/>
        <w:rPr>
          <w:color w:val="auto"/>
          <w:sz w:val="28"/>
          <w:szCs w:val="28"/>
          <w:highlight w:val="none"/>
        </w:rPr>
      </w:pPr>
      <w:r>
        <w:rPr>
          <w:rFonts w:hint="eastAsia"/>
          <w:b/>
          <w:color w:val="auto"/>
          <w:sz w:val="28"/>
          <w:szCs w:val="28"/>
          <w:highlight w:val="none"/>
        </w:rPr>
        <w:t>四、其他要求及说明</w:t>
      </w:r>
      <w:r>
        <w:rPr>
          <w:rFonts w:hint="eastAsia"/>
          <w:color w:val="auto"/>
          <w:sz w:val="28"/>
          <w:szCs w:val="28"/>
          <w:highlight w:val="none"/>
        </w:rPr>
        <w:t xml:space="preserve"> </w:t>
      </w:r>
    </w:p>
    <w:p>
      <w:pPr>
        <w:spacing w:line="360" w:lineRule="auto"/>
        <w:ind w:firstLine="480" w:firstLineChars="200"/>
        <w:rPr>
          <w:color w:val="auto"/>
          <w:sz w:val="24"/>
          <w:highlight w:val="none"/>
        </w:rPr>
      </w:pPr>
      <w:r>
        <w:rPr>
          <w:rFonts w:hint="eastAsia"/>
          <w:color w:val="auto"/>
          <w:sz w:val="24"/>
          <w:highlight w:val="none"/>
        </w:rPr>
        <w:t xml:space="preserve">1、中标人工作人员须遵守采购人有关规章制度和管理规定，如有违反或损害采购人利益的，采购人有拒绝中标人违规人员在此工作的权利。 </w:t>
      </w:r>
    </w:p>
    <w:p>
      <w:pPr>
        <w:spacing w:line="360" w:lineRule="auto"/>
        <w:ind w:firstLine="480" w:firstLineChars="200"/>
        <w:rPr>
          <w:color w:val="auto"/>
          <w:sz w:val="24"/>
          <w:highlight w:val="none"/>
        </w:rPr>
      </w:pPr>
      <w:r>
        <w:rPr>
          <w:rFonts w:hint="eastAsia"/>
          <w:color w:val="auto"/>
          <w:sz w:val="24"/>
          <w:highlight w:val="none"/>
        </w:rPr>
        <w:t xml:space="preserve">2、本项目各类用水、用电费用（公共用水用电、设备用水用电）由采购人负责。 </w:t>
      </w:r>
    </w:p>
    <w:p>
      <w:pPr>
        <w:spacing w:line="360" w:lineRule="auto"/>
        <w:ind w:firstLine="480" w:firstLineChars="200"/>
        <w:rPr>
          <w:color w:val="auto"/>
          <w:sz w:val="24"/>
          <w:highlight w:val="none"/>
        </w:rPr>
      </w:pPr>
      <w:r>
        <w:rPr>
          <w:rFonts w:hint="eastAsia"/>
          <w:color w:val="auto"/>
          <w:sz w:val="24"/>
          <w:highlight w:val="none"/>
        </w:rPr>
        <w:t xml:space="preserve">3、中标人须接受采购人指定的监督部门的检查督导，包括但不限于服务工作量、质量、安全等日常检查、监督或评比工作。除采购人指定的监督机构外，采购人也可自行组织对中标人的服务质量、水平、安全等情况进行检查监督。 </w:t>
      </w:r>
    </w:p>
    <w:p>
      <w:pPr>
        <w:spacing w:line="360" w:lineRule="auto"/>
        <w:ind w:firstLine="480" w:firstLineChars="200"/>
        <w:rPr>
          <w:color w:val="auto"/>
          <w:sz w:val="24"/>
          <w:highlight w:val="none"/>
        </w:rPr>
      </w:pPr>
      <w:r>
        <w:rPr>
          <w:rFonts w:hint="eastAsia"/>
          <w:color w:val="auto"/>
          <w:sz w:val="24"/>
          <w:highlight w:val="none"/>
        </w:rPr>
        <w:t xml:space="preserve">4、中标人在管理服务期内由于中标人管理责任造成群众、采购人人身伤亡和财产损失的，由中标人负责赔偿。 </w:t>
      </w:r>
    </w:p>
    <w:p>
      <w:pPr>
        <w:spacing w:line="360" w:lineRule="auto"/>
        <w:ind w:firstLine="480" w:firstLineChars="200"/>
        <w:rPr>
          <w:color w:val="auto"/>
          <w:sz w:val="24"/>
          <w:highlight w:val="none"/>
        </w:rPr>
      </w:pPr>
      <w:r>
        <w:rPr>
          <w:rFonts w:hint="eastAsia"/>
          <w:color w:val="auto"/>
          <w:sz w:val="24"/>
          <w:highlight w:val="none"/>
        </w:rPr>
        <w:t xml:space="preserve">5、中标人服务人员在本项目范围内发生违法、违规行为的，所造成一切后果及损失，由中标人承担责任和负责赔偿。 </w:t>
      </w:r>
    </w:p>
    <w:p>
      <w:pPr>
        <w:spacing w:line="360" w:lineRule="auto"/>
        <w:ind w:firstLine="480" w:firstLineChars="200"/>
        <w:rPr>
          <w:color w:val="auto"/>
          <w:sz w:val="24"/>
          <w:highlight w:val="none"/>
        </w:rPr>
      </w:pPr>
      <w:r>
        <w:rPr>
          <w:rFonts w:hint="eastAsia"/>
          <w:color w:val="auto"/>
          <w:sz w:val="24"/>
          <w:highlight w:val="none"/>
        </w:rPr>
        <w:t>6、中标人在日常管理中具有自主创新能力，能利用相应的计算机管理软件提升物业服务质量，并拥有相关的物联网监测管理、网格化管控平台、互联网报警服务管理的软件技术等。</w:t>
      </w:r>
    </w:p>
    <w:p>
      <w:pPr>
        <w:spacing w:line="360" w:lineRule="auto"/>
        <w:ind w:firstLine="480" w:firstLineChars="200"/>
        <w:rPr>
          <w:color w:val="auto"/>
          <w:sz w:val="24"/>
          <w:highlight w:val="none"/>
        </w:rPr>
      </w:pPr>
      <w:r>
        <w:rPr>
          <w:rFonts w:hint="eastAsia"/>
          <w:color w:val="auto"/>
          <w:sz w:val="24"/>
          <w:szCs w:val="24"/>
          <w:highlight w:val="none"/>
        </w:rPr>
        <w:t>7、服务期满后，中标人应将管理处所有技术资料及档案移交给采购人审阅。采购人依据采购文件和合同约定，按国家相关规定组织验收。</w:t>
      </w:r>
    </w:p>
    <w:p>
      <w:pPr>
        <w:spacing w:line="360" w:lineRule="auto"/>
        <w:ind w:firstLine="562" w:firstLineChars="200"/>
        <w:rPr>
          <w:b/>
          <w:color w:val="auto"/>
          <w:sz w:val="28"/>
          <w:szCs w:val="28"/>
          <w:highlight w:val="none"/>
        </w:rPr>
      </w:pPr>
    </w:p>
    <w:p>
      <w:pPr>
        <w:spacing w:line="360" w:lineRule="auto"/>
        <w:ind w:firstLine="562" w:firstLineChars="200"/>
        <w:rPr>
          <w:b/>
          <w:color w:val="auto"/>
          <w:sz w:val="28"/>
          <w:szCs w:val="28"/>
          <w:highlight w:val="none"/>
        </w:rPr>
      </w:pPr>
      <w:r>
        <w:rPr>
          <w:rFonts w:hint="eastAsia"/>
          <w:b/>
          <w:color w:val="auto"/>
          <w:sz w:val="28"/>
          <w:szCs w:val="28"/>
          <w:highlight w:val="none"/>
        </w:rPr>
        <w:t xml:space="preserve">五、付款方式 </w:t>
      </w:r>
    </w:p>
    <w:p>
      <w:pPr>
        <w:spacing w:line="360" w:lineRule="auto"/>
        <w:ind w:firstLine="480" w:firstLineChars="200"/>
        <w:rPr>
          <w:color w:val="auto"/>
          <w:sz w:val="24"/>
          <w:highlight w:val="none"/>
        </w:rPr>
      </w:pPr>
      <w:r>
        <w:rPr>
          <w:rFonts w:hint="eastAsia"/>
          <w:color w:val="auto"/>
          <w:sz w:val="24"/>
          <w:highlight w:val="none"/>
        </w:rPr>
        <w:t xml:space="preserve">管理服务费支付办法： </w:t>
      </w:r>
    </w:p>
    <w:p>
      <w:pPr>
        <w:spacing w:line="360" w:lineRule="auto"/>
        <w:rPr>
          <w:color w:val="auto"/>
          <w:sz w:val="24"/>
          <w:highlight w:val="none"/>
        </w:rPr>
      </w:pPr>
      <w:r>
        <w:rPr>
          <w:rFonts w:hint="eastAsia"/>
          <w:color w:val="auto"/>
          <w:sz w:val="24"/>
          <w:highlight w:val="none"/>
        </w:rPr>
        <w:t>1. 服务费按月结算，每月10日前（如遇节假日顺延至第一个工作日）支付上月服务费。中标人在每月底开具正式税务发票原件交采购人，</w:t>
      </w:r>
      <w:r>
        <w:rPr>
          <w:rFonts w:hint="eastAsia"/>
          <w:color w:val="auto"/>
          <w:sz w:val="24"/>
          <w:szCs w:val="24"/>
          <w:highlight w:val="none"/>
        </w:rPr>
        <w:t>并考核验收合格后，</w:t>
      </w:r>
      <w:r>
        <w:rPr>
          <w:rFonts w:hint="eastAsia"/>
          <w:color w:val="auto"/>
          <w:sz w:val="24"/>
          <w:highlight w:val="none"/>
        </w:rPr>
        <w:t>采购人在收到中标人发票的10日内办理支付手续。如中标人提供的服务不足一个月时按日计算服务费。</w:t>
      </w:r>
      <w:r>
        <w:rPr>
          <w:rFonts w:hint="eastAsia"/>
          <w:color w:val="auto"/>
          <w:sz w:val="24"/>
          <w:szCs w:val="24"/>
          <w:highlight w:val="none"/>
        </w:rPr>
        <w:t>若未能在约定的时间内提供发票或验收不合格的，付款时间顺延，所产生的责任由中标人自行承担。</w:t>
      </w:r>
    </w:p>
    <w:p>
      <w:pPr>
        <w:spacing w:line="360" w:lineRule="auto"/>
        <w:rPr>
          <w:color w:val="auto"/>
          <w:sz w:val="24"/>
          <w:highlight w:val="none"/>
        </w:rPr>
      </w:pPr>
      <w:r>
        <w:rPr>
          <w:rFonts w:hint="eastAsia"/>
          <w:color w:val="auto"/>
          <w:sz w:val="24"/>
          <w:highlight w:val="none"/>
        </w:rPr>
        <w:t xml:space="preserve">2. 中标人凭以下有效文件与采购人结算： </w:t>
      </w:r>
    </w:p>
    <w:p>
      <w:pPr>
        <w:spacing w:line="360" w:lineRule="auto"/>
        <w:ind w:firstLine="240" w:firstLineChars="100"/>
        <w:rPr>
          <w:color w:val="auto"/>
          <w:sz w:val="24"/>
          <w:highlight w:val="none"/>
        </w:rPr>
      </w:pPr>
      <w:r>
        <w:rPr>
          <w:rFonts w:hint="eastAsia"/>
          <w:color w:val="auto"/>
          <w:sz w:val="24"/>
          <w:highlight w:val="none"/>
        </w:rPr>
        <w:t xml:space="preserve">（1）合同（首次结算时附）； </w:t>
      </w:r>
    </w:p>
    <w:p>
      <w:pPr>
        <w:spacing w:line="360" w:lineRule="auto"/>
        <w:ind w:firstLine="240" w:firstLineChars="100"/>
        <w:rPr>
          <w:color w:val="auto"/>
          <w:sz w:val="24"/>
          <w:highlight w:val="none"/>
        </w:rPr>
      </w:pPr>
      <w:r>
        <w:rPr>
          <w:rFonts w:hint="eastAsia"/>
          <w:color w:val="auto"/>
          <w:sz w:val="24"/>
          <w:highlight w:val="none"/>
        </w:rPr>
        <w:t xml:space="preserve">（2）中标人开具的正式发票； </w:t>
      </w:r>
    </w:p>
    <w:p>
      <w:pPr>
        <w:spacing w:line="360" w:lineRule="auto"/>
        <w:ind w:firstLine="240" w:firstLineChars="100"/>
        <w:rPr>
          <w:color w:val="auto"/>
          <w:sz w:val="24"/>
          <w:highlight w:val="none"/>
        </w:rPr>
      </w:pPr>
      <w:r>
        <w:rPr>
          <w:rFonts w:hint="eastAsia"/>
          <w:color w:val="auto"/>
          <w:sz w:val="24"/>
          <w:highlight w:val="none"/>
        </w:rPr>
        <w:t xml:space="preserve">（3）验收/成果报告（加盖采购人公章）； </w:t>
      </w:r>
    </w:p>
    <w:p>
      <w:pPr>
        <w:spacing w:line="360" w:lineRule="auto"/>
        <w:ind w:firstLine="240" w:firstLineChars="100"/>
        <w:rPr>
          <w:color w:val="auto"/>
          <w:sz w:val="24"/>
          <w:highlight w:val="none"/>
        </w:rPr>
      </w:pPr>
      <w:r>
        <w:rPr>
          <w:rFonts w:hint="eastAsia"/>
          <w:color w:val="auto"/>
          <w:sz w:val="24"/>
          <w:highlight w:val="none"/>
        </w:rPr>
        <w:t xml:space="preserve">（4）中标通知书（首次结算时附）。 </w:t>
      </w:r>
    </w:p>
    <w:p>
      <w:pPr>
        <w:spacing w:line="360" w:lineRule="auto"/>
        <w:ind w:firstLine="480" w:firstLineChars="200"/>
        <w:rPr>
          <w:rFonts w:ascii="宋体" w:hAnsi="宋体" w:cs="宋体"/>
          <w:color w:val="auto"/>
          <w:sz w:val="24"/>
          <w:highlight w:val="none"/>
        </w:rPr>
      </w:pPr>
      <w:r>
        <w:rPr>
          <w:rFonts w:hint="eastAsia"/>
          <w:color w:val="auto"/>
          <w:sz w:val="24"/>
          <w:highlight w:val="none"/>
        </w:rPr>
        <w:t>3. 因采购人使用的是中财资金，采购人在前款规定的付款时间为向财务部门提出办理支付申请手续的时间（不含财务部门审核的时间），在规定时间内提出支付申请手续后即视为采购人已经按期支付。</w:t>
      </w:r>
    </w:p>
    <w:p>
      <w:pPr>
        <w:pStyle w:val="2"/>
        <w:rPr>
          <w:color w:val="auto"/>
          <w:highlight w:val="none"/>
        </w:rPr>
      </w:pPr>
    </w:p>
    <w:p>
      <w:pPr>
        <w:spacing w:line="360" w:lineRule="auto"/>
        <w:ind w:firstLine="562" w:firstLineChars="200"/>
        <w:rPr>
          <w:b/>
          <w:color w:val="auto"/>
          <w:sz w:val="28"/>
          <w:szCs w:val="28"/>
          <w:highlight w:val="none"/>
        </w:rPr>
      </w:pPr>
      <w:bookmarkStart w:id="17" w:name="_Toc13532"/>
      <w:r>
        <w:rPr>
          <w:rFonts w:hint="eastAsia"/>
          <w:b/>
          <w:color w:val="auto"/>
          <w:sz w:val="28"/>
          <w:szCs w:val="28"/>
          <w:highlight w:val="none"/>
        </w:rPr>
        <w:t>六、物业管理服务考核办法</w:t>
      </w:r>
    </w:p>
    <w:p>
      <w:pPr>
        <w:widowControl/>
        <w:adjustRightInd w:val="0"/>
        <w:snapToGrid w:val="0"/>
        <w:spacing w:beforeLines="10" w:afterLines="10" w:line="360" w:lineRule="auto"/>
        <w:ind w:firstLine="482" w:firstLineChars="200"/>
        <w:rPr>
          <w:rFonts w:ascii="宋体" w:hAnsi="宋体" w:cs="宋体"/>
          <w:b/>
          <w:bCs/>
          <w:snapToGrid w:val="0"/>
          <w:color w:val="auto"/>
          <w:sz w:val="24"/>
          <w:highlight w:val="none"/>
        </w:rPr>
      </w:pPr>
      <w:r>
        <w:rPr>
          <w:rFonts w:hint="eastAsia" w:ascii="宋体" w:hAnsi="宋体" w:cs="宋体"/>
          <w:b/>
          <w:bCs/>
          <w:snapToGrid w:val="0"/>
          <w:color w:val="auto"/>
          <w:sz w:val="24"/>
          <w:highlight w:val="none"/>
        </w:rPr>
        <w:t>（一）评分标准</w:t>
      </w:r>
    </w:p>
    <w:p>
      <w:pPr>
        <w:widowControl/>
        <w:adjustRightInd w:val="0"/>
        <w:snapToGrid w:val="0"/>
        <w:spacing w:beforeLines="10" w:afterLines="10" w:line="360" w:lineRule="auto"/>
        <w:ind w:firstLine="480" w:firstLineChars="200"/>
        <w:rPr>
          <w:rFonts w:ascii="宋体" w:hAnsi="宋体" w:cs="宋体"/>
          <w:snapToGrid w:val="0"/>
          <w:color w:val="auto"/>
          <w:sz w:val="24"/>
          <w:highlight w:val="none"/>
        </w:rPr>
      </w:pPr>
      <w:r>
        <w:rPr>
          <w:rFonts w:hint="eastAsia" w:ascii="宋体" w:hAnsi="宋体" w:cs="宋体"/>
          <w:snapToGrid w:val="0"/>
          <w:color w:val="auto"/>
          <w:sz w:val="24"/>
          <w:highlight w:val="none"/>
        </w:rPr>
        <w:t>1.公共秩序维护服务</w:t>
      </w:r>
      <w:bookmarkStart w:id="18" w:name="_Toc32502"/>
      <w:bookmarkStart w:id="19" w:name="_Toc4852"/>
    </w:p>
    <w:tbl>
      <w:tblPr>
        <w:tblStyle w:val="64"/>
        <w:tblW w:w="4998" w:type="pct"/>
        <w:jc w:val="center"/>
        <w:tblLayout w:type="autofit"/>
        <w:tblCellMar>
          <w:top w:w="0" w:type="dxa"/>
          <w:left w:w="108" w:type="dxa"/>
          <w:bottom w:w="0" w:type="dxa"/>
          <w:right w:w="108" w:type="dxa"/>
        </w:tblCellMar>
      </w:tblPr>
      <w:tblGrid>
        <w:gridCol w:w="966"/>
        <w:gridCol w:w="2199"/>
        <w:gridCol w:w="5698"/>
        <w:gridCol w:w="987"/>
      </w:tblGrid>
      <w:tr>
        <w:tblPrEx>
          <w:tblCellMar>
            <w:top w:w="0" w:type="dxa"/>
            <w:left w:w="108" w:type="dxa"/>
            <w:bottom w:w="0" w:type="dxa"/>
            <w:right w:w="108" w:type="dxa"/>
          </w:tblCellMar>
        </w:tblPrEx>
        <w:trPr>
          <w:jc w:val="center"/>
        </w:trPr>
        <w:tc>
          <w:tcPr>
            <w:tcW w:w="49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111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服务内容</w:t>
            </w:r>
          </w:p>
        </w:tc>
        <w:tc>
          <w:tcPr>
            <w:tcW w:w="289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考核标准</w:t>
            </w:r>
          </w:p>
        </w:tc>
        <w:tc>
          <w:tcPr>
            <w:tcW w:w="50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考核得分</w:t>
            </w:r>
          </w:p>
        </w:tc>
      </w:tr>
      <w:tr>
        <w:tblPrEx>
          <w:tblCellMar>
            <w:top w:w="0" w:type="dxa"/>
            <w:left w:w="108" w:type="dxa"/>
            <w:bottom w:w="0" w:type="dxa"/>
            <w:right w:w="108" w:type="dxa"/>
          </w:tblCellMar>
        </w:tblPrEx>
        <w:trPr>
          <w:jc w:val="center"/>
        </w:trPr>
        <w:tc>
          <w:tcPr>
            <w:tcW w:w="490"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116"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秩序服务总体满意率（40分）</w:t>
            </w:r>
          </w:p>
        </w:tc>
        <w:tc>
          <w:tcPr>
            <w:tcW w:w="2891" w:type="pct"/>
            <w:tcBorders>
              <w:top w:val="single" w:color="auto" w:sz="4" w:space="0"/>
              <w:left w:val="single" w:color="auto" w:sz="4" w:space="0"/>
              <w:bottom w:val="single" w:color="auto" w:sz="4" w:space="0"/>
              <w:right w:val="single" w:color="auto" w:sz="4" w:space="0"/>
            </w:tcBorders>
          </w:tcPr>
          <w:p>
            <w:pPr>
              <w:widowControl/>
              <w:adjustRightInd w:val="0"/>
              <w:snapToGrid w:val="0"/>
              <w:spacing w:beforeLines="10" w:afterLines="10"/>
              <w:rPr>
                <w:rFonts w:ascii="宋体" w:hAnsi="宋体" w:cs="宋体"/>
                <w:color w:val="auto"/>
                <w:kern w:val="0"/>
                <w:sz w:val="24"/>
                <w:highlight w:val="none"/>
              </w:rPr>
            </w:pPr>
            <w:r>
              <w:rPr>
                <w:rFonts w:hint="eastAsia" w:ascii="宋体" w:hAnsi="宋体" w:cs="宋体"/>
                <w:color w:val="auto"/>
                <w:kern w:val="0"/>
                <w:sz w:val="24"/>
                <w:highlight w:val="none"/>
              </w:rPr>
              <w:t>秩序维护总体满意率95%以上，得满分。</w:t>
            </w:r>
          </w:p>
        </w:tc>
        <w:tc>
          <w:tcPr>
            <w:tcW w:w="50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p>
        </w:tc>
      </w:tr>
      <w:tr>
        <w:tblPrEx>
          <w:tblCellMar>
            <w:top w:w="0" w:type="dxa"/>
            <w:left w:w="108" w:type="dxa"/>
            <w:bottom w:w="0" w:type="dxa"/>
            <w:right w:w="108" w:type="dxa"/>
          </w:tblCellMar>
        </w:tblPrEx>
        <w:trPr>
          <w:jc w:val="center"/>
        </w:trPr>
        <w:tc>
          <w:tcPr>
            <w:tcW w:w="490"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p>
        </w:tc>
        <w:tc>
          <w:tcPr>
            <w:tcW w:w="111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p>
        </w:tc>
        <w:tc>
          <w:tcPr>
            <w:tcW w:w="2891" w:type="pct"/>
            <w:tcBorders>
              <w:top w:val="single" w:color="auto" w:sz="4" w:space="0"/>
              <w:left w:val="single" w:color="auto" w:sz="4" w:space="0"/>
              <w:bottom w:val="single" w:color="auto" w:sz="4" w:space="0"/>
              <w:right w:val="single" w:color="auto" w:sz="4" w:space="0"/>
            </w:tcBorders>
          </w:tcPr>
          <w:p>
            <w:pPr>
              <w:widowControl/>
              <w:adjustRightInd w:val="0"/>
              <w:snapToGrid w:val="0"/>
              <w:spacing w:beforeLines="10" w:afterLines="10"/>
              <w:rPr>
                <w:rFonts w:ascii="宋体" w:hAnsi="宋体" w:cs="宋体"/>
                <w:color w:val="auto"/>
                <w:kern w:val="0"/>
                <w:sz w:val="24"/>
                <w:highlight w:val="none"/>
              </w:rPr>
            </w:pPr>
            <w:r>
              <w:rPr>
                <w:rFonts w:hint="eastAsia" w:ascii="宋体" w:hAnsi="宋体" w:cs="宋体"/>
                <w:color w:val="auto"/>
                <w:kern w:val="0"/>
                <w:sz w:val="24"/>
                <w:highlight w:val="none"/>
              </w:rPr>
              <w:t>秩序维护总体满意率90%（含）-95%（不含），得分值的90%。</w:t>
            </w:r>
          </w:p>
        </w:tc>
        <w:tc>
          <w:tcPr>
            <w:tcW w:w="50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p>
        </w:tc>
      </w:tr>
      <w:tr>
        <w:tblPrEx>
          <w:tblCellMar>
            <w:top w:w="0" w:type="dxa"/>
            <w:left w:w="108" w:type="dxa"/>
            <w:bottom w:w="0" w:type="dxa"/>
            <w:right w:w="108" w:type="dxa"/>
          </w:tblCellMar>
        </w:tblPrEx>
        <w:trPr>
          <w:jc w:val="center"/>
        </w:trPr>
        <w:tc>
          <w:tcPr>
            <w:tcW w:w="490"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p>
        </w:tc>
        <w:tc>
          <w:tcPr>
            <w:tcW w:w="111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p>
        </w:tc>
        <w:tc>
          <w:tcPr>
            <w:tcW w:w="2891" w:type="pct"/>
            <w:tcBorders>
              <w:top w:val="single" w:color="auto" w:sz="4" w:space="0"/>
              <w:left w:val="single" w:color="auto" w:sz="4" w:space="0"/>
              <w:bottom w:val="single" w:color="auto" w:sz="4" w:space="0"/>
              <w:right w:val="single" w:color="auto" w:sz="4" w:space="0"/>
            </w:tcBorders>
          </w:tcPr>
          <w:p>
            <w:pPr>
              <w:widowControl/>
              <w:adjustRightInd w:val="0"/>
              <w:snapToGrid w:val="0"/>
              <w:spacing w:beforeLines="10" w:afterLines="10"/>
              <w:rPr>
                <w:rFonts w:ascii="宋体" w:hAnsi="宋体" w:cs="宋体"/>
                <w:color w:val="auto"/>
                <w:kern w:val="0"/>
                <w:sz w:val="24"/>
                <w:highlight w:val="none"/>
              </w:rPr>
            </w:pPr>
            <w:r>
              <w:rPr>
                <w:rFonts w:hint="eastAsia" w:ascii="宋体" w:hAnsi="宋体" w:cs="宋体"/>
                <w:color w:val="auto"/>
                <w:kern w:val="0"/>
                <w:sz w:val="24"/>
                <w:highlight w:val="none"/>
              </w:rPr>
              <w:t>秩序维护总体满意率80%（含）-90%（不含），得分值的80%。</w:t>
            </w:r>
          </w:p>
        </w:tc>
        <w:tc>
          <w:tcPr>
            <w:tcW w:w="50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p>
        </w:tc>
      </w:tr>
      <w:tr>
        <w:tblPrEx>
          <w:tblCellMar>
            <w:top w:w="0" w:type="dxa"/>
            <w:left w:w="108" w:type="dxa"/>
            <w:bottom w:w="0" w:type="dxa"/>
            <w:right w:w="108" w:type="dxa"/>
          </w:tblCellMar>
        </w:tblPrEx>
        <w:trPr>
          <w:jc w:val="center"/>
        </w:trPr>
        <w:tc>
          <w:tcPr>
            <w:tcW w:w="490"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p>
        </w:tc>
        <w:tc>
          <w:tcPr>
            <w:tcW w:w="111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p>
        </w:tc>
        <w:tc>
          <w:tcPr>
            <w:tcW w:w="2891" w:type="pct"/>
            <w:tcBorders>
              <w:top w:val="single" w:color="auto" w:sz="4" w:space="0"/>
              <w:left w:val="single" w:color="auto" w:sz="4" w:space="0"/>
              <w:bottom w:val="single" w:color="auto" w:sz="4" w:space="0"/>
              <w:right w:val="single" w:color="auto" w:sz="4" w:space="0"/>
            </w:tcBorders>
          </w:tcPr>
          <w:p>
            <w:pPr>
              <w:widowControl/>
              <w:adjustRightInd w:val="0"/>
              <w:snapToGrid w:val="0"/>
              <w:spacing w:beforeLines="10" w:afterLines="10"/>
              <w:rPr>
                <w:rFonts w:ascii="宋体" w:hAnsi="宋体" w:cs="宋体"/>
                <w:color w:val="auto"/>
                <w:kern w:val="0"/>
                <w:sz w:val="24"/>
                <w:highlight w:val="none"/>
              </w:rPr>
            </w:pPr>
            <w:r>
              <w:rPr>
                <w:rFonts w:hint="eastAsia" w:ascii="宋体" w:hAnsi="宋体" w:cs="宋体"/>
                <w:color w:val="auto"/>
                <w:kern w:val="0"/>
                <w:sz w:val="24"/>
                <w:highlight w:val="none"/>
              </w:rPr>
              <w:t>秩序维护总体满意率低于80%，得分值的60%</w:t>
            </w:r>
          </w:p>
        </w:tc>
        <w:tc>
          <w:tcPr>
            <w:tcW w:w="50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p>
        </w:tc>
      </w:tr>
      <w:tr>
        <w:tblPrEx>
          <w:tblCellMar>
            <w:top w:w="0" w:type="dxa"/>
            <w:left w:w="108" w:type="dxa"/>
            <w:bottom w:w="0" w:type="dxa"/>
            <w:right w:w="108" w:type="dxa"/>
          </w:tblCellMar>
        </w:tblPrEx>
        <w:trPr>
          <w:jc w:val="center"/>
        </w:trPr>
        <w:tc>
          <w:tcPr>
            <w:tcW w:w="490"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116"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停车场管理服务满意率（20分）</w:t>
            </w:r>
          </w:p>
        </w:tc>
        <w:tc>
          <w:tcPr>
            <w:tcW w:w="2891" w:type="pct"/>
            <w:tcBorders>
              <w:top w:val="single" w:color="auto" w:sz="4" w:space="0"/>
              <w:left w:val="single" w:color="auto" w:sz="4" w:space="0"/>
              <w:bottom w:val="single" w:color="auto" w:sz="4" w:space="0"/>
              <w:right w:val="single" w:color="auto" w:sz="4" w:space="0"/>
            </w:tcBorders>
          </w:tcPr>
          <w:p>
            <w:pPr>
              <w:widowControl/>
              <w:adjustRightInd w:val="0"/>
              <w:snapToGrid w:val="0"/>
              <w:spacing w:beforeLines="10" w:afterLines="10"/>
              <w:rPr>
                <w:rFonts w:ascii="宋体" w:hAnsi="宋体" w:cs="宋体"/>
                <w:color w:val="auto"/>
                <w:kern w:val="0"/>
                <w:sz w:val="24"/>
                <w:highlight w:val="none"/>
              </w:rPr>
            </w:pPr>
            <w:r>
              <w:rPr>
                <w:rFonts w:hint="eastAsia" w:ascii="宋体" w:hAnsi="宋体" w:cs="宋体"/>
                <w:color w:val="auto"/>
                <w:kern w:val="0"/>
                <w:sz w:val="24"/>
                <w:highlight w:val="none"/>
              </w:rPr>
              <w:t>车场管理满意率95%以上，得满分。</w:t>
            </w:r>
          </w:p>
        </w:tc>
        <w:tc>
          <w:tcPr>
            <w:tcW w:w="50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p>
        </w:tc>
      </w:tr>
      <w:tr>
        <w:tblPrEx>
          <w:tblCellMar>
            <w:top w:w="0" w:type="dxa"/>
            <w:left w:w="108" w:type="dxa"/>
            <w:bottom w:w="0" w:type="dxa"/>
            <w:right w:w="108" w:type="dxa"/>
          </w:tblCellMar>
        </w:tblPrEx>
        <w:trPr>
          <w:jc w:val="center"/>
        </w:trPr>
        <w:tc>
          <w:tcPr>
            <w:tcW w:w="490"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p>
        </w:tc>
        <w:tc>
          <w:tcPr>
            <w:tcW w:w="111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p>
        </w:tc>
        <w:tc>
          <w:tcPr>
            <w:tcW w:w="2891" w:type="pct"/>
            <w:tcBorders>
              <w:top w:val="single" w:color="auto" w:sz="4" w:space="0"/>
              <w:left w:val="single" w:color="auto" w:sz="4" w:space="0"/>
              <w:bottom w:val="single" w:color="auto" w:sz="4" w:space="0"/>
              <w:right w:val="single" w:color="auto" w:sz="4" w:space="0"/>
            </w:tcBorders>
          </w:tcPr>
          <w:p>
            <w:pPr>
              <w:widowControl/>
              <w:adjustRightInd w:val="0"/>
              <w:snapToGrid w:val="0"/>
              <w:spacing w:beforeLines="10" w:afterLines="10"/>
              <w:rPr>
                <w:rFonts w:ascii="宋体" w:hAnsi="宋体" w:cs="宋体"/>
                <w:color w:val="auto"/>
                <w:kern w:val="0"/>
                <w:sz w:val="24"/>
                <w:highlight w:val="none"/>
              </w:rPr>
            </w:pPr>
            <w:r>
              <w:rPr>
                <w:rFonts w:hint="eastAsia" w:ascii="宋体" w:hAnsi="宋体" w:cs="宋体"/>
                <w:color w:val="auto"/>
                <w:kern w:val="0"/>
                <w:sz w:val="24"/>
                <w:highlight w:val="none"/>
              </w:rPr>
              <w:t>车场管理满意率90%（含）-95%（不含），得分值的90%。</w:t>
            </w:r>
          </w:p>
        </w:tc>
        <w:tc>
          <w:tcPr>
            <w:tcW w:w="501"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p>
        </w:tc>
      </w:tr>
      <w:tr>
        <w:tblPrEx>
          <w:tblCellMar>
            <w:top w:w="0" w:type="dxa"/>
            <w:left w:w="108" w:type="dxa"/>
            <w:bottom w:w="0" w:type="dxa"/>
            <w:right w:w="108" w:type="dxa"/>
          </w:tblCellMar>
        </w:tblPrEx>
        <w:trPr>
          <w:jc w:val="center"/>
        </w:trPr>
        <w:tc>
          <w:tcPr>
            <w:tcW w:w="490"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p>
        </w:tc>
        <w:tc>
          <w:tcPr>
            <w:tcW w:w="111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p>
        </w:tc>
        <w:tc>
          <w:tcPr>
            <w:tcW w:w="2891" w:type="pct"/>
            <w:tcBorders>
              <w:top w:val="single" w:color="auto" w:sz="4" w:space="0"/>
              <w:left w:val="single" w:color="auto" w:sz="4" w:space="0"/>
              <w:bottom w:val="single" w:color="auto" w:sz="4" w:space="0"/>
              <w:right w:val="single" w:color="auto" w:sz="4" w:space="0"/>
            </w:tcBorders>
          </w:tcPr>
          <w:p>
            <w:pPr>
              <w:widowControl/>
              <w:adjustRightInd w:val="0"/>
              <w:snapToGrid w:val="0"/>
              <w:spacing w:beforeLines="10" w:afterLines="10"/>
              <w:rPr>
                <w:rFonts w:ascii="宋体" w:hAnsi="宋体" w:cs="宋体"/>
                <w:color w:val="auto"/>
                <w:kern w:val="0"/>
                <w:sz w:val="24"/>
                <w:highlight w:val="none"/>
              </w:rPr>
            </w:pPr>
            <w:r>
              <w:rPr>
                <w:rFonts w:hint="eastAsia" w:ascii="宋体" w:hAnsi="宋体" w:cs="宋体"/>
                <w:color w:val="auto"/>
                <w:kern w:val="0"/>
                <w:sz w:val="24"/>
                <w:highlight w:val="none"/>
              </w:rPr>
              <w:t>车场管理满意率80%（含）-90%（不含），得分值的80%。</w:t>
            </w:r>
          </w:p>
        </w:tc>
        <w:tc>
          <w:tcPr>
            <w:tcW w:w="501"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p>
        </w:tc>
      </w:tr>
      <w:tr>
        <w:tblPrEx>
          <w:tblCellMar>
            <w:top w:w="0" w:type="dxa"/>
            <w:left w:w="108" w:type="dxa"/>
            <w:bottom w:w="0" w:type="dxa"/>
            <w:right w:w="108" w:type="dxa"/>
          </w:tblCellMar>
        </w:tblPrEx>
        <w:trPr>
          <w:jc w:val="center"/>
        </w:trPr>
        <w:tc>
          <w:tcPr>
            <w:tcW w:w="490"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p>
        </w:tc>
        <w:tc>
          <w:tcPr>
            <w:tcW w:w="111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p>
        </w:tc>
        <w:tc>
          <w:tcPr>
            <w:tcW w:w="2891" w:type="pct"/>
            <w:tcBorders>
              <w:top w:val="single" w:color="auto" w:sz="4" w:space="0"/>
              <w:left w:val="single" w:color="auto" w:sz="4" w:space="0"/>
              <w:bottom w:val="single" w:color="auto" w:sz="4" w:space="0"/>
              <w:right w:val="single" w:color="auto" w:sz="4" w:space="0"/>
            </w:tcBorders>
          </w:tcPr>
          <w:p>
            <w:pPr>
              <w:widowControl/>
              <w:adjustRightInd w:val="0"/>
              <w:snapToGrid w:val="0"/>
              <w:spacing w:beforeLines="10" w:afterLines="10"/>
              <w:rPr>
                <w:rFonts w:ascii="宋体" w:hAnsi="宋体" w:cs="宋体"/>
                <w:color w:val="auto"/>
                <w:kern w:val="0"/>
                <w:sz w:val="24"/>
                <w:highlight w:val="none"/>
              </w:rPr>
            </w:pPr>
            <w:r>
              <w:rPr>
                <w:rFonts w:hint="eastAsia" w:ascii="宋体" w:hAnsi="宋体" w:cs="宋体"/>
                <w:color w:val="auto"/>
                <w:kern w:val="0"/>
                <w:sz w:val="24"/>
                <w:highlight w:val="none"/>
              </w:rPr>
              <w:t>车场管理满意率低于80%，得分值的60%</w:t>
            </w:r>
          </w:p>
        </w:tc>
        <w:tc>
          <w:tcPr>
            <w:tcW w:w="501"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p>
        </w:tc>
      </w:tr>
      <w:tr>
        <w:tblPrEx>
          <w:tblCellMar>
            <w:top w:w="0" w:type="dxa"/>
            <w:left w:w="108" w:type="dxa"/>
            <w:bottom w:w="0" w:type="dxa"/>
            <w:right w:w="108" w:type="dxa"/>
          </w:tblCellMar>
        </w:tblPrEx>
        <w:trPr>
          <w:jc w:val="center"/>
        </w:trPr>
        <w:tc>
          <w:tcPr>
            <w:tcW w:w="490" w:type="pct"/>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116" w:type="pct"/>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刑事案件（40分）</w:t>
            </w:r>
          </w:p>
        </w:tc>
        <w:tc>
          <w:tcPr>
            <w:tcW w:w="2891" w:type="pct"/>
            <w:tcBorders>
              <w:top w:val="single" w:color="auto" w:sz="4" w:space="0"/>
              <w:left w:val="single" w:color="auto" w:sz="4" w:space="0"/>
              <w:bottom w:val="single" w:color="auto" w:sz="4" w:space="0"/>
              <w:right w:val="single" w:color="auto" w:sz="4" w:space="0"/>
            </w:tcBorders>
          </w:tcPr>
          <w:p>
            <w:pPr>
              <w:widowControl/>
              <w:adjustRightInd w:val="0"/>
              <w:snapToGrid w:val="0"/>
              <w:spacing w:beforeLines="10" w:afterLines="10"/>
              <w:rPr>
                <w:rFonts w:ascii="宋体" w:hAnsi="宋体" w:cs="宋体"/>
                <w:color w:val="auto"/>
                <w:kern w:val="0"/>
                <w:sz w:val="24"/>
                <w:highlight w:val="none"/>
              </w:rPr>
            </w:pPr>
            <w:r>
              <w:rPr>
                <w:rFonts w:hint="eastAsia" w:ascii="宋体" w:hAnsi="宋体" w:cs="宋体"/>
                <w:color w:val="auto"/>
                <w:kern w:val="0"/>
                <w:sz w:val="24"/>
                <w:highlight w:val="none"/>
              </w:rPr>
              <w:t>未因物业管理原因发生刑事案件（得满分）</w:t>
            </w:r>
          </w:p>
        </w:tc>
        <w:tc>
          <w:tcPr>
            <w:tcW w:w="501"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p>
        </w:tc>
      </w:tr>
      <w:tr>
        <w:tblPrEx>
          <w:tblCellMar>
            <w:top w:w="0" w:type="dxa"/>
            <w:left w:w="108" w:type="dxa"/>
            <w:bottom w:w="0" w:type="dxa"/>
            <w:right w:w="108" w:type="dxa"/>
          </w:tblCellMar>
        </w:tblPrEx>
        <w:trPr>
          <w:jc w:val="center"/>
        </w:trPr>
        <w:tc>
          <w:tcPr>
            <w:tcW w:w="490"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p>
        </w:tc>
        <w:tc>
          <w:tcPr>
            <w:tcW w:w="111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p>
        </w:tc>
        <w:tc>
          <w:tcPr>
            <w:tcW w:w="2891" w:type="pct"/>
            <w:tcBorders>
              <w:top w:val="single" w:color="auto" w:sz="4" w:space="0"/>
              <w:left w:val="single" w:color="auto" w:sz="4" w:space="0"/>
              <w:bottom w:val="single" w:color="auto" w:sz="4" w:space="0"/>
              <w:right w:val="single" w:color="auto" w:sz="4" w:space="0"/>
            </w:tcBorders>
          </w:tcPr>
          <w:p>
            <w:pPr>
              <w:widowControl/>
              <w:adjustRightInd w:val="0"/>
              <w:snapToGrid w:val="0"/>
              <w:spacing w:beforeLines="10" w:afterLines="10"/>
              <w:rPr>
                <w:rFonts w:ascii="宋体" w:hAnsi="宋体" w:cs="宋体"/>
                <w:color w:val="auto"/>
                <w:kern w:val="0"/>
                <w:sz w:val="24"/>
                <w:highlight w:val="none"/>
              </w:rPr>
            </w:pPr>
            <w:r>
              <w:rPr>
                <w:rFonts w:hint="eastAsia" w:ascii="宋体" w:hAnsi="宋体" w:cs="宋体"/>
                <w:color w:val="auto"/>
                <w:kern w:val="0"/>
                <w:sz w:val="24"/>
                <w:highlight w:val="none"/>
              </w:rPr>
              <w:t>因物业管理原因发生刑事案件（得0分）</w:t>
            </w:r>
          </w:p>
        </w:tc>
        <w:tc>
          <w:tcPr>
            <w:tcW w:w="501"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p>
        </w:tc>
      </w:tr>
      <w:bookmarkEnd w:id="18"/>
      <w:bookmarkEnd w:id="19"/>
    </w:tbl>
    <w:p>
      <w:pPr>
        <w:widowControl/>
        <w:adjustRightInd w:val="0"/>
        <w:snapToGrid w:val="0"/>
        <w:spacing w:beforeLines="10" w:afterLines="10" w:line="360" w:lineRule="auto"/>
        <w:ind w:firstLine="480" w:firstLineChars="200"/>
        <w:rPr>
          <w:rFonts w:ascii="宋体" w:hAnsi="宋体" w:cs="宋体"/>
          <w:snapToGrid w:val="0"/>
          <w:color w:val="auto"/>
          <w:sz w:val="24"/>
          <w:highlight w:val="none"/>
        </w:rPr>
      </w:pPr>
      <w:bookmarkStart w:id="20" w:name="_Toc21235"/>
      <w:bookmarkStart w:id="21" w:name="_Toc3170"/>
      <w:r>
        <w:rPr>
          <w:rFonts w:hint="eastAsia" w:ascii="宋体" w:hAnsi="宋体" w:cs="宋体"/>
          <w:snapToGrid w:val="0"/>
          <w:color w:val="auto"/>
          <w:sz w:val="24"/>
          <w:highlight w:val="none"/>
        </w:rPr>
        <w:t>2.环境卫生保洁服务</w:t>
      </w:r>
      <w:bookmarkEnd w:id="20"/>
      <w:bookmarkEnd w:id="21"/>
    </w:p>
    <w:tbl>
      <w:tblPr>
        <w:tblStyle w:val="64"/>
        <w:tblW w:w="5000" w:type="pct"/>
        <w:jc w:val="center"/>
        <w:tblLayout w:type="fixed"/>
        <w:tblCellMar>
          <w:top w:w="0" w:type="dxa"/>
          <w:left w:w="108" w:type="dxa"/>
          <w:bottom w:w="0" w:type="dxa"/>
          <w:right w:w="108" w:type="dxa"/>
        </w:tblCellMar>
      </w:tblPr>
      <w:tblGrid>
        <w:gridCol w:w="980"/>
        <w:gridCol w:w="2171"/>
        <w:gridCol w:w="5712"/>
        <w:gridCol w:w="991"/>
      </w:tblGrid>
      <w:tr>
        <w:tblPrEx>
          <w:tblCellMar>
            <w:top w:w="0" w:type="dxa"/>
            <w:left w:w="108" w:type="dxa"/>
            <w:bottom w:w="0" w:type="dxa"/>
            <w:right w:w="108" w:type="dxa"/>
          </w:tblCellMar>
        </w:tblPrEx>
        <w:trPr>
          <w:jc w:val="center"/>
        </w:trPr>
        <w:tc>
          <w:tcPr>
            <w:tcW w:w="49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1101" w:type="pct"/>
            <w:tcBorders>
              <w:top w:val="single" w:color="auto" w:sz="4" w:space="0"/>
              <w:left w:val="nil"/>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服务内容</w:t>
            </w:r>
          </w:p>
        </w:tc>
        <w:tc>
          <w:tcPr>
            <w:tcW w:w="2897" w:type="pct"/>
            <w:tcBorders>
              <w:top w:val="single" w:color="auto" w:sz="4" w:space="0"/>
              <w:left w:val="nil"/>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考核标准</w:t>
            </w:r>
          </w:p>
        </w:tc>
        <w:tc>
          <w:tcPr>
            <w:tcW w:w="503" w:type="pct"/>
            <w:tcBorders>
              <w:top w:val="single" w:color="auto" w:sz="4" w:space="0"/>
              <w:left w:val="nil"/>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考核得分</w:t>
            </w:r>
          </w:p>
        </w:tc>
      </w:tr>
      <w:tr>
        <w:tblPrEx>
          <w:tblCellMar>
            <w:top w:w="0" w:type="dxa"/>
            <w:left w:w="108" w:type="dxa"/>
            <w:bottom w:w="0" w:type="dxa"/>
            <w:right w:w="108" w:type="dxa"/>
          </w:tblCellMar>
        </w:tblPrEx>
        <w:trPr>
          <w:jc w:val="center"/>
        </w:trPr>
        <w:tc>
          <w:tcPr>
            <w:tcW w:w="497" w:type="pct"/>
            <w:vMerge w:val="restart"/>
            <w:tcBorders>
              <w:top w:val="nil"/>
              <w:left w:val="single" w:color="auto" w:sz="4" w:space="0"/>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101" w:type="pct"/>
            <w:vMerge w:val="restart"/>
            <w:tcBorders>
              <w:top w:val="nil"/>
              <w:left w:val="single" w:color="auto" w:sz="4" w:space="0"/>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保洁总体合格率（20分）</w:t>
            </w:r>
          </w:p>
        </w:tc>
        <w:tc>
          <w:tcPr>
            <w:tcW w:w="2897" w:type="pct"/>
            <w:tcBorders>
              <w:top w:val="nil"/>
              <w:left w:val="nil"/>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总体保洁合格率95%以上，得满分。</w:t>
            </w:r>
          </w:p>
        </w:tc>
        <w:tc>
          <w:tcPr>
            <w:tcW w:w="503" w:type="pct"/>
            <w:tcBorders>
              <w:top w:val="nil"/>
              <w:left w:val="nil"/>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jc w:val="center"/>
        </w:trPr>
        <w:tc>
          <w:tcPr>
            <w:tcW w:w="49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1101"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2897" w:type="pct"/>
            <w:tcBorders>
              <w:top w:val="nil"/>
              <w:left w:val="nil"/>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总体保洁合格率90%（含）-95%（不含），得分值的90%。</w:t>
            </w:r>
          </w:p>
        </w:tc>
        <w:tc>
          <w:tcPr>
            <w:tcW w:w="503" w:type="pct"/>
            <w:tcBorders>
              <w:top w:val="nil"/>
              <w:left w:val="nil"/>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jc w:val="center"/>
        </w:trPr>
        <w:tc>
          <w:tcPr>
            <w:tcW w:w="49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1101"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2897" w:type="pct"/>
            <w:tcBorders>
              <w:top w:val="nil"/>
              <w:left w:val="nil"/>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总体保洁合格率80%（含）-90%（不含），得分值的80%。</w:t>
            </w:r>
          </w:p>
        </w:tc>
        <w:tc>
          <w:tcPr>
            <w:tcW w:w="503" w:type="pct"/>
            <w:tcBorders>
              <w:top w:val="nil"/>
              <w:left w:val="nil"/>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jc w:val="center"/>
        </w:trPr>
        <w:tc>
          <w:tcPr>
            <w:tcW w:w="49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1101"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2897" w:type="pct"/>
            <w:tcBorders>
              <w:top w:val="nil"/>
              <w:left w:val="nil"/>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总体保洁合格率低于80%，得分值的60%</w:t>
            </w:r>
          </w:p>
        </w:tc>
        <w:tc>
          <w:tcPr>
            <w:tcW w:w="503" w:type="pct"/>
            <w:tcBorders>
              <w:top w:val="nil"/>
              <w:left w:val="nil"/>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jc w:val="center"/>
        </w:trPr>
        <w:tc>
          <w:tcPr>
            <w:tcW w:w="497" w:type="pct"/>
            <w:vMerge w:val="restart"/>
            <w:tcBorders>
              <w:top w:val="nil"/>
              <w:left w:val="single" w:color="auto" w:sz="4" w:space="0"/>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101" w:type="pct"/>
            <w:vMerge w:val="restart"/>
            <w:tcBorders>
              <w:top w:val="nil"/>
              <w:left w:val="single" w:color="auto" w:sz="4" w:space="0"/>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室内公共区域保洁合格率（20分）</w:t>
            </w:r>
          </w:p>
        </w:tc>
        <w:tc>
          <w:tcPr>
            <w:tcW w:w="2897" w:type="pct"/>
            <w:tcBorders>
              <w:top w:val="nil"/>
              <w:left w:val="nil"/>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保洁合格率95%以上，得满分。</w:t>
            </w:r>
          </w:p>
        </w:tc>
        <w:tc>
          <w:tcPr>
            <w:tcW w:w="503" w:type="pct"/>
            <w:tcBorders>
              <w:top w:val="nil"/>
              <w:left w:val="nil"/>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jc w:val="center"/>
        </w:trPr>
        <w:tc>
          <w:tcPr>
            <w:tcW w:w="49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1101"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2897" w:type="pct"/>
            <w:tcBorders>
              <w:top w:val="nil"/>
              <w:left w:val="nil"/>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保洁合格率90%（含）-95%（不含），得分值的90%。</w:t>
            </w:r>
          </w:p>
        </w:tc>
        <w:tc>
          <w:tcPr>
            <w:tcW w:w="503" w:type="pct"/>
            <w:tcBorders>
              <w:top w:val="nil"/>
              <w:left w:val="nil"/>
              <w:bottom w:val="single" w:color="auto"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jc w:val="center"/>
        </w:trPr>
        <w:tc>
          <w:tcPr>
            <w:tcW w:w="49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1101"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2897" w:type="pct"/>
            <w:tcBorders>
              <w:top w:val="nil"/>
              <w:left w:val="nil"/>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保洁合格率80%（含）-90%（不含），得分值的80%。</w:t>
            </w:r>
          </w:p>
        </w:tc>
        <w:tc>
          <w:tcPr>
            <w:tcW w:w="503" w:type="pct"/>
            <w:tcBorders>
              <w:top w:val="nil"/>
              <w:left w:val="nil"/>
              <w:bottom w:val="single" w:color="auto"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jc w:val="center"/>
        </w:trPr>
        <w:tc>
          <w:tcPr>
            <w:tcW w:w="49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1101"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2897" w:type="pct"/>
            <w:tcBorders>
              <w:top w:val="nil"/>
              <w:left w:val="nil"/>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保洁合格率低于80%，得分值的60%。</w:t>
            </w:r>
          </w:p>
        </w:tc>
        <w:tc>
          <w:tcPr>
            <w:tcW w:w="503" w:type="pct"/>
            <w:tcBorders>
              <w:top w:val="nil"/>
              <w:left w:val="nil"/>
              <w:bottom w:val="single" w:color="auto"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jc w:val="center"/>
        </w:trPr>
        <w:tc>
          <w:tcPr>
            <w:tcW w:w="497" w:type="pct"/>
            <w:vMerge w:val="restart"/>
            <w:tcBorders>
              <w:top w:val="nil"/>
              <w:left w:val="single" w:color="auto" w:sz="4" w:space="0"/>
              <w:bottom w:val="single" w:color="000000"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101" w:type="pct"/>
            <w:vMerge w:val="restart"/>
            <w:tcBorders>
              <w:top w:val="nil"/>
              <w:left w:val="single" w:color="auto" w:sz="4" w:space="0"/>
              <w:bottom w:val="single" w:color="000000"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入室保洁合格率（10分）</w:t>
            </w:r>
          </w:p>
        </w:tc>
        <w:tc>
          <w:tcPr>
            <w:tcW w:w="2897" w:type="pct"/>
            <w:tcBorders>
              <w:top w:val="nil"/>
              <w:left w:val="nil"/>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入室保洁合格率95%以上，得满分。</w:t>
            </w:r>
          </w:p>
        </w:tc>
        <w:tc>
          <w:tcPr>
            <w:tcW w:w="503" w:type="pct"/>
            <w:tcBorders>
              <w:top w:val="nil"/>
              <w:left w:val="nil"/>
              <w:bottom w:val="single" w:color="auto"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jc w:val="center"/>
        </w:trPr>
        <w:tc>
          <w:tcPr>
            <w:tcW w:w="497"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1101"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2897" w:type="pct"/>
            <w:tcBorders>
              <w:top w:val="nil"/>
              <w:left w:val="nil"/>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入室保洁合格率90%（含）-95%（不含），得分值的90%。</w:t>
            </w:r>
          </w:p>
        </w:tc>
        <w:tc>
          <w:tcPr>
            <w:tcW w:w="503" w:type="pct"/>
            <w:tcBorders>
              <w:top w:val="nil"/>
              <w:left w:val="nil"/>
              <w:bottom w:val="single" w:color="auto"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jc w:val="center"/>
        </w:trPr>
        <w:tc>
          <w:tcPr>
            <w:tcW w:w="497"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1101"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2897" w:type="pct"/>
            <w:tcBorders>
              <w:top w:val="nil"/>
              <w:left w:val="nil"/>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入室保洁合格率80%（含）-90%（不含），得分值的80%。</w:t>
            </w:r>
          </w:p>
        </w:tc>
        <w:tc>
          <w:tcPr>
            <w:tcW w:w="503" w:type="pct"/>
            <w:tcBorders>
              <w:top w:val="nil"/>
              <w:left w:val="nil"/>
              <w:bottom w:val="single" w:color="auto"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jc w:val="center"/>
        </w:trPr>
        <w:tc>
          <w:tcPr>
            <w:tcW w:w="497"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1101"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2897" w:type="pct"/>
            <w:tcBorders>
              <w:top w:val="nil"/>
              <w:left w:val="nil"/>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入室保洁合格率低于80%，得分值的60%。</w:t>
            </w:r>
          </w:p>
        </w:tc>
        <w:tc>
          <w:tcPr>
            <w:tcW w:w="503" w:type="pct"/>
            <w:tcBorders>
              <w:top w:val="nil"/>
              <w:left w:val="nil"/>
              <w:bottom w:val="single" w:color="auto"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jc w:val="center"/>
        </w:trPr>
        <w:tc>
          <w:tcPr>
            <w:tcW w:w="497" w:type="pct"/>
            <w:vMerge w:val="restart"/>
            <w:tcBorders>
              <w:top w:val="nil"/>
              <w:left w:val="single" w:color="auto" w:sz="4" w:space="0"/>
              <w:bottom w:val="single" w:color="auto"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101" w:type="pct"/>
            <w:vMerge w:val="restart"/>
            <w:tcBorders>
              <w:top w:val="nil"/>
              <w:left w:val="single" w:color="auto" w:sz="4" w:space="0"/>
              <w:bottom w:val="single" w:color="auto"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室外公共区域保洁合格率（20分）</w:t>
            </w:r>
          </w:p>
        </w:tc>
        <w:tc>
          <w:tcPr>
            <w:tcW w:w="2897" w:type="pct"/>
            <w:tcBorders>
              <w:top w:val="nil"/>
              <w:left w:val="nil"/>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保洁合格率95%以上，得满分。</w:t>
            </w:r>
          </w:p>
        </w:tc>
        <w:tc>
          <w:tcPr>
            <w:tcW w:w="503" w:type="pct"/>
            <w:tcBorders>
              <w:top w:val="nil"/>
              <w:left w:val="nil"/>
              <w:bottom w:val="single" w:color="auto"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jc w:val="center"/>
        </w:trPr>
        <w:tc>
          <w:tcPr>
            <w:tcW w:w="49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1101"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2897" w:type="pct"/>
            <w:tcBorders>
              <w:top w:val="nil"/>
              <w:left w:val="nil"/>
              <w:bottom w:val="single" w:color="auto" w:sz="4" w:space="0"/>
              <w:right w:val="single" w:color="auto" w:sz="4" w:space="0"/>
            </w:tcBorders>
            <w:noWrap/>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保洁合格率90%（含）-95%（不含），得分值的90%。</w:t>
            </w:r>
          </w:p>
        </w:tc>
        <w:tc>
          <w:tcPr>
            <w:tcW w:w="503" w:type="pct"/>
            <w:tcBorders>
              <w:top w:val="nil"/>
              <w:left w:val="nil"/>
              <w:bottom w:val="single" w:color="auto"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jc w:val="center"/>
        </w:trPr>
        <w:tc>
          <w:tcPr>
            <w:tcW w:w="49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1101"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2897" w:type="pct"/>
            <w:tcBorders>
              <w:top w:val="nil"/>
              <w:left w:val="nil"/>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保洁合格率80%（含）-90%（不含），得分值的80%。</w:t>
            </w:r>
          </w:p>
        </w:tc>
        <w:tc>
          <w:tcPr>
            <w:tcW w:w="503" w:type="pct"/>
            <w:tcBorders>
              <w:top w:val="nil"/>
              <w:left w:val="nil"/>
              <w:bottom w:val="single" w:color="auto" w:sz="4" w:space="0"/>
              <w:right w:val="single" w:color="auto" w:sz="4" w:space="0"/>
            </w:tcBorders>
            <w:noWrap/>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jc w:val="center"/>
        </w:trPr>
        <w:tc>
          <w:tcPr>
            <w:tcW w:w="49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1101"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2897" w:type="pct"/>
            <w:tcBorders>
              <w:top w:val="nil"/>
              <w:left w:val="nil"/>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保洁合格率低于80%，得分值的60%。</w:t>
            </w:r>
          </w:p>
        </w:tc>
        <w:tc>
          <w:tcPr>
            <w:tcW w:w="503" w:type="pct"/>
            <w:tcBorders>
              <w:top w:val="nil"/>
              <w:left w:val="nil"/>
              <w:bottom w:val="single" w:color="auto" w:sz="4" w:space="0"/>
              <w:right w:val="single" w:color="auto" w:sz="4" w:space="0"/>
            </w:tcBorders>
            <w:noWrap/>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jc w:val="center"/>
        </w:trPr>
        <w:tc>
          <w:tcPr>
            <w:tcW w:w="497" w:type="pct"/>
            <w:vMerge w:val="restart"/>
            <w:tcBorders>
              <w:top w:val="nil"/>
              <w:left w:val="single" w:color="auto" w:sz="4" w:space="0"/>
              <w:bottom w:val="single" w:color="auto"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101" w:type="pct"/>
            <w:vMerge w:val="restart"/>
            <w:tcBorders>
              <w:top w:val="nil"/>
              <w:left w:val="single" w:color="auto" w:sz="4" w:space="0"/>
              <w:bottom w:val="single" w:color="auto"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垃圾清运及时率（10分）</w:t>
            </w:r>
          </w:p>
        </w:tc>
        <w:tc>
          <w:tcPr>
            <w:tcW w:w="2897" w:type="pct"/>
            <w:tcBorders>
              <w:top w:val="nil"/>
              <w:left w:val="nil"/>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垃圾清运及时率95%以上，得满分。</w:t>
            </w:r>
          </w:p>
        </w:tc>
        <w:tc>
          <w:tcPr>
            <w:tcW w:w="503" w:type="pct"/>
            <w:tcBorders>
              <w:top w:val="nil"/>
              <w:left w:val="nil"/>
              <w:bottom w:val="single" w:color="auto"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jc w:val="center"/>
        </w:trPr>
        <w:tc>
          <w:tcPr>
            <w:tcW w:w="49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1101"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2897" w:type="pct"/>
            <w:tcBorders>
              <w:top w:val="nil"/>
              <w:left w:val="nil"/>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垃圾清运及时率90%（含）-95%（不含），得分值的90%。</w:t>
            </w:r>
          </w:p>
        </w:tc>
        <w:tc>
          <w:tcPr>
            <w:tcW w:w="503" w:type="pct"/>
            <w:tcBorders>
              <w:top w:val="nil"/>
              <w:left w:val="nil"/>
              <w:bottom w:val="single" w:color="auto"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jc w:val="center"/>
        </w:trPr>
        <w:tc>
          <w:tcPr>
            <w:tcW w:w="49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1101"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2897" w:type="pct"/>
            <w:tcBorders>
              <w:top w:val="nil"/>
              <w:left w:val="nil"/>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垃圾清运及时率80%（含）-90%（不含），得分值的80%。</w:t>
            </w:r>
          </w:p>
        </w:tc>
        <w:tc>
          <w:tcPr>
            <w:tcW w:w="503" w:type="pct"/>
            <w:tcBorders>
              <w:top w:val="nil"/>
              <w:left w:val="nil"/>
              <w:bottom w:val="single" w:color="auto"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jc w:val="center"/>
        </w:trPr>
        <w:tc>
          <w:tcPr>
            <w:tcW w:w="49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1101"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2897" w:type="pct"/>
            <w:tcBorders>
              <w:top w:val="nil"/>
              <w:left w:val="nil"/>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垃圾清运及时率低于80%，得分值的60%</w:t>
            </w:r>
          </w:p>
        </w:tc>
        <w:tc>
          <w:tcPr>
            <w:tcW w:w="503" w:type="pct"/>
            <w:tcBorders>
              <w:top w:val="nil"/>
              <w:left w:val="nil"/>
              <w:bottom w:val="single" w:color="auto"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jc w:val="center"/>
        </w:trPr>
        <w:tc>
          <w:tcPr>
            <w:tcW w:w="497" w:type="pct"/>
            <w:vMerge w:val="restart"/>
            <w:tcBorders>
              <w:top w:val="nil"/>
              <w:left w:val="single" w:color="auto" w:sz="4" w:space="0"/>
              <w:bottom w:val="single" w:color="000000"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101" w:type="pct"/>
            <w:vMerge w:val="restart"/>
            <w:tcBorders>
              <w:top w:val="nil"/>
              <w:left w:val="single" w:color="auto" w:sz="4" w:space="0"/>
              <w:bottom w:val="single" w:color="000000"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环境消杀（20分）</w:t>
            </w:r>
          </w:p>
        </w:tc>
        <w:tc>
          <w:tcPr>
            <w:tcW w:w="2897" w:type="pct"/>
            <w:tcBorders>
              <w:top w:val="nil"/>
              <w:left w:val="nil"/>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环境消杀面积95%以上，得满分。</w:t>
            </w:r>
          </w:p>
        </w:tc>
        <w:tc>
          <w:tcPr>
            <w:tcW w:w="503" w:type="pct"/>
            <w:tcBorders>
              <w:top w:val="nil"/>
              <w:left w:val="nil"/>
              <w:bottom w:val="single" w:color="auto"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jc w:val="center"/>
        </w:trPr>
        <w:tc>
          <w:tcPr>
            <w:tcW w:w="497"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1101"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2897" w:type="pct"/>
            <w:tcBorders>
              <w:top w:val="nil"/>
              <w:left w:val="nil"/>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环境消杀面积90%（含）-95%（不含），得分值的90%。</w:t>
            </w:r>
          </w:p>
        </w:tc>
        <w:tc>
          <w:tcPr>
            <w:tcW w:w="503" w:type="pct"/>
            <w:tcBorders>
              <w:top w:val="nil"/>
              <w:left w:val="nil"/>
              <w:bottom w:val="single" w:color="auto"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jc w:val="center"/>
        </w:trPr>
        <w:tc>
          <w:tcPr>
            <w:tcW w:w="497"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1101"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2897" w:type="pct"/>
            <w:tcBorders>
              <w:top w:val="nil"/>
              <w:left w:val="nil"/>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环境消杀面积80%（含）-90%（不含），得分值的80%。</w:t>
            </w:r>
          </w:p>
        </w:tc>
        <w:tc>
          <w:tcPr>
            <w:tcW w:w="503" w:type="pct"/>
            <w:tcBorders>
              <w:top w:val="nil"/>
              <w:left w:val="nil"/>
              <w:bottom w:val="single" w:color="auto"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jc w:val="center"/>
        </w:trPr>
        <w:tc>
          <w:tcPr>
            <w:tcW w:w="497"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1101"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2897" w:type="pct"/>
            <w:tcBorders>
              <w:top w:val="nil"/>
              <w:left w:val="nil"/>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环境消杀面积低于80%，得分值的60%</w:t>
            </w:r>
          </w:p>
        </w:tc>
        <w:tc>
          <w:tcPr>
            <w:tcW w:w="503" w:type="pct"/>
            <w:tcBorders>
              <w:top w:val="nil"/>
              <w:left w:val="nil"/>
              <w:bottom w:val="single" w:color="auto" w:sz="4" w:space="0"/>
              <w:right w:val="single" w:color="auto" w:sz="4" w:space="0"/>
            </w:tcBorders>
            <w:noWrap/>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bl>
    <w:p>
      <w:pPr>
        <w:widowControl/>
        <w:adjustRightInd w:val="0"/>
        <w:snapToGrid w:val="0"/>
        <w:spacing w:beforeLines="10" w:afterLines="10" w:line="360" w:lineRule="auto"/>
        <w:ind w:firstLine="480" w:firstLineChars="200"/>
        <w:rPr>
          <w:rFonts w:ascii="宋体" w:hAnsi="宋体" w:cs="宋体"/>
          <w:snapToGrid w:val="0"/>
          <w:color w:val="auto"/>
          <w:sz w:val="24"/>
          <w:highlight w:val="none"/>
        </w:rPr>
      </w:pPr>
      <w:r>
        <w:rPr>
          <w:rFonts w:hint="eastAsia" w:ascii="宋体" w:hAnsi="宋体" w:cs="宋体"/>
          <w:snapToGrid w:val="0"/>
          <w:color w:val="auto"/>
          <w:sz w:val="24"/>
          <w:highlight w:val="none"/>
        </w:rPr>
        <w:t>3.消防管理服务</w:t>
      </w:r>
    </w:p>
    <w:tbl>
      <w:tblPr>
        <w:tblStyle w:val="64"/>
        <w:tblW w:w="4996" w:type="pct"/>
        <w:jc w:val="center"/>
        <w:tblLayout w:type="fixed"/>
        <w:tblCellMar>
          <w:top w:w="0" w:type="dxa"/>
          <w:left w:w="108" w:type="dxa"/>
          <w:bottom w:w="0" w:type="dxa"/>
          <w:right w:w="108" w:type="dxa"/>
        </w:tblCellMar>
      </w:tblPr>
      <w:tblGrid>
        <w:gridCol w:w="978"/>
        <w:gridCol w:w="2169"/>
        <w:gridCol w:w="5722"/>
        <w:gridCol w:w="977"/>
      </w:tblGrid>
      <w:tr>
        <w:tblPrEx>
          <w:tblCellMar>
            <w:top w:w="0" w:type="dxa"/>
            <w:left w:w="108" w:type="dxa"/>
            <w:bottom w:w="0" w:type="dxa"/>
            <w:right w:w="108" w:type="dxa"/>
          </w:tblCellMar>
        </w:tblPrEx>
        <w:trPr>
          <w:jc w:val="center"/>
        </w:trPr>
        <w:tc>
          <w:tcPr>
            <w:tcW w:w="496"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1101"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服务内容</w:t>
            </w:r>
          </w:p>
        </w:tc>
        <w:tc>
          <w:tcPr>
            <w:tcW w:w="29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考核标准</w:t>
            </w:r>
          </w:p>
        </w:tc>
        <w:tc>
          <w:tcPr>
            <w:tcW w:w="496"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考核得分</w:t>
            </w:r>
          </w:p>
        </w:tc>
      </w:tr>
      <w:tr>
        <w:tblPrEx>
          <w:tblCellMar>
            <w:top w:w="0" w:type="dxa"/>
            <w:left w:w="108" w:type="dxa"/>
            <w:bottom w:w="0" w:type="dxa"/>
            <w:right w:w="108" w:type="dxa"/>
          </w:tblCellMar>
        </w:tblPrEx>
        <w:trPr>
          <w:jc w:val="center"/>
        </w:trPr>
        <w:tc>
          <w:tcPr>
            <w:tcW w:w="496" w:type="pct"/>
            <w:vMerge w:val="restart"/>
            <w:tcBorders>
              <w:top w:val="single" w:color="auto" w:sz="4" w:space="0"/>
              <w:left w:val="single" w:color="auto"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101" w:type="pct"/>
            <w:vMerge w:val="restart"/>
            <w:tcBorders>
              <w:top w:val="single" w:color="auto" w:sz="4" w:space="0"/>
              <w:left w:val="single" w:color="auto"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消防安全（按照工作完成情况和占的分值进行打分）</w:t>
            </w:r>
          </w:p>
        </w:tc>
        <w:tc>
          <w:tcPr>
            <w:tcW w:w="29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未因物业管理原因发生火灾（20分）</w:t>
            </w:r>
          </w:p>
        </w:tc>
        <w:tc>
          <w:tcPr>
            <w:tcW w:w="496"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jc w:val="center"/>
        </w:trPr>
        <w:tc>
          <w:tcPr>
            <w:tcW w:w="496" w:type="pct"/>
            <w:vMerge w:val="continue"/>
            <w:tcBorders>
              <w:left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1101" w:type="pct"/>
            <w:vMerge w:val="continue"/>
            <w:tcBorders>
              <w:left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29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因物业管理原因发生火灾1次（含1次）以上（扣20分）</w:t>
            </w:r>
          </w:p>
        </w:tc>
        <w:tc>
          <w:tcPr>
            <w:tcW w:w="496"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jc w:val="center"/>
        </w:trPr>
        <w:tc>
          <w:tcPr>
            <w:tcW w:w="496" w:type="pct"/>
            <w:vMerge w:val="continue"/>
            <w:tcBorders>
              <w:left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1101" w:type="pct"/>
            <w:vMerge w:val="continue"/>
            <w:tcBorders>
              <w:left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29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按计划完成全年消防安全演练计划（20分）</w:t>
            </w:r>
          </w:p>
        </w:tc>
        <w:tc>
          <w:tcPr>
            <w:tcW w:w="496"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jc w:val="center"/>
        </w:trPr>
        <w:tc>
          <w:tcPr>
            <w:tcW w:w="496" w:type="pct"/>
            <w:vMerge w:val="continue"/>
            <w:tcBorders>
              <w:left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1101" w:type="pct"/>
            <w:vMerge w:val="continue"/>
            <w:tcBorders>
              <w:left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29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因物业管理原因未能完成消防安全计划（扣20分）</w:t>
            </w:r>
          </w:p>
        </w:tc>
        <w:tc>
          <w:tcPr>
            <w:tcW w:w="496"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jc w:val="center"/>
        </w:trPr>
        <w:tc>
          <w:tcPr>
            <w:tcW w:w="496" w:type="pct"/>
            <w:vMerge w:val="continue"/>
            <w:tcBorders>
              <w:left w:val="single" w:color="auto" w:sz="4" w:space="0"/>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1101" w:type="pct"/>
            <w:vMerge w:val="continue"/>
            <w:tcBorders>
              <w:left w:val="single" w:color="auto" w:sz="4" w:space="0"/>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29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按计划完成消防设备、设施巡视巡查及维护工作（60分）</w:t>
            </w:r>
          </w:p>
        </w:tc>
        <w:tc>
          <w:tcPr>
            <w:tcW w:w="496"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beforeLines="10" w:afterLines="10"/>
              <w:jc w:val="left"/>
              <w:rPr>
                <w:rFonts w:ascii="宋体" w:hAnsi="宋体" w:cs="宋体"/>
                <w:color w:val="auto"/>
                <w:kern w:val="0"/>
                <w:sz w:val="24"/>
                <w:highlight w:val="none"/>
              </w:rPr>
            </w:pPr>
          </w:p>
        </w:tc>
      </w:tr>
    </w:tbl>
    <w:p>
      <w:pPr>
        <w:widowControl/>
        <w:adjustRightInd w:val="0"/>
        <w:snapToGrid w:val="0"/>
        <w:spacing w:beforeLines="10" w:afterLines="10" w:line="360" w:lineRule="auto"/>
        <w:ind w:firstLine="480" w:firstLineChars="200"/>
        <w:rPr>
          <w:rFonts w:ascii="宋体" w:hAnsi="宋体" w:cs="宋体"/>
          <w:snapToGrid w:val="0"/>
          <w:color w:val="auto"/>
          <w:sz w:val="24"/>
          <w:highlight w:val="none"/>
        </w:rPr>
      </w:pPr>
      <w:bookmarkStart w:id="22" w:name="_Toc30996"/>
      <w:bookmarkStart w:id="23" w:name="_Toc25425"/>
      <w:r>
        <w:rPr>
          <w:rFonts w:hint="eastAsia" w:ascii="宋体" w:hAnsi="宋体" w:cs="宋体"/>
          <w:snapToGrid w:val="0"/>
          <w:color w:val="auto"/>
          <w:sz w:val="24"/>
          <w:highlight w:val="none"/>
        </w:rPr>
        <w:t>4.绿化服务</w:t>
      </w:r>
      <w:bookmarkEnd w:id="22"/>
      <w:bookmarkEnd w:id="23"/>
    </w:p>
    <w:tbl>
      <w:tblPr>
        <w:tblStyle w:val="64"/>
        <w:tblW w:w="4995" w:type="pct"/>
        <w:jc w:val="center"/>
        <w:tblLayout w:type="fixed"/>
        <w:tblCellMar>
          <w:top w:w="0" w:type="dxa"/>
          <w:left w:w="108" w:type="dxa"/>
          <w:bottom w:w="0" w:type="dxa"/>
          <w:right w:w="108" w:type="dxa"/>
        </w:tblCellMar>
      </w:tblPr>
      <w:tblGrid>
        <w:gridCol w:w="979"/>
        <w:gridCol w:w="2158"/>
        <w:gridCol w:w="5721"/>
        <w:gridCol w:w="986"/>
      </w:tblGrid>
      <w:tr>
        <w:tblPrEx>
          <w:tblCellMar>
            <w:top w:w="0" w:type="dxa"/>
            <w:left w:w="108" w:type="dxa"/>
            <w:bottom w:w="0" w:type="dxa"/>
            <w:right w:w="108" w:type="dxa"/>
          </w:tblCellMar>
        </w:tblPrEx>
        <w:trPr>
          <w:jc w:val="center"/>
        </w:trPr>
        <w:tc>
          <w:tcPr>
            <w:tcW w:w="49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1096" w:type="pct"/>
            <w:tcBorders>
              <w:top w:val="single" w:color="auto" w:sz="4" w:space="0"/>
              <w:left w:val="nil"/>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服务内容</w:t>
            </w:r>
          </w:p>
        </w:tc>
        <w:tc>
          <w:tcPr>
            <w:tcW w:w="2906" w:type="pct"/>
            <w:tcBorders>
              <w:top w:val="single" w:color="auto" w:sz="4" w:space="0"/>
              <w:left w:val="nil"/>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考核标准</w:t>
            </w:r>
          </w:p>
        </w:tc>
        <w:tc>
          <w:tcPr>
            <w:tcW w:w="502" w:type="pct"/>
            <w:tcBorders>
              <w:top w:val="single" w:color="auto" w:sz="4" w:space="0"/>
              <w:left w:val="nil"/>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考核得分</w:t>
            </w:r>
          </w:p>
        </w:tc>
      </w:tr>
      <w:tr>
        <w:tblPrEx>
          <w:tblCellMar>
            <w:top w:w="0" w:type="dxa"/>
            <w:left w:w="108" w:type="dxa"/>
            <w:bottom w:w="0" w:type="dxa"/>
            <w:right w:w="108" w:type="dxa"/>
          </w:tblCellMar>
        </w:tblPrEx>
        <w:trPr>
          <w:jc w:val="center"/>
        </w:trPr>
        <w:tc>
          <w:tcPr>
            <w:tcW w:w="497" w:type="pct"/>
            <w:vMerge w:val="restart"/>
            <w:tcBorders>
              <w:top w:val="nil"/>
              <w:left w:val="single" w:color="auto" w:sz="4" w:space="0"/>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096" w:type="pct"/>
            <w:vMerge w:val="restart"/>
            <w:tcBorders>
              <w:top w:val="nil"/>
              <w:left w:val="single" w:color="auto" w:sz="4" w:space="0"/>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总体绿化养护满意率（20分）</w:t>
            </w:r>
          </w:p>
        </w:tc>
        <w:tc>
          <w:tcPr>
            <w:tcW w:w="2906" w:type="pct"/>
            <w:tcBorders>
              <w:top w:val="nil"/>
              <w:left w:val="nil"/>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总体绿化养护满意率95%以上，得满分。</w:t>
            </w:r>
          </w:p>
        </w:tc>
        <w:tc>
          <w:tcPr>
            <w:tcW w:w="502" w:type="pct"/>
            <w:tcBorders>
              <w:top w:val="nil"/>
              <w:left w:val="nil"/>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jc w:val="center"/>
        </w:trPr>
        <w:tc>
          <w:tcPr>
            <w:tcW w:w="49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1096"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2906" w:type="pct"/>
            <w:tcBorders>
              <w:top w:val="nil"/>
              <w:left w:val="nil"/>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总体绿化养护满意率90%（含）-95%（不含），得分值的90%。</w:t>
            </w:r>
          </w:p>
        </w:tc>
        <w:tc>
          <w:tcPr>
            <w:tcW w:w="502" w:type="pct"/>
            <w:tcBorders>
              <w:top w:val="nil"/>
              <w:left w:val="nil"/>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jc w:val="center"/>
        </w:trPr>
        <w:tc>
          <w:tcPr>
            <w:tcW w:w="49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1096"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2906" w:type="pct"/>
            <w:tcBorders>
              <w:top w:val="nil"/>
              <w:left w:val="nil"/>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总体绿化养护满意率80%（含）-90%（不含），得分值的80%。</w:t>
            </w:r>
          </w:p>
        </w:tc>
        <w:tc>
          <w:tcPr>
            <w:tcW w:w="502" w:type="pct"/>
            <w:tcBorders>
              <w:top w:val="nil"/>
              <w:left w:val="nil"/>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jc w:val="center"/>
        </w:trPr>
        <w:tc>
          <w:tcPr>
            <w:tcW w:w="49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1096"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2906" w:type="pct"/>
            <w:tcBorders>
              <w:top w:val="nil"/>
              <w:left w:val="nil"/>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总体绿化养护满意率低于80%，得分值的60%。</w:t>
            </w:r>
          </w:p>
        </w:tc>
        <w:tc>
          <w:tcPr>
            <w:tcW w:w="502" w:type="pct"/>
            <w:tcBorders>
              <w:top w:val="nil"/>
              <w:left w:val="nil"/>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jc w:val="center"/>
        </w:trPr>
        <w:tc>
          <w:tcPr>
            <w:tcW w:w="497" w:type="pct"/>
            <w:vMerge w:val="restart"/>
            <w:tcBorders>
              <w:top w:val="nil"/>
              <w:left w:val="single" w:color="auto" w:sz="4" w:space="0"/>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096" w:type="pct"/>
            <w:vMerge w:val="restart"/>
            <w:tcBorders>
              <w:top w:val="nil"/>
              <w:left w:val="single" w:color="auto" w:sz="4" w:space="0"/>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室外绿植成活率（20分）</w:t>
            </w:r>
          </w:p>
        </w:tc>
        <w:tc>
          <w:tcPr>
            <w:tcW w:w="2906" w:type="pct"/>
            <w:tcBorders>
              <w:top w:val="nil"/>
              <w:left w:val="nil"/>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成活率95%以上，得满分。</w:t>
            </w:r>
          </w:p>
        </w:tc>
        <w:tc>
          <w:tcPr>
            <w:tcW w:w="502" w:type="pct"/>
            <w:tcBorders>
              <w:top w:val="nil"/>
              <w:left w:val="nil"/>
              <w:bottom w:val="single" w:color="auto" w:sz="4" w:space="0"/>
              <w:right w:val="single" w:color="auto" w:sz="4" w:space="0"/>
            </w:tcBorders>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jc w:val="center"/>
        </w:trPr>
        <w:tc>
          <w:tcPr>
            <w:tcW w:w="49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1096"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2906" w:type="pct"/>
            <w:tcBorders>
              <w:top w:val="nil"/>
              <w:left w:val="nil"/>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成活率90%（含）-95%（不含），得分值的90%。</w:t>
            </w:r>
          </w:p>
        </w:tc>
        <w:tc>
          <w:tcPr>
            <w:tcW w:w="502" w:type="pct"/>
            <w:tcBorders>
              <w:top w:val="nil"/>
              <w:left w:val="nil"/>
              <w:bottom w:val="single" w:color="auto"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jc w:val="center"/>
        </w:trPr>
        <w:tc>
          <w:tcPr>
            <w:tcW w:w="49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1096"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2906" w:type="pct"/>
            <w:tcBorders>
              <w:top w:val="nil"/>
              <w:left w:val="nil"/>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成活率80%（含）-90%（不含），得分值的80%。</w:t>
            </w:r>
          </w:p>
        </w:tc>
        <w:tc>
          <w:tcPr>
            <w:tcW w:w="502" w:type="pct"/>
            <w:tcBorders>
              <w:top w:val="nil"/>
              <w:left w:val="nil"/>
              <w:bottom w:val="single" w:color="auto"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jc w:val="center"/>
        </w:trPr>
        <w:tc>
          <w:tcPr>
            <w:tcW w:w="49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1096"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2906" w:type="pct"/>
            <w:tcBorders>
              <w:top w:val="nil"/>
              <w:left w:val="nil"/>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成活率低于80%，得分值的60%。</w:t>
            </w:r>
          </w:p>
        </w:tc>
        <w:tc>
          <w:tcPr>
            <w:tcW w:w="502" w:type="pct"/>
            <w:tcBorders>
              <w:top w:val="nil"/>
              <w:left w:val="nil"/>
              <w:bottom w:val="single" w:color="auto"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jc w:val="center"/>
        </w:trPr>
        <w:tc>
          <w:tcPr>
            <w:tcW w:w="497" w:type="pct"/>
            <w:vMerge w:val="restart"/>
            <w:tcBorders>
              <w:top w:val="nil"/>
              <w:left w:val="single" w:color="auto" w:sz="4" w:space="0"/>
              <w:bottom w:val="single" w:color="000000"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096" w:type="pct"/>
            <w:vMerge w:val="restart"/>
            <w:tcBorders>
              <w:top w:val="nil"/>
              <w:left w:val="single" w:color="auto" w:sz="4" w:space="0"/>
              <w:bottom w:val="single" w:color="000000"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室内绿植成活率（20分）</w:t>
            </w:r>
          </w:p>
        </w:tc>
        <w:tc>
          <w:tcPr>
            <w:tcW w:w="2906" w:type="pct"/>
            <w:tcBorders>
              <w:top w:val="nil"/>
              <w:left w:val="nil"/>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成活率95%以上，得满分。</w:t>
            </w:r>
          </w:p>
        </w:tc>
        <w:tc>
          <w:tcPr>
            <w:tcW w:w="502" w:type="pct"/>
            <w:tcBorders>
              <w:top w:val="nil"/>
              <w:left w:val="nil"/>
              <w:bottom w:val="single" w:color="auto"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jc w:val="center"/>
        </w:trPr>
        <w:tc>
          <w:tcPr>
            <w:tcW w:w="497"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1096"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2906" w:type="pct"/>
            <w:tcBorders>
              <w:top w:val="nil"/>
              <w:left w:val="nil"/>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成活率90%（含）-95%（不含），得分值的90%。</w:t>
            </w:r>
          </w:p>
        </w:tc>
        <w:tc>
          <w:tcPr>
            <w:tcW w:w="502" w:type="pct"/>
            <w:tcBorders>
              <w:top w:val="nil"/>
              <w:left w:val="nil"/>
              <w:bottom w:val="single" w:color="auto"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jc w:val="center"/>
        </w:trPr>
        <w:tc>
          <w:tcPr>
            <w:tcW w:w="497"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1096"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2906" w:type="pct"/>
            <w:tcBorders>
              <w:top w:val="nil"/>
              <w:left w:val="nil"/>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成活率80%（含）-90%（不含），得分值的80%。</w:t>
            </w:r>
          </w:p>
        </w:tc>
        <w:tc>
          <w:tcPr>
            <w:tcW w:w="502" w:type="pct"/>
            <w:tcBorders>
              <w:top w:val="nil"/>
              <w:left w:val="nil"/>
              <w:bottom w:val="single" w:color="auto"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jc w:val="center"/>
        </w:trPr>
        <w:tc>
          <w:tcPr>
            <w:tcW w:w="497"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1096"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2906" w:type="pct"/>
            <w:tcBorders>
              <w:top w:val="nil"/>
              <w:left w:val="nil"/>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成活率低于80%，得分值的60%。</w:t>
            </w:r>
          </w:p>
        </w:tc>
        <w:tc>
          <w:tcPr>
            <w:tcW w:w="502" w:type="pct"/>
            <w:tcBorders>
              <w:top w:val="nil"/>
              <w:left w:val="nil"/>
              <w:bottom w:val="single" w:color="auto"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jc w:val="center"/>
        </w:trPr>
        <w:tc>
          <w:tcPr>
            <w:tcW w:w="497" w:type="pct"/>
            <w:vMerge w:val="restart"/>
            <w:tcBorders>
              <w:top w:val="nil"/>
              <w:left w:val="single" w:color="auto" w:sz="4" w:space="0"/>
              <w:bottom w:val="single" w:color="auto"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096" w:type="pct"/>
            <w:vMerge w:val="restart"/>
            <w:tcBorders>
              <w:top w:val="nil"/>
              <w:left w:val="single" w:color="auto" w:sz="4" w:space="0"/>
              <w:bottom w:val="single" w:color="auto"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绿植病虫害防治（20分）</w:t>
            </w:r>
          </w:p>
        </w:tc>
        <w:tc>
          <w:tcPr>
            <w:tcW w:w="2906" w:type="pct"/>
            <w:tcBorders>
              <w:top w:val="nil"/>
              <w:left w:val="nil"/>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完成年度绿植病虫害防治计划95%以上，得满分。</w:t>
            </w:r>
          </w:p>
        </w:tc>
        <w:tc>
          <w:tcPr>
            <w:tcW w:w="502" w:type="pct"/>
            <w:tcBorders>
              <w:top w:val="nil"/>
              <w:left w:val="nil"/>
              <w:bottom w:val="single" w:color="auto"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jc w:val="center"/>
        </w:trPr>
        <w:tc>
          <w:tcPr>
            <w:tcW w:w="49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1096"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2906" w:type="pct"/>
            <w:tcBorders>
              <w:top w:val="nil"/>
              <w:left w:val="nil"/>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完成年度绿植病虫害防治计划90%（含）-95%（不含），得分值的90%。</w:t>
            </w:r>
          </w:p>
        </w:tc>
        <w:tc>
          <w:tcPr>
            <w:tcW w:w="502" w:type="pct"/>
            <w:tcBorders>
              <w:top w:val="nil"/>
              <w:left w:val="nil"/>
              <w:bottom w:val="single" w:color="auto"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jc w:val="center"/>
        </w:trPr>
        <w:tc>
          <w:tcPr>
            <w:tcW w:w="49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1096"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2906" w:type="pct"/>
            <w:tcBorders>
              <w:top w:val="nil"/>
              <w:left w:val="nil"/>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完成年度绿植病虫害防治计划80%（含）-90%（不含），得分值的80%。</w:t>
            </w:r>
          </w:p>
        </w:tc>
        <w:tc>
          <w:tcPr>
            <w:tcW w:w="502" w:type="pct"/>
            <w:tcBorders>
              <w:top w:val="nil"/>
              <w:left w:val="nil"/>
              <w:bottom w:val="single" w:color="auto" w:sz="4" w:space="0"/>
              <w:right w:val="single" w:color="auto" w:sz="4" w:space="0"/>
            </w:tcBorders>
            <w:noWrap/>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jc w:val="center"/>
        </w:trPr>
        <w:tc>
          <w:tcPr>
            <w:tcW w:w="49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1096"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2906" w:type="pct"/>
            <w:tcBorders>
              <w:top w:val="nil"/>
              <w:left w:val="nil"/>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完成年度绿植病虫害防治计划低于80%，得分值的60%。</w:t>
            </w:r>
          </w:p>
        </w:tc>
        <w:tc>
          <w:tcPr>
            <w:tcW w:w="502" w:type="pct"/>
            <w:tcBorders>
              <w:top w:val="nil"/>
              <w:left w:val="nil"/>
              <w:bottom w:val="single" w:color="auto" w:sz="4" w:space="0"/>
              <w:right w:val="single" w:color="auto" w:sz="4" w:space="0"/>
            </w:tcBorders>
            <w:noWrap/>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jc w:val="center"/>
        </w:trPr>
        <w:tc>
          <w:tcPr>
            <w:tcW w:w="497" w:type="pct"/>
            <w:vMerge w:val="restart"/>
            <w:tcBorders>
              <w:top w:val="nil"/>
              <w:left w:val="single" w:color="auto" w:sz="4" w:space="0"/>
              <w:bottom w:val="single" w:color="000000"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096" w:type="pct"/>
            <w:vMerge w:val="restart"/>
            <w:tcBorders>
              <w:top w:val="nil"/>
              <w:left w:val="single" w:color="auto" w:sz="4" w:space="0"/>
              <w:bottom w:val="single" w:color="000000"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其他绿化养护服务满意率（20分）</w:t>
            </w:r>
          </w:p>
        </w:tc>
        <w:tc>
          <w:tcPr>
            <w:tcW w:w="2906" w:type="pct"/>
            <w:tcBorders>
              <w:top w:val="nil"/>
              <w:left w:val="nil"/>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服务满意率95%以上，得满分。</w:t>
            </w:r>
          </w:p>
        </w:tc>
        <w:tc>
          <w:tcPr>
            <w:tcW w:w="502" w:type="pct"/>
            <w:tcBorders>
              <w:top w:val="nil"/>
              <w:left w:val="nil"/>
              <w:bottom w:val="single" w:color="auto"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jc w:val="center"/>
        </w:trPr>
        <w:tc>
          <w:tcPr>
            <w:tcW w:w="497"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1096"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2906" w:type="pct"/>
            <w:tcBorders>
              <w:top w:val="nil"/>
              <w:left w:val="nil"/>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服务满意率90%（含）-95%（不含），得分值的90%。</w:t>
            </w:r>
          </w:p>
        </w:tc>
        <w:tc>
          <w:tcPr>
            <w:tcW w:w="502" w:type="pct"/>
            <w:tcBorders>
              <w:top w:val="nil"/>
              <w:left w:val="nil"/>
              <w:bottom w:val="single" w:color="auto"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jc w:val="center"/>
        </w:trPr>
        <w:tc>
          <w:tcPr>
            <w:tcW w:w="497"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1096"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2906" w:type="pct"/>
            <w:tcBorders>
              <w:top w:val="nil"/>
              <w:left w:val="nil"/>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服务满意率80%（含）-90%（不含），得分值的80%。</w:t>
            </w:r>
          </w:p>
        </w:tc>
        <w:tc>
          <w:tcPr>
            <w:tcW w:w="502" w:type="pct"/>
            <w:tcBorders>
              <w:top w:val="nil"/>
              <w:left w:val="nil"/>
              <w:bottom w:val="single" w:color="auto"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jc w:val="center"/>
        </w:trPr>
        <w:tc>
          <w:tcPr>
            <w:tcW w:w="497"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1096"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p>
        </w:tc>
        <w:tc>
          <w:tcPr>
            <w:tcW w:w="2906" w:type="pct"/>
            <w:tcBorders>
              <w:top w:val="nil"/>
              <w:left w:val="nil"/>
              <w:bottom w:val="single" w:color="auto" w:sz="4" w:space="0"/>
              <w:right w:val="single" w:color="auto" w:sz="4" w:space="0"/>
            </w:tcBorders>
            <w:vAlign w:val="center"/>
          </w:tcPr>
          <w:p>
            <w:pPr>
              <w:widowControl/>
              <w:adjustRightInd w:val="0"/>
              <w:snapToGrid w:val="0"/>
              <w:spacing w:beforeLines="10" w:afterLines="10"/>
              <w:jc w:val="left"/>
              <w:rPr>
                <w:rFonts w:ascii="宋体" w:hAnsi="宋体" w:cs="宋体"/>
                <w:color w:val="auto"/>
                <w:kern w:val="0"/>
                <w:sz w:val="24"/>
                <w:highlight w:val="none"/>
              </w:rPr>
            </w:pPr>
            <w:r>
              <w:rPr>
                <w:rFonts w:hint="eastAsia" w:ascii="宋体" w:hAnsi="宋体" w:cs="宋体"/>
                <w:color w:val="auto"/>
                <w:kern w:val="0"/>
                <w:sz w:val="24"/>
                <w:highlight w:val="none"/>
              </w:rPr>
              <w:t>服务满意率低于80%，得分值的60%。</w:t>
            </w:r>
          </w:p>
        </w:tc>
        <w:tc>
          <w:tcPr>
            <w:tcW w:w="502" w:type="pct"/>
            <w:tcBorders>
              <w:top w:val="nil"/>
              <w:left w:val="nil"/>
              <w:bottom w:val="single" w:color="auto" w:sz="4" w:space="0"/>
              <w:right w:val="single" w:color="auto" w:sz="4" w:space="0"/>
            </w:tcBorders>
            <w:noWrap/>
            <w:vAlign w:val="center"/>
          </w:tcPr>
          <w:p>
            <w:pPr>
              <w:widowControl/>
              <w:adjustRightInd w:val="0"/>
              <w:snapToGrid w:val="0"/>
              <w:spacing w:beforeLines="10" w:afterLines="10"/>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bl>
    <w:p>
      <w:pPr>
        <w:widowControl/>
        <w:adjustRightInd w:val="0"/>
        <w:snapToGrid w:val="0"/>
        <w:spacing w:line="560" w:lineRule="exact"/>
        <w:ind w:firstLine="480" w:firstLineChars="200"/>
        <w:rPr>
          <w:rFonts w:ascii="宋体" w:hAnsi="宋体" w:cs="宋体"/>
          <w:snapToGrid w:val="0"/>
          <w:color w:val="auto"/>
          <w:sz w:val="24"/>
          <w:highlight w:val="none"/>
        </w:rPr>
      </w:pPr>
      <w:r>
        <w:rPr>
          <w:rFonts w:hint="eastAsia" w:ascii="宋体" w:hAnsi="宋体" w:cs="宋体"/>
          <w:snapToGrid w:val="0"/>
          <w:color w:val="auto"/>
          <w:sz w:val="24"/>
          <w:highlight w:val="none"/>
        </w:rPr>
        <w:t>5.会务服务</w:t>
      </w:r>
    </w:p>
    <w:tbl>
      <w:tblPr>
        <w:tblStyle w:val="64"/>
        <w:tblW w:w="0" w:type="auto"/>
        <w:jc w:val="center"/>
        <w:tblLayout w:type="fixed"/>
        <w:tblCellMar>
          <w:top w:w="0" w:type="dxa"/>
          <w:left w:w="108" w:type="dxa"/>
          <w:bottom w:w="0" w:type="dxa"/>
          <w:right w:w="108" w:type="dxa"/>
        </w:tblCellMar>
      </w:tblPr>
      <w:tblGrid>
        <w:gridCol w:w="728"/>
        <w:gridCol w:w="2693"/>
        <w:gridCol w:w="4849"/>
        <w:gridCol w:w="1122"/>
      </w:tblGrid>
      <w:tr>
        <w:tblPrEx>
          <w:tblCellMar>
            <w:top w:w="0" w:type="dxa"/>
            <w:left w:w="108" w:type="dxa"/>
            <w:bottom w:w="0" w:type="dxa"/>
            <w:right w:w="108" w:type="dxa"/>
          </w:tblCellMar>
        </w:tblPrEx>
        <w:trPr>
          <w:trHeight w:val="499"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269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服务内容</w:t>
            </w:r>
          </w:p>
        </w:tc>
        <w:tc>
          <w:tcPr>
            <w:tcW w:w="484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考核标准</w:t>
            </w:r>
          </w:p>
        </w:tc>
        <w:tc>
          <w:tcPr>
            <w:tcW w:w="112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考核得分</w:t>
            </w:r>
          </w:p>
        </w:tc>
      </w:tr>
      <w:tr>
        <w:tblPrEx>
          <w:tblCellMar>
            <w:top w:w="0" w:type="dxa"/>
            <w:left w:w="108" w:type="dxa"/>
            <w:bottom w:w="0" w:type="dxa"/>
            <w:right w:w="108" w:type="dxa"/>
          </w:tblCellMar>
        </w:tblPrEx>
        <w:trPr>
          <w:trHeight w:val="499" w:hRule="atLeast"/>
          <w:jc w:val="center"/>
        </w:trPr>
        <w:tc>
          <w:tcPr>
            <w:tcW w:w="72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9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会议服务总体满意率</w:t>
            </w:r>
          </w:p>
          <w:p>
            <w:pPr>
              <w:pStyle w:val="2"/>
              <w:jc w:val="center"/>
              <w:rPr>
                <w:color w:val="auto"/>
                <w:highlight w:val="none"/>
              </w:rPr>
            </w:pPr>
            <w:r>
              <w:rPr>
                <w:rFonts w:hint="eastAsia" w:ascii="宋体" w:hAnsi="宋体" w:cs="宋体"/>
                <w:color w:val="auto"/>
                <w:kern w:val="0"/>
                <w:sz w:val="24"/>
                <w:szCs w:val="24"/>
                <w:highlight w:val="none"/>
              </w:rPr>
              <w:t>（100分）</w:t>
            </w:r>
          </w:p>
        </w:tc>
        <w:tc>
          <w:tcPr>
            <w:tcW w:w="4849"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会议服务总体满意率95%以上，得满分。</w:t>
            </w:r>
          </w:p>
        </w:tc>
        <w:tc>
          <w:tcPr>
            <w:tcW w:w="112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p>
        </w:tc>
        <w:tc>
          <w:tcPr>
            <w:tcW w:w="269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p>
        </w:tc>
        <w:tc>
          <w:tcPr>
            <w:tcW w:w="484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会议服务总体满意率90%（含）-95%（不含），得分值的90%。</w:t>
            </w:r>
          </w:p>
        </w:tc>
        <w:tc>
          <w:tcPr>
            <w:tcW w:w="112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p>
        </w:tc>
        <w:tc>
          <w:tcPr>
            <w:tcW w:w="269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p>
        </w:tc>
        <w:tc>
          <w:tcPr>
            <w:tcW w:w="484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会议服务总体满意率80%（含）-90%（不含），得分值的80%。</w:t>
            </w:r>
          </w:p>
        </w:tc>
        <w:tc>
          <w:tcPr>
            <w:tcW w:w="112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99" w:hRule="atLeast"/>
          <w:jc w:val="center"/>
        </w:trPr>
        <w:tc>
          <w:tcPr>
            <w:tcW w:w="72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p>
        </w:tc>
        <w:tc>
          <w:tcPr>
            <w:tcW w:w="269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p>
        </w:tc>
        <w:tc>
          <w:tcPr>
            <w:tcW w:w="484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会议服务总体满意率80%以下，得分值的60%。</w:t>
            </w:r>
          </w:p>
        </w:tc>
        <w:tc>
          <w:tcPr>
            <w:tcW w:w="112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bl>
    <w:p>
      <w:pPr>
        <w:adjustRightInd w:val="0"/>
        <w:snapToGrid w:val="0"/>
        <w:spacing w:beforeLines="10" w:afterLines="10" w:line="360" w:lineRule="auto"/>
        <w:ind w:firstLine="482" w:firstLineChars="200"/>
        <w:rPr>
          <w:rFonts w:ascii="宋体" w:hAnsi="宋体" w:cs="宋体"/>
          <w:b/>
          <w:color w:val="auto"/>
          <w:sz w:val="24"/>
          <w:highlight w:val="none"/>
        </w:rPr>
      </w:pPr>
    </w:p>
    <w:p>
      <w:pPr>
        <w:adjustRightInd w:val="0"/>
        <w:snapToGrid w:val="0"/>
        <w:spacing w:beforeLines="10" w:afterLines="10"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（二）分值标准</w:t>
      </w:r>
    </w:p>
    <w:p>
      <w:pPr>
        <w:adjustRightInd w:val="0"/>
        <w:snapToGrid w:val="0"/>
        <w:spacing w:beforeLines="10" w:afterLines="1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每月进行一次评分，各项评分100分为满分，每月总分为各项分值总和÷5。</w:t>
      </w:r>
    </w:p>
    <w:p>
      <w:pPr>
        <w:adjustRightInd w:val="0"/>
        <w:snapToGrid w:val="0"/>
        <w:spacing w:beforeLines="10" w:afterLines="10"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（三）结果运用</w:t>
      </w:r>
    </w:p>
    <w:p>
      <w:pPr>
        <w:adjustRightInd w:val="0"/>
        <w:snapToGrid w:val="0"/>
        <w:spacing w:beforeLines="10" w:afterLines="1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1.考核的结果作为奖惩、薪酬待遇、劳动关系管理的主要依据，由采购人、中标单位根据考评结果进行运用。</w:t>
      </w:r>
    </w:p>
    <w:p>
      <w:pPr>
        <w:adjustRightInd w:val="0"/>
        <w:snapToGrid w:val="0"/>
        <w:spacing w:beforeLines="10" w:afterLines="1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2.考评总分值低于75分的，中标单位原则上应对相关人员进行解雇或不得再为区税务局提供服务。</w:t>
      </w:r>
    </w:p>
    <w:p>
      <w:pPr>
        <w:adjustRightInd w:val="0"/>
        <w:snapToGrid w:val="0"/>
        <w:spacing w:beforeLines="10" w:afterLines="1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若在考核月份内出现重大的安全生产事故、工伤事故、刑事治安事故、消防事故、食品安全事故等，经认定中标供应商责任存在过错的，当月考核不合格。造成严重后果或重大经济损失的，采购人有权一票否决，向中标人送达《终止合同通知书》，解除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每月总分值到90分（含）以上，全额支付当月服务费用。每月总分值在75分（含）—90分（不含）之间，进行约谈整改，不扣减当月服务费。每月总分值75分（不含）为不合格，扣减当月服务费用的15%。一年内有3个月总分值低于75分的，采购人可解除合同并由中标人承担相关责任。</w:t>
      </w:r>
    </w:p>
    <w:p>
      <w:pPr>
        <w:spacing w:line="360" w:lineRule="auto"/>
        <w:ind w:firstLine="480" w:firstLineChars="200"/>
        <w:jc w:val="center"/>
        <w:rPr>
          <w:rFonts w:ascii="宋体" w:hAnsi="宋体"/>
          <w:color w:val="auto"/>
          <w:sz w:val="36"/>
          <w:szCs w:val="36"/>
          <w:highlight w:val="none"/>
        </w:rPr>
      </w:pPr>
      <w:r>
        <w:rPr>
          <w:rFonts w:ascii="宋体" w:hAnsi="宋体" w:cs="宋体"/>
          <w:color w:val="auto"/>
          <w:sz w:val="24"/>
          <w:highlight w:val="none"/>
        </w:rPr>
        <w:br w:type="page"/>
      </w:r>
      <w:r>
        <w:rPr>
          <w:rFonts w:hint="eastAsia" w:ascii="宋体" w:hAnsi="宋体"/>
          <w:color w:val="auto"/>
          <w:sz w:val="36"/>
          <w:szCs w:val="36"/>
          <w:highlight w:val="none"/>
        </w:rPr>
        <w:t>第三部分　投标人须知</w:t>
      </w:r>
      <w:bookmarkEnd w:id="17"/>
    </w:p>
    <w:p>
      <w:pPr>
        <w:pStyle w:val="32"/>
        <w:adjustRightInd w:val="0"/>
        <w:spacing w:line="360" w:lineRule="auto"/>
        <w:jc w:val="center"/>
        <w:outlineLvl w:val="1"/>
        <w:rPr>
          <w:rFonts w:hAnsi="宋体" w:cs="Times New Roman"/>
          <w:b/>
          <w:color w:val="auto"/>
          <w:highlight w:val="none"/>
        </w:rPr>
      </w:pPr>
      <w:bookmarkStart w:id="24" w:name="_Toc1885"/>
      <w:r>
        <w:rPr>
          <w:rFonts w:hint="eastAsia" w:hAnsi="宋体" w:cs="Times New Roman"/>
          <w:b/>
          <w:color w:val="auto"/>
          <w:highlight w:val="none"/>
        </w:rPr>
        <w:t>投标须知前附表</w:t>
      </w:r>
      <w:bookmarkEnd w:id="24"/>
    </w:p>
    <w:p>
      <w:pPr>
        <w:pStyle w:val="32"/>
        <w:adjustRightInd w:val="0"/>
        <w:snapToGrid w:val="0"/>
        <w:spacing w:line="300" w:lineRule="auto"/>
        <w:jc w:val="center"/>
        <w:rPr>
          <w:rFonts w:hAnsi="宋体" w:cs="Times New Roman"/>
          <w:b/>
          <w:color w:val="auto"/>
          <w:sz w:val="24"/>
          <w:szCs w:val="24"/>
          <w:highlight w:val="none"/>
        </w:rPr>
      </w:pPr>
      <w:r>
        <w:rPr>
          <w:rFonts w:hint="eastAsia" w:hAnsi="宋体" w:cs="Times New Roman"/>
          <w:b/>
          <w:color w:val="auto"/>
          <w:sz w:val="24"/>
          <w:szCs w:val="24"/>
          <w:highlight w:val="none"/>
        </w:rPr>
        <w:t>本表是对“投标人须知”的具体补充和修改，如有矛盾，应以本表内容为准。</w:t>
      </w:r>
    </w:p>
    <w:tbl>
      <w:tblPr>
        <w:tblStyle w:val="6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980"/>
        <w:gridCol w:w="645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939" w:type="dxa"/>
            <w:tcBorders>
              <w:top w:val="double" w:color="auto" w:sz="4" w:space="0"/>
              <w:left w:val="double" w:color="auto" w:sz="4" w:space="0"/>
              <w:bottom w:val="single" w:color="auto" w:sz="4" w:space="0"/>
              <w:right w:val="single" w:color="auto" w:sz="4" w:space="0"/>
            </w:tcBorders>
            <w:vAlign w:val="center"/>
          </w:tcPr>
          <w:p>
            <w:pPr>
              <w:spacing w:beforeLines="10" w:afterLines="10"/>
              <w:jc w:val="center"/>
              <w:rPr>
                <w:rFonts w:ascii="宋体" w:hAnsi="宋体"/>
                <w:color w:val="auto"/>
                <w:szCs w:val="21"/>
                <w:highlight w:val="none"/>
              </w:rPr>
            </w:pPr>
            <w:r>
              <w:rPr>
                <w:rFonts w:hint="eastAsia" w:ascii="宋体" w:hAnsi="宋体"/>
                <w:color w:val="auto"/>
                <w:szCs w:val="21"/>
                <w:highlight w:val="none"/>
              </w:rPr>
              <w:t>条目号</w:t>
            </w:r>
          </w:p>
        </w:tc>
        <w:tc>
          <w:tcPr>
            <w:tcW w:w="1980" w:type="dxa"/>
            <w:tcBorders>
              <w:top w:val="double" w:color="auto" w:sz="4" w:space="0"/>
              <w:left w:val="single" w:color="auto" w:sz="4" w:space="0"/>
              <w:bottom w:val="single" w:color="auto" w:sz="4" w:space="0"/>
              <w:right w:val="single" w:color="auto" w:sz="4" w:space="0"/>
            </w:tcBorders>
            <w:vAlign w:val="center"/>
          </w:tcPr>
          <w:p>
            <w:pPr>
              <w:spacing w:beforeLines="10" w:afterLines="10"/>
              <w:jc w:val="center"/>
              <w:rPr>
                <w:rFonts w:ascii="宋体" w:hAnsi="宋体"/>
                <w:color w:val="auto"/>
                <w:szCs w:val="21"/>
                <w:highlight w:val="none"/>
              </w:rPr>
            </w:pPr>
            <w:r>
              <w:rPr>
                <w:rFonts w:hint="eastAsia" w:ascii="宋体" w:hAnsi="宋体"/>
                <w:color w:val="auto"/>
                <w:szCs w:val="21"/>
                <w:highlight w:val="none"/>
              </w:rPr>
              <w:t>内容</w:t>
            </w:r>
          </w:p>
        </w:tc>
        <w:tc>
          <w:tcPr>
            <w:tcW w:w="6457" w:type="dxa"/>
            <w:tcBorders>
              <w:top w:val="double" w:color="auto" w:sz="4" w:space="0"/>
              <w:left w:val="single" w:color="auto" w:sz="4" w:space="0"/>
              <w:bottom w:val="single" w:color="auto" w:sz="4" w:space="0"/>
              <w:right w:val="double" w:color="auto" w:sz="4" w:space="0"/>
            </w:tcBorders>
            <w:vAlign w:val="center"/>
          </w:tcPr>
          <w:p>
            <w:pPr>
              <w:spacing w:beforeLines="10" w:afterLines="10"/>
              <w:jc w:val="center"/>
              <w:rPr>
                <w:rFonts w:ascii="宋体" w:hAnsi="宋体"/>
                <w:color w:val="auto"/>
                <w:szCs w:val="21"/>
                <w:highlight w:val="none"/>
              </w:rPr>
            </w:pPr>
            <w:r>
              <w:rPr>
                <w:rFonts w:hint="eastAsia" w:ascii="宋体" w:hAnsi="宋体"/>
                <w:color w:val="auto"/>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939" w:type="dxa"/>
            <w:tcBorders>
              <w:top w:val="single" w:color="auto" w:sz="4" w:space="0"/>
              <w:left w:val="double" w:color="auto" w:sz="4" w:space="0"/>
              <w:right w:val="single" w:color="auto" w:sz="4" w:space="0"/>
            </w:tcBorders>
            <w:vAlign w:val="center"/>
          </w:tcPr>
          <w:p>
            <w:pPr>
              <w:spacing w:beforeLines="10" w:afterLines="10"/>
              <w:jc w:val="center"/>
              <w:rPr>
                <w:rFonts w:ascii="宋体" w:hAnsi="宋体"/>
                <w:color w:val="auto"/>
                <w:szCs w:val="21"/>
                <w:highlight w:val="none"/>
              </w:rPr>
            </w:pPr>
            <w:r>
              <w:rPr>
                <w:rFonts w:hint="eastAsia" w:ascii="宋体" w:hAnsi="宋体"/>
                <w:color w:val="auto"/>
                <w:szCs w:val="21"/>
                <w:highlight w:val="none"/>
              </w:rPr>
              <w:t>2.1</w:t>
            </w:r>
          </w:p>
        </w:tc>
        <w:tc>
          <w:tcPr>
            <w:tcW w:w="1980" w:type="dxa"/>
            <w:tcBorders>
              <w:top w:val="single" w:color="auto" w:sz="4" w:space="0"/>
              <w:left w:val="single" w:color="auto" w:sz="4" w:space="0"/>
              <w:bottom w:val="single" w:color="auto" w:sz="4" w:space="0"/>
              <w:right w:val="single" w:color="auto" w:sz="4" w:space="0"/>
            </w:tcBorders>
            <w:vAlign w:val="center"/>
          </w:tcPr>
          <w:p>
            <w:pPr>
              <w:spacing w:beforeLines="10" w:afterLines="10"/>
              <w:jc w:val="center"/>
              <w:rPr>
                <w:rFonts w:ascii="宋体" w:hAnsi="宋体"/>
                <w:color w:val="auto"/>
                <w:szCs w:val="21"/>
                <w:highlight w:val="none"/>
              </w:rPr>
            </w:pPr>
            <w:r>
              <w:rPr>
                <w:rFonts w:hint="eastAsia" w:ascii="宋体" w:hAnsi="宋体"/>
                <w:color w:val="auto"/>
                <w:szCs w:val="21"/>
                <w:highlight w:val="none"/>
              </w:rPr>
              <w:t>采购人</w:t>
            </w:r>
          </w:p>
        </w:tc>
        <w:tc>
          <w:tcPr>
            <w:tcW w:w="6457" w:type="dxa"/>
            <w:tcBorders>
              <w:top w:val="single" w:color="auto" w:sz="4" w:space="0"/>
              <w:left w:val="single" w:color="auto" w:sz="4" w:space="0"/>
              <w:bottom w:val="single" w:color="auto" w:sz="4" w:space="0"/>
              <w:right w:val="double" w:color="auto" w:sz="4" w:space="0"/>
            </w:tcBorders>
            <w:vAlign w:val="center"/>
          </w:tcPr>
          <w:p>
            <w:pPr>
              <w:spacing w:beforeLines="10" w:afterLines="10"/>
              <w:rPr>
                <w:rFonts w:ascii="宋体" w:hAnsi="宋体"/>
                <w:color w:val="auto"/>
                <w:szCs w:val="21"/>
                <w:highlight w:val="none"/>
              </w:rPr>
            </w:pPr>
            <w:r>
              <w:rPr>
                <w:rFonts w:hint="eastAsia" w:ascii="宋体" w:hAnsi="宋体"/>
                <w:color w:val="auto"/>
                <w:szCs w:val="21"/>
                <w:highlight w:val="none"/>
              </w:rPr>
              <w:t>采购人：国家税务总局罗定市税务局</w:t>
            </w:r>
          </w:p>
          <w:p>
            <w:pPr>
              <w:spacing w:beforeLines="10" w:afterLines="10"/>
              <w:rPr>
                <w:rFonts w:ascii="宋体" w:hAnsi="宋体"/>
                <w:color w:val="auto"/>
                <w:szCs w:val="21"/>
                <w:highlight w:val="none"/>
              </w:rPr>
            </w:pPr>
            <w:r>
              <w:rPr>
                <w:rFonts w:hint="eastAsia" w:ascii="宋体" w:hAnsi="宋体" w:cs="宋体"/>
                <w:color w:val="auto"/>
                <w:szCs w:val="21"/>
                <w:highlight w:val="none"/>
              </w:rPr>
              <w:t>资金来源</w:t>
            </w:r>
            <w:r>
              <w:rPr>
                <w:rFonts w:hint="eastAsia" w:ascii="宋体" w:hAnsi="宋体"/>
                <w:color w:val="auto"/>
                <w:szCs w:val="21"/>
                <w:highlight w:val="none"/>
              </w:rPr>
              <w:t>：</w:t>
            </w:r>
            <w:r>
              <w:rPr>
                <w:rFonts w:hint="eastAsia" w:ascii="宋体" w:hAnsi="宋体" w:cs="宋体"/>
                <w:color w:val="auto"/>
                <w:szCs w:val="21"/>
                <w:highlight w:val="none"/>
              </w:rPr>
              <w:t>财政性资金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939" w:type="dxa"/>
            <w:tcBorders>
              <w:top w:val="single" w:color="auto" w:sz="4" w:space="0"/>
              <w:left w:val="double" w:color="auto" w:sz="4" w:space="0"/>
              <w:right w:val="single" w:color="auto" w:sz="4" w:space="0"/>
            </w:tcBorders>
            <w:vAlign w:val="center"/>
          </w:tcPr>
          <w:p>
            <w:pPr>
              <w:spacing w:beforeLines="10" w:afterLines="10"/>
              <w:jc w:val="center"/>
              <w:rPr>
                <w:rFonts w:ascii="宋体" w:hAnsi="宋体"/>
                <w:color w:val="auto"/>
                <w:szCs w:val="21"/>
                <w:highlight w:val="none"/>
              </w:rPr>
            </w:pPr>
            <w:r>
              <w:rPr>
                <w:rFonts w:hint="eastAsia" w:ascii="宋体" w:hAnsi="宋体"/>
                <w:color w:val="auto"/>
                <w:szCs w:val="21"/>
                <w:highlight w:val="none"/>
              </w:rPr>
              <w:t>2.4</w:t>
            </w:r>
          </w:p>
        </w:tc>
        <w:tc>
          <w:tcPr>
            <w:tcW w:w="1980" w:type="dxa"/>
            <w:tcBorders>
              <w:top w:val="single" w:color="auto" w:sz="4" w:space="0"/>
              <w:left w:val="single" w:color="auto" w:sz="4" w:space="0"/>
              <w:bottom w:val="single" w:color="auto" w:sz="4" w:space="0"/>
              <w:right w:val="single" w:color="auto" w:sz="4" w:space="0"/>
            </w:tcBorders>
            <w:vAlign w:val="center"/>
          </w:tcPr>
          <w:p>
            <w:pPr>
              <w:spacing w:beforeLines="10" w:afterLines="10"/>
              <w:jc w:val="center"/>
              <w:rPr>
                <w:rFonts w:ascii="宋体" w:hAnsi="宋体"/>
                <w:color w:val="auto"/>
                <w:szCs w:val="21"/>
                <w:highlight w:val="none"/>
              </w:rPr>
            </w:pPr>
            <w:r>
              <w:rPr>
                <w:rFonts w:hint="eastAsia" w:ascii="宋体" w:hAnsi="宋体"/>
                <w:color w:val="auto"/>
                <w:szCs w:val="21"/>
                <w:highlight w:val="none"/>
              </w:rPr>
              <w:t>关于联合体</w:t>
            </w:r>
          </w:p>
        </w:tc>
        <w:tc>
          <w:tcPr>
            <w:tcW w:w="6457" w:type="dxa"/>
            <w:tcBorders>
              <w:top w:val="single" w:color="auto" w:sz="4" w:space="0"/>
              <w:left w:val="single" w:color="auto" w:sz="4" w:space="0"/>
              <w:bottom w:val="single" w:color="auto" w:sz="4" w:space="0"/>
              <w:right w:val="double" w:color="auto" w:sz="4" w:space="0"/>
            </w:tcBorders>
            <w:vAlign w:val="center"/>
          </w:tcPr>
          <w:p>
            <w:pPr>
              <w:spacing w:beforeLines="10" w:afterLines="10"/>
              <w:ind w:right="-195" w:rightChars="-93"/>
              <w:rPr>
                <w:rFonts w:ascii="宋体" w:hAnsi="宋体"/>
                <w:color w:val="auto"/>
                <w:szCs w:val="21"/>
                <w:highlight w:val="none"/>
                <w:u w:val="single"/>
              </w:rPr>
            </w:pPr>
            <w:r>
              <w:rPr>
                <w:rFonts w:hint="eastAsia" w:ascii="宋体" w:hAnsi="宋体"/>
                <w:color w:val="auto"/>
                <w:szCs w:val="21"/>
                <w:highlight w:val="none"/>
                <w:lang w:val="zh-CN"/>
              </w:rPr>
              <w:t>本项目</w:t>
            </w:r>
            <w:r>
              <w:rPr>
                <w:rFonts w:hint="eastAsia" w:ascii="宋体" w:hAnsi="宋体"/>
                <w:color w:val="auto"/>
                <w:szCs w:val="21"/>
                <w:highlight w:val="none"/>
              </w:rPr>
              <w:t>不</w:t>
            </w:r>
            <w:r>
              <w:rPr>
                <w:rFonts w:hint="eastAsia" w:ascii="宋体" w:hAnsi="宋体"/>
                <w:color w:val="auto"/>
                <w:szCs w:val="21"/>
                <w:highlight w:val="none"/>
                <w:lang w:val="zh-CN"/>
              </w:rPr>
              <w:t>接受联合体投标</w:t>
            </w:r>
            <w:r>
              <w:rPr>
                <w:rFonts w:hint="eastAsia" w:ascii="宋体" w:hAnsi="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939" w:type="dxa"/>
            <w:tcBorders>
              <w:left w:val="double" w:color="auto" w:sz="4" w:space="0"/>
              <w:right w:val="single" w:color="auto" w:sz="4" w:space="0"/>
            </w:tcBorders>
            <w:vAlign w:val="center"/>
          </w:tcPr>
          <w:p>
            <w:pPr>
              <w:spacing w:beforeLines="10" w:afterLines="10"/>
              <w:jc w:val="center"/>
              <w:rPr>
                <w:rFonts w:ascii="宋体" w:hAnsi="宋体"/>
                <w:color w:val="auto"/>
                <w:szCs w:val="21"/>
                <w:highlight w:val="none"/>
              </w:rPr>
            </w:pPr>
            <w:r>
              <w:rPr>
                <w:rFonts w:hint="eastAsia" w:ascii="宋体" w:hAnsi="宋体"/>
                <w:color w:val="auto"/>
                <w:szCs w:val="21"/>
                <w:highlight w:val="none"/>
              </w:rPr>
              <w:t>5</w:t>
            </w:r>
          </w:p>
        </w:tc>
        <w:tc>
          <w:tcPr>
            <w:tcW w:w="1980" w:type="dxa"/>
            <w:tcBorders>
              <w:top w:val="single" w:color="auto" w:sz="4" w:space="0"/>
              <w:left w:val="single" w:color="auto" w:sz="4" w:space="0"/>
              <w:bottom w:val="single" w:color="auto" w:sz="4" w:space="0"/>
              <w:right w:val="single" w:color="auto" w:sz="4" w:space="0"/>
            </w:tcBorders>
            <w:vAlign w:val="center"/>
          </w:tcPr>
          <w:p>
            <w:pPr>
              <w:spacing w:beforeLines="10" w:afterLines="10"/>
              <w:jc w:val="center"/>
              <w:rPr>
                <w:rFonts w:ascii="宋体" w:hAnsi="宋体"/>
                <w:color w:val="auto"/>
                <w:szCs w:val="21"/>
                <w:highlight w:val="none"/>
              </w:rPr>
            </w:pPr>
            <w:r>
              <w:rPr>
                <w:rFonts w:hint="eastAsia" w:ascii="宋体" w:hAnsi="宋体"/>
                <w:color w:val="auto"/>
                <w:szCs w:val="21"/>
                <w:highlight w:val="none"/>
              </w:rPr>
              <w:t>招标文件的组成</w:t>
            </w:r>
          </w:p>
        </w:tc>
        <w:tc>
          <w:tcPr>
            <w:tcW w:w="6457" w:type="dxa"/>
            <w:tcBorders>
              <w:top w:val="single" w:color="auto" w:sz="4" w:space="0"/>
              <w:left w:val="single" w:color="auto" w:sz="4" w:space="0"/>
              <w:bottom w:val="single" w:color="auto" w:sz="4" w:space="0"/>
              <w:right w:val="double" w:color="auto" w:sz="4" w:space="0"/>
            </w:tcBorders>
            <w:vAlign w:val="center"/>
          </w:tcPr>
          <w:p>
            <w:pPr>
              <w:spacing w:beforeLines="10" w:afterLines="10"/>
              <w:ind w:right="-195" w:rightChars="-93"/>
              <w:rPr>
                <w:rFonts w:ascii="宋体" w:hAnsi="宋体"/>
                <w:color w:val="auto"/>
                <w:szCs w:val="21"/>
                <w:highlight w:val="none"/>
                <w:u w:val="single"/>
                <w:lang w:val="zh-CN"/>
              </w:rPr>
            </w:pPr>
            <w:r>
              <w:rPr>
                <w:rFonts w:hint="eastAsia" w:ascii="宋体" w:hAnsi="宋体"/>
                <w:color w:val="auto"/>
                <w:szCs w:val="21"/>
                <w:highlight w:val="none"/>
                <w:lang w:val="zh-CN"/>
              </w:rPr>
              <w:t>（7）其他：</w:t>
            </w:r>
            <w:r>
              <w:rPr>
                <w:rFonts w:hint="eastAsia" w:ascii="宋体" w:hAnsi="宋体"/>
                <w:color w:val="auto"/>
                <w:szCs w:val="21"/>
                <w:highlight w:val="none"/>
                <w:u w:val="single"/>
                <w:lang w:val="zh-CN"/>
              </w:rPr>
              <w:t xml:space="preserve"> 无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939" w:type="dxa"/>
            <w:tcBorders>
              <w:top w:val="single" w:color="auto" w:sz="4" w:space="0"/>
              <w:left w:val="double" w:color="auto" w:sz="4" w:space="0"/>
              <w:bottom w:val="single" w:color="auto" w:sz="4" w:space="0"/>
              <w:right w:val="single" w:color="auto" w:sz="4" w:space="0"/>
            </w:tcBorders>
            <w:vAlign w:val="center"/>
          </w:tcPr>
          <w:p>
            <w:pPr>
              <w:spacing w:beforeLines="10" w:afterLines="10"/>
              <w:jc w:val="center"/>
              <w:rPr>
                <w:rFonts w:ascii="宋体" w:hAnsi="宋体"/>
                <w:color w:val="auto"/>
                <w:szCs w:val="21"/>
                <w:highlight w:val="none"/>
              </w:rPr>
            </w:pPr>
            <w:r>
              <w:rPr>
                <w:rFonts w:hint="eastAsia" w:ascii="宋体" w:hAnsi="宋体"/>
                <w:color w:val="auto"/>
                <w:szCs w:val="21"/>
                <w:highlight w:val="none"/>
              </w:rPr>
              <w:t>6</w:t>
            </w:r>
          </w:p>
        </w:tc>
        <w:tc>
          <w:tcPr>
            <w:tcW w:w="1980" w:type="dxa"/>
            <w:tcBorders>
              <w:top w:val="single" w:color="auto" w:sz="4" w:space="0"/>
              <w:left w:val="single" w:color="auto" w:sz="4" w:space="0"/>
              <w:bottom w:val="single" w:color="auto" w:sz="4" w:space="0"/>
              <w:right w:val="single" w:color="auto" w:sz="4" w:space="0"/>
            </w:tcBorders>
            <w:vAlign w:val="center"/>
          </w:tcPr>
          <w:p>
            <w:pPr>
              <w:spacing w:beforeLines="10" w:afterLines="10"/>
              <w:jc w:val="center"/>
              <w:rPr>
                <w:rFonts w:ascii="宋体" w:hAnsi="宋体"/>
                <w:color w:val="auto"/>
                <w:szCs w:val="21"/>
                <w:highlight w:val="none"/>
              </w:rPr>
            </w:pPr>
            <w:r>
              <w:rPr>
                <w:rFonts w:hint="eastAsia" w:ascii="宋体" w:hAnsi="宋体"/>
                <w:color w:val="auto"/>
                <w:szCs w:val="21"/>
                <w:highlight w:val="none"/>
              </w:rPr>
              <w:t>踏勘现场</w:t>
            </w:r>
          </w:p>
        </w:tc>
        <w:tc>
          <w:tcPr>
            <w:tcW w:w="6457" w:type="dxa"/>
            <w:tcBorders>
              <w:top w:val="single" w:color="auto" w:sz="4" w:space="0"/>
              <w:left w:val="single" w:color="auto" w:sz="4" w:space="0"/>
              <w:bottom w:val="single" w:color="auto" w:sz="4" w:space="0"/>
              <w:right w:val="double" w:color="auto" w:sz="4" w:space="0"/>
            </w:tcBorders>
            <w:vAlign w:val="center"/>
          </w:tcPr>
          <w:p>
            <w:pPr>
              <w:spacing w:beforeLines="10" w:afterLines="10"/>
              <w:rPr>
                <w:rFonts w:ascii="宋体" w:hAnsi="宋体"/>
                <w:color w:val="auto"/>
                <w:szCs w:val="21"/>
                <w:highlight w:val="none"/>
              </w:rPr>
            </w:pPr>
            <w:r>
              <w:rPr>
                <w:rFonts w:hint="eastAsia" w:ascii="宋体" w:hAnsi="宋体"/>
                <w:color w:val="auto"/>
                <w:szCs w:val="21"/>
                <w:highlight w:val="none"/>
              </w:rPr>
              <w:t>采购人不集中组织。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39" w:type="dxa"/>
            <w:tcBorders>
              <w:top w:val="single" w:color="auto" w:sz="4" w:space="0"/>
              <w:left w:val="double" w:color="auto" w:sz="4" w:space="0"/>
              <w:bottom w:val="single" w:color="auto" w:sz="4" w:space="0"/>
              <w:right w:val="single" w:color="auto" w:sz="4" w:space="0"/>
            </w:tcBorders>
            <w:vAlign w:val="center"/>
          </w:tcPr>
          <w:p>
            <w:pPr>
              <w:spacing w:beforeLines="10" w:afterLines="10"/>
              <w:jc w:val="center"/>
              <w:rPr>
                <w:rFonts w:ascii="宋体" w:hAnsi="宋体"/>
                <w:color w:val="auto"/>
                <w:szCs w:val="21"/>
                <w:highlight w:val="none"/>
              </w:rPr>
            </w:pPr>
            <w:r>
              <w:rPr>
                <w:rFonts w:hint="eastAsia" w:ascii="宋体" w:hAnsi="宋体"/>
                <w:color w:val="auto"/>
                <w:szCs w:val="21"/>
                <w:highlight w:val="none"/>
              </w:rPr>
              <w:t>8.1</w:t>
            </w:r>
          </w:p>
        </w:tc>
        <w:tc>
          <w:tcPr>
            <w:tcW w:w="1980" w:type="dxa"/>
            <w:tcBorders>
              <w:top w:val="single" w:color="auto" w:sz="4" w:space="0"/>
              <w:left w:val="single" w:color="auto" w:sz="4" w:space="0"/>
              <w:bottom w:val="single" w:color="auto" w:sz="4" w:space="0"/>
              <w:right w:val="single" w:color="auto" w:sz="4" w:space="0"/>
            </w:tcBorders>
            <w:vAlign w:val="center"/>
          </w:tcPr>
          <w:p>
            <w:pPr>
              <w:spacing w:beforeLines="10" w:afterLines="10"/>
              <w:jc w:val="center"/>
              <w:rPr>
                <w:rFonts w:ascii="宋体" w:hAnsi="宋体"/>
                <w:color w:val="auto"/>
                <w:szCs w:val="21"/>
                <w:highlight w:val="none"/>
                <w:lang w:val="zh-CN"/>
              </w:rPr>
            </w:pPr>
            <w:r>
              <w:rPr>
                <w:rFonts w:hint="eastAsia" w:ascii="宋体" w:hAnsi="宋体"/>
                <w:color w:val="auto"/>
                <w:szCs w:val="21"/>
                <w:highlight w:val="none"/>
                <w:lang w:val="zh-CN"/>
              </w:rPr>
              <w:t>召开开标前答疑会</w:t>
            </w:r>
          </w:p>
        </w:tc>
        <w:tc>
          <w:tcPr>
            <w:tcW w:w="6457" w:type="dxa"/>
            <w:tcBorders>
              <w:top w:val="single" w:color="auto" w:sz="4" w:space="0"/>
              <w:left w:val="single" w:color="auto" w:sz="4" w:space="0"/>
              <w:bottom w:val="single" w:color="auto" w:sz="4" w:space="0"/>
              <w:right w:val="double" w:color="auto" w:sz="4" w:space="0"/>
            </w:tcBorders>
            <w:vAlign w:val="center"/>
          </w:tcPr>
          <w:p>
            <w:pPr>
              <w:spacing w:beforeLines="10" w:afterLines="10"/>
              <w:rPr>
                <w:rFonts w:ascii="宋体" w:hAnsi="宋体"/>
                <w:color w:val="auto"/>
                <w:szCs w:val="21"/>
                <w:highlight w:val="none"/>
                <w:lang w:val="zh-CN"/>
              </w:rPr>
            </w:pPr>
            <w:r>
              <w:rPr>
                <w:rFonts w:hint="eastAsia" w:ascii="宋体" w:hAnsi="宋体"/>
                <w:color w:val="auto"/>
                <w:szCs w:val="21"/>
                <w:highlight w:val="none"/>
              </w:rPr>
              <w:t>不举行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39" w:type="dxa"/>
            <w:vMerge w:val="restart"/>
            <w:tcBorders>
              <w:top w:val="single" w:color="auto" w:sz="4" w:space="0"/>
              <w:left w:val="double" w:color="auto" w:sz="4" w:space="0"/>
              <w:right w:val="single" w:color="auto" w:sz="4" w:space="0"/>
            </w:tcBorders>
            <w:vAlign w:val="center"/>
          </w:tcPr>
          <w:p>
            <w:pPr>
              <w:spacing w:beforeLines="10" w:afterLines="10"/>
              <w:jc w:val="center"/>
              <w:rPr>
                <w:rFonts w:ascii="宋体" w:hAnsi="宋体"/>
                <w:color w:val="auto"/>
                <w:szCs w:val="21"/>
                <w:highlight w:val="none"/>
              </w:rPr>
            </w:pPr>
            <w:r>
              <w:rPr>
                <w:rFonts w:hint="eastAsia" w:ascii="宋体" w:hAnsi="宋体"/>
                <w:color w:val="auto"/>
                <w:szCs w:val="21"/>
                <w:highlight w:val="none"/>
              </w:rPr>
              <w:t>9</w:t>
            </w:r>
          </w:p>
        </w:tc>
        <w:tc>
          <w:tcPr>
            <w:tcW w:w="1980" w:type="dxa"/>
            <w:tcBorders>
              <w:top w:val="single" w:color="auto" w:sz="4" w:space="0"/>
              <w:left w:val="single" w:color="auto" w:sz="4" w:space="0"/>
              <w:bottom w:val="single" w:color="auto" w:sz="4" w:space="0"/>
              <w:right w:val="single" w:color="auto" w:sz="4" w:space="0"/>
            </w:tcBorders>
            <w:vAlign w:val="center"/>
          </w:tcPr>
          <w:p>
            <w:pPr>
              <w:spacing w:beforeLines="10" w:afterLines="10"/>
              <w:jc w:val="center"/>
              <w:rPr>
                <w:rFonts w:ascii="宋体" w:hAnsi="宋体"/>
                <w:color w:val="auto"/>
                <w:szCs w:val="21"/>
                <w:highlight w:val="none"/>
              </w:rPr>
            </w:pPr>
            <w:r>
              <w:rPr>
                <w:rFonts w:hint="eastAsia" w:ascii="宋体" w:hAnsi="宋体"/>
                <w:color w:val="auto"/>
                <w:szCs w:val="21"/>
                <w:highlight w:val="none"/>
              </w:rPr>
              <w:t>投标文件的组成</w:t>
            </w:r>
          </w:p>
        </w:tc>
        <w:tc>
          <w:tcPr>
            <w:tcW w:w="6457" w:type="dxa"/>
            <w:tcBorders>
              <w:top w:val="single" w:color="auto" w:sz="4" w:space="0"/>
              <w:left w:val="single" w:color="auto" w:sz="4" w:space="0"/>
              <w:bottom w:val="single" w:color="auto" w:sz="4" w:space="0"/>
              <w:right w:val="double" w:color="auto" w:sz="4" w:space="0"/>
            </w:tcBorders>
            <w:vAlign w:val="center"/>
          </w:tcPr>
          <w:p>
            <w:pPr>
              <w:spacing w:beforeLines="10" w:afterLines="10"/>
              <w:rPr>
                <w:rFonts w:ascii="宋体" w:hAnsi="宋体"/>
                <w:color w:val="auto"/>
                <w:szCs w:val="21"/>
                <w:highlight w:val="none"/>
              </w:rPr>
            </w:pPr>
            <w:r>
              <w:rPr>
                <w:rFonts w:hint="eastAsia" w:ascii="宋体" w:hAnsi="宋体"/>
                <w:color w:val="auto"/>
                <w:szCs w:val="21"/>
                <w:highlight w:val="none"/>
              </w:rPr>
              <w:t>投标文件由自查表、资格性符合性部分、商务部分、技术（服务）部分、价格部分</w:t>
            </w:r>
            <w:r>
              <w:rPr>
                <w:rFonts w:hint="eastAsia" w:ascii="宋体" w:hAnsi="宋体"/>
                <w:color w:val="auto"/>
                <w:szCs w:val="21"/>
                <w:highlight w:val="none"/>
                <w:lang w:val="zh-CN"/>
              </w:rPr>
              <w:t>五部分</w:t>
            </w:r>
            <w:r>
              <w:rPr>
                <w:rFonts w:hint="eastAsia" w:ascii="宋体" w:hAnsi="宋体"/>
                <w:color w:val="auto"/>
                <w:szCs w:val="21"/>
                <w:highlight w:val="none"/>
              </w:rPr>
              <w:t>组成一本投标文件</w:t>
            </w:r>
            <w:r>
              <w:rPr>
                <w:rFonts w:hint="eastAsia" w:ascii="宋体" w:hAnsi="宋体"/>
                <w:i/>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39" w:type="dxa"/>
            <w:vMerge w:val="continue"/>
            <w:tcBorders>
              <w:left w:val="double" w:color="auto" w:sz="4" w:space="0"/>
              <w:bottom w:val="single" w:color="auto" w:sz="4" w:space="0"/>
              <w:right w:val="single" w:color="auto" w:sz="4" w:space="0"/>
            </w:tcBorders>
            <w:vAlign w:val="center"/>
          </w:tcPr>
          <w:p>
            <w:pPr>
              <w:spacing w:beforeLines="10" w:afterLines="10"/>
              <w:jc w:val="center"/>
              <w:rPr>
                <w:rFonts w:ascii="宋体" w:hAnsi="宋体"/>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beforeLines="10" w:afterLines="10"/>
              <w:jc w:val="center"/>
              <w:rPr>
                <w:rFonts w:ascii="宋体" w:hAnsi="宋体"/>
                <w:color w:val="auto"/>
                <w:szCs w:val="21"/>
                <w:highlight w:val="none"/>
              </w:rPr>
            </w:pPr>
            <w:r>
              <w:rPr>
                <w:rFonts w:hint="eastAsia" w:ascii="宋体" w:hAnsi="宋体"/>
                <w:color w:val="auto"/>
                <w:szCs w:val="21"/>
                <w:highlight w:val="none"/>
                <w:lang w:val="zh-CN"/>
              </w:rPr>
              <w:t>投标样品</w:t>
            </w:r>
          </w:p>
        </w:tc>
        <w:tc>
          <w:tcPr>
            <w:tcW w:w="6457" w:type="dxa"/>
            <w:tcBorders>
              <w:top w:val="single" w:color="auto" w:sz="4" w:space="0"/>
              <w:left w:val="single" w:color="auto" w:sz="4" w:space="0"/>
              <w:bottom w:val="single" w:color="auto" w:sz="4" w:space="0"/>
              <w:right w:val="double" w:color="auto" w:sz="4" w:space="0"/>
            </w:tcBorders>
            <w:vAlign w:val="center"/>
          </w:tcPr>
          <w:p>
            <w:pPr>
              <w:spacing w:beforeLines="10" w:afterLines="10"/>
              <w:rPr>
                <w:rFonts w:ascii="宋体" w:hAnsi="宋体"/>
                <w:color w:val="auto"/>
                <w:szCs w:val="21"/>
                <w:highlight w:val="none"/>
              </w:rPr>
            </w:pPr>
            <w:r>
              <w:rPr>
                <w:rFonts w:hint="eastAsia" w:ascii="宋体" w:hAnsi="宋体"/>
                <w:color w:val="auto"/>
                <w:szCs w:val="21"/>
                <w:highlight w:val="none"/>
                <w:lang w:val="zh-CN"/>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39" w:type="dxa"/>
            <w:tcBorders>
              <w:top w:val="single" w:color="auto" w:sz="4" w:space="0"/>
              <w:left w:val="double" w:color="auto" w:sz="4" w:space="0"/>
              <w:bottom w:val="single" w:color="auto" w:sz="4" w:space="0"/>
              <w:right w:val="single" w:color="auto" w:sz="4" w:space="0"/>
            </w:tcBorders>
            <w:vAlign w:val="center"/>
          </w:tcPr>
          <w:p>
            <w:pPr>
              <w:spacing w:beforeLines="10" w:afterLines="10"/>
              <w:jc w:val="center"/>
              <w:rPr>
                <w:rFonts w:ascii="宋体" w:hAnsi="宋体"/>
                <w:color w:val="auto"/>
                <w:szCs w:val="21"/>
                <w:highlight w:val="none"/>
                <w:lang w:val="zh-CN"/>
              </w:rPr>
            </w:pPr>
            <w:r>
              <w:rPr>
                <w:rFonts w:hint="eastAsia" w:ascii="宋体" w:hAnsi="宋体"/>
                <w:color w:val="auto"/>
                <w:szCs w:val="21"/>
                <w:highlight w:val="none"/>
                <w:lang w:val="zh-CN"/>
              </w:rPr>
              <w:t>1</w:t>
            </w:r>
            <w:r>
              <w:rPr>
                <w:rFonts w:hint="eastAsia" w:ascii="宋体" w:hAnsi="宋体"/>
                <w:color w:val="auto"/>
                <w:szCs w:val="21"/>
                <w:highlight w:val="none"/>
              </w:rPr>
              <w:t>1</w:t>
            </w:r>
          </w:p>
        </w:tc>
        <w:tc>
          <w:tcPr>
            <w:tcW w:w="1980" w:type="dxa"/>
            <w:tcBorders>
              <w:top w:val="single" w:color="auto" w:sz="4" w:space="0"/>
              <w:left w:val="single" w:color="auto" w:sz="4" w:space="0"/>
              <w:bottom w:val="single" w:color="auto" w:sz="4" w:space="0"/>
              <w:right w:val="single" w:color="auto" w:sz="4" w:space="0"/>
            </w:tcBorders>
            <w:vAlign w:val="center"/>
          </w:tcPr>
          <w:p>
            <w:pPr>
              <w:spacing w:beforeLines="10" w:afterLines="10"/>
              <w:jc w:val="center"/>
              <w:rPr>
                <w:rFonts w:ascii="宋体" w:hAnsi="宋体"/>
                <w:color w:val="auto"/>
                <w:szCs w:val="21"/>
                <w:highlight w:val="none"/>
                <w:lang w:val="zh-CN"/>
              </w:rPr>
            </w:pPr>
            <w:r>
              <w:rPr>
                <w:rFonts w:hint="eastAsia" w:ascii="宋体" w:hAnsi="宋体"/>
                <w:color w:val="auto"/>
                <w:szCs w:val="21"/>
                <w:highlight w:val="none"/>
                <w:lang w:val="zh-CN"/>
              </w:rPr>
              <w:t>投标文件编制</w:t>
            </w:r>
          </w:p>
        </w:tc>
        <w:tc>
          <w:tcPr>
            <w:tcW w:w="6457" w:type="dxa"/>
            <w:tcBorders>
              <w:top w:val="single" w:color="auto" w:sz="4" w:space="0"/>
              <w:left w:val="single" w:color="auto" w:sz="4" w:space="0"/>
              <w:bottom w:val="single" w:color="auto" w:sz="4" w:space="0"/>
              <w:right w:val="double" w:color="auto" w:sz="4" w:space="0"/>
            </w:tcBorders>
            <w:vAlign w:val="center"/>
          </w:tcPr>
          <w:p>
            <w:pPr>
              <w:spacing w:beforeLines="10" w:afterLines="10"/>
              <w:rPr>
                <w:rFonts w:ascii="宋体" w:hAnsi="宋体"/>
                <w:color w:val="auto"/>
                <w:szCs w:val="21"/>
                <w:highlight w:val="none"/>
              </w:rPr>
            </w:pPr>
            <w:r>
              <w:rPr>
                <w:rFonts w:hint="eastAsia" w:ascii="宋体" w:hAnsi="宋体"/>
                <w:color w:val="auto"/>
                <w:szCs w:val="21"/>
                <w:highlight w:val="none"/>
              </w:rPr>
              <w:t xml:space="preserve">本次招标分包情况：不分包组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39" w:type="dxa"/>
            <w:tcBorders>
              <w:top w:val="single" w:color="auto" w:sz="4" w:space="0"/>
              <w:left w:val="double" w:color="auto" w:sz="4" w:space="0"/>
              <w:bottom w:val="single" w:color="auto" w:sz="4" w:space="0"/>
              <w:right w:val="single" w:color="auto" w:sz="4" w:space="0"/>
            </w:tcBorders>
            <w:vAlign w:val="center"/>
          </w:tcPr>
          <w:p>
            <w:pPr>
              <w:spacing w:beforeLines="10" w:afterLines="10"/>
              <w:jc w:val="center"/>
              <w:rPr>
                <w:rFonts w:ascii="宋体" w:hAnsi="宋体"/>
                <w:color w:val="auto"/>
                <w:szCs w:val="21"/>
                <w:highlight w:val="none"/>
              </w:rPr>
            </w:pPr>
            <w:r>
              <w:rPr>
                <w:rFonts w:hint="eastAsia" w:ascii="宋体" w:hAnsi="宋体"/>
                <w:color w:val="auto"/>
                <w:szCs w:val="21"/>
                <w:highlight w:val="none"/>
                <w:lang w:val="zh-CN"/>
              </w:rPr>
              <w:t>1</w:t>
            </w:r>
            <w:r>
              <w:rPr>
                <w:rFonts w:hint="eastAsia" w:ascii="宋体" w:hAnsi="宋体"/>
                <w:color w:val="auto"/>
                <w:szCs w:val="21"/>
                <w:highlight w:val="none"/>
              </w:rPr>
              <w:t>2</w:t>
            </w:r>
          </w:p>
        </w:tc>
        <w:tc>
          <w:tcPr>
            <w:tcW w:w="1980" w:type="dxa"/>
            <w:tcBorders>
              <w:top w:val="single" w:color="auto" w:sz="4" w:space="0"/>
              <w:left w:val="single" w:color="auto" w:sz="4" w:space="0"/>
              <w:bottom w:val="single" w:color="auto" w:sz="4" w:space="0"/>
              <w:right w:val="single" w:color="auto" w:sz="4" w:space="0"/>
            </w:tcBorders>
            <w:vAlign w:val="center"/>
          </w:tcPr>
          <w:p>
            <w:pPr>
              <w:spacing w:beforeLines="10" w:afterLines="10"/>
              <w:jc w:val="center"/>
              <w:rPr>
                <w:rFonts w:ascii="宋体" w:hAnsi="宋体"/>
                <w:color w:val="auto"/>
                <w:szCs w:val="21"/>
                <w:highlight w:val="none"/>
                <w:lang w:val="zh-CN"/>
              </w:rPr>
            </w:pPr>
            <w:r>
              <w:rPr>
                <w:rFonts w:hint="eastAsia" w:ascii="宋体" w:hAnsi="宋体"/>
                <w:color w:val="auto"/>
                <w:szCs w:val="21"/>
                <w:highlight w:val="none"/>
                <w:lang w:val="zh-CN"/>
              </w:rPr>
              <w:t>投标报价</w:t>
            </w:r>
          </w:p>
        </w:tc>
        <w:tc>
          <w:tcPr>
            <w:tcW w:w="6457" w:type="dxa"/>
            <w:tcBorders>
              <w:top w:val="single" w:color="auto" w:sz="4" w:space="0"/>
              <w:left w:val="single" w:color="auto" w:sz="4" w:space="0"/>
              <w:bottom w:val="single" w:color="auto" w:sz="4" w:space="0"/>
              <w:right w:val="double" w:color="auto" w:sz="4" w:space="0"/>
            </w:tcBorders>
            <w:vAlign w:val="center"/>
          </w:tcPr>
          <w:p>
            <w:pPr>
              <w:spacing w:beforeLines="10" w:afterLines="10"/>
              <w:rPr>
                <w:rFonts w:ascii="宋体" w:hAnsi="宋体"/>
                <w:b/>
                <w:bCs/>
                <w:color w:val="auto"/>
                <w:szCs w:val="21"/>
                <w:highlight w:val="none"/>
              </w:rPr>
            </w:pPr>
            <w:r>
              <w:rPr>
                <w:rFonts w:hint="eastAsia" w:ascii="宋体" w:hAnsi="宋体"/>
                <w:b/>
                <w:bCs/>
                <w:color w:val="auto"/>
                <w:szCs w:val="21"/>
                <w:highlight w:val="none"/>
              </w:rPr>
              <w:t>最高限价：280万元。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39" w:type="dxa"/>
            <w:tcBorders>
              <w:top w:val="single" w:color="auto" w:sz="4" w:space="0"/>
              <w:left w:val="double" w:color="auto" w:sz="4" w:space="0"/>
              <w:bottom w:val="single" w:color="auto" w:sz="4" w:space="0"/>
              <w:right w:val="single" w:color="auto" w:sz="4" w:space="0"/>
            </w:tcBorders>
            <w:vAlign w:val="center"/>
          </w:tcPr>
          <w:p>
            <w:pPr>
              <w:spacing w:beforeLines="10" w:afterLines="10"/>
              <w:jc w:val="center"/>
              <w:rPr>
                <w:rFonts w:ascii="宋体" w:hAnsi="宋体"/>
                <w:color w:val="auto"/>
                <w:szCs w:val="21"/>
                <w:highlight w:val="none"/>
              </w:rPr>
            </w:pPr>
            <w:r>
              <w:rPr>
                <w:rFonts w:hint="eastAsia" w:ascii="宋体" w:hAnsi="宋体"/>
                <w:color w:val="auto"/>
                <w:szCs w:val="21"/>
                <w:highlight w:val="none"/>
                <w:lang w:val="zh-CN"/>
              </w:rPr>
              <w:t>1</w:t>
            </w:r>
            <w:r>
              <w:rPr>
                <w:rFonts w:hint="eastAsia" w:ascii="宋体" w:hAnsi="宋体"/>
                <w:color w:val="auto"/>
                <w:szCs w:val="21"/>
                <w:highlight w:val="none"/>
              </w:rPr>
              <w:t>3</w:t>
            </w:r>
          </w:p>
        </w:tc>
        <w:tc>
          <w:tcPr>
            <w:tcW w:w="1980" w:type="dxa"/>
            <w:tcBorders>
              <w:top w:val="single" w:color="auto" w:sz="4" w:space="0"/>
              <w:left w:val="single" w:color="auto" w:sz="4" w:space="0"/>
              <w:bottom w:val="single" w:color="auto" w:sz="4" w:space="0"/>
              <w:right w:val="single" w:color="auto" w:sz="4" w:space="0"/>
            </w:tcBorders>
            <w:vAlign w:val="center"/>
          </w:tcPr>
          <w:p>
            <w:pPr>
              <w:spacing w:beforeLines="10" w:afterLines="10"/>
              <w:jc w:val="center"/>
              <w:rPr>
                <w:rFonts w:ascii="宋体" w:hAnsi="宋体"/>
                <w:color w:val="auto"/>
                <w:szCs w:val="21"/>
                <w:highlight w:val="none"/>
              </w:rPr>
            </w:pPr>
            <w:r>
              <w:rPr>
                <w:rFonts w:hint="eastAsia" w:ascii="宋体" w:hAnsi="宋体"/>
                <w:color w:val="auto"/>
                <w:szCs w:val="21"/>
                <w:highlight w:val="none"/>
              </w:rPr>
              <w:t>备选方案</w:t>
            </w:r>
          </w:p>
        </w:tc>
        <w:tc>
          <w:tcPr>
            <w:tcW w:w="6457" w:type="dxa"/>
            <w:tcBorders>
              <w:top w:val="single" w:color="auto" w:sz="4" w:space="0"/>
              <w:left w:val="single" w:color="auto" w:sz="4" w:space="0"/>
              <w:bottom w:val="single" w:color="auto" w:sz="4" w:space="0"/>
              <w:right w:val="double" w:color="auto" w:sz="4" w:space="0"/>
            </w:tcBorders>
            <w:vAlign w:val="center"/>
          </w:tcPr>
          <w:p>
            <w:pPr>
              <w:spacing w:beforeLines="10" w:afterLines="10"/>
              <w:rPr>
                <w:rFonts w:ascii="宋体" w:hAnsi="宋体"/>
                <w:color w:val="auto"/>
                <w:szCs w:val="21"/>
                <w:highlight w:val="none"/>
              </w:rPr>
            </w:pPr>
            <w:r>
              <w:rPr>
                <w:rFonts w:hint="eastAsia" w:ascii="宋体" w:hAnsi="宋体"/>
                <w:color w:val="auto"/>
                <w:szCs w:val="21"/>
                <w:highlight w:val="none"/>
              </w:rPr>
              <w:t>不接受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39" w:type="dxa"/>
            <w:tcBorders>
              <w:top w:val="single" w:color="auto" w:sz="4" w:space="0"/>
              <w:left w:val="double" w:color="auto" w:sz="4" w:space="0"/>
              <w:bottom w:val="single" w:color="auto" w:sz="4" w:space="0"/>
              <w:right w:val="single" w:color="auto" w:sz="4" w:space="0"/>
            </w:tcBorders>
            <w:vAlign w:val="center"/>
          </w:tcPr>
          <w:p>
            <w:pPr>
              <w:spacing w:beforeLines="10" w:afterLines="10"/>
              <w:jc w:val="center"/>
              <w:rPr>
                <w:rFonts w:ascii="宋体" w:hAnsi="宋体"/>
                <w:color w:val="auto"/>
                <w:szCs w:val="21"/>
                <w:highlight w:val="none"/>
              </w:rPr>
            </w:pPr>
            <w:r>
              <w:rPr>
                <w:rFonts w:hint="eastAsia" w:ascii="宋体" w:hAnsi="宋体"/>
                <w:color w:val="auto"/>
                <w:szCs w:val="21"/>
                <w:highlight w:val="none"/>
              </w:rPr>
              <w:t>15</w:t>
            </w:r>
          </w:p>
        </w:tc>
        <w:tc>
          <w:tcPr>
            <w:tcW w:w="1980" w:type="dxa"/>
            <w:tcBorders>
              <w:top w:val="single" w:color="auto" w:sz="4" w:space="0"/>
              <w:left w:val="single" w:color="auto" w:sz="4" w:space="0"/>
              <w:bottom w:val="single" w:color="auto" w:sz="4" w:space="0"/>
              <w:right w:val="single" w:color="auto" w:sz="4" w:space="0"/>
            </w:tcBorders>
            <w:vAlign w:val="center"/>
          </w:tcPr>
          <w:p>
            <w:pPr>
              <w:spacing w:beforeLines="10" w:afterLines="10"/>
              <w:jc w:val="center"/>
              <w:rPr>
                <w:rFonts w:ascii="宋体" w:hAnsi="宋体"/>
                <w:color w:val="auto"/>
                <w:szCs w:val="21"/>
                <w:highlight w:val="none"/>
                <w:lang w:val="zh-CN"/>
              </w:rPr>
            </w:pPr>
            <w:r>
              <w:rPr>
                <w:rFonts w:hint="eastAsia" w:ascii="宋体" w:hAnsi="宋体"/>
                <w:color w:val="auto"/>
                <w:szCs w:val="21"/>
                <w:highlight w:val="none"/>
              </w:rPr>
              <w:t>投标保证金</w:t>
            </w:r>
          </w:p>
        </w:tc>
        <w:tc>
          <w:tcPr>
            <w:tcW w:w="6457" w:type="dxa"/>
            <w:tcBorders>
              <w:top w:val="single" w:color="auto" w:sz="4" w:space="0"/>
              <w:left w:val="single" w:color="auto" w:sz="4" w:space="0"/>
              <w:bottom w:val="single" w:color="auto" w:sz="4" w:space="0"/>
              <w:right w:val="double" w:color="auto" w:sz="4" w:space="0"/>
            </w:tcBorders>
            <w:vAlign w:val="center"/>
          </w:tcPr>
          <w:p>
            <w:pPr>
              <w:spacing w:beforeLines="10" w:afterLines="10"/>
              <w:rPr>
                <w:rFonts w:ascii="宋体" w:hAnsi="宋体"/>
                <w:b/>
                <w:color w:val="auto"/>
                <w:szCs w:val="21"/>
                <w:highlight w:val="none"/>
              </w:rPr>
            </w:pPr>
            <w:r>
              <w:rPr>
                <w:rFonts w:hint="eastAsia" w:ascii="宋体" w:hAnsi="宋体"/>
                <w:b/>
                <w:color w:val="auto"/>
                <w:szCs w:val="21"/>
                <w:highlight w:val="none"/>
              </w:rPr>
              <w:t>不收取；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39" w:type="dxa"/>
            <w:tcBorders>
              <w:top w:val="single" w:color="auto" w:sz="4" w:space="0"/>
              <w:left w:val="double" w:color="auto" w:sz="4" w:space="0"/>
              <w:bottom w:val="single" w:color="auto" w:sz="4" w:space="0"/>
              <w:right w:val="single" w:color="auto" w:sz="4" w:space="0"/>
            </w:tcBorders>
            <w:vAlign w:val="center"/>
          </w:tcPr>
          <w:p>
            <w:pPr>
              <w:spacing w:beforeLines="10" w:afterLines="10"/>
              <w:ind w:left="125"/>
              <w:jc w:val="center"/>
              <w:rPr>
                <w:rFonts w:ascii="宋体" w:hAnsi="宋体"/>
                <w:color w:val="auto"/>
                <w:szCs w:val="21"/>
                <w:highlight w:val="none"/>
              </w:rPr>
            </w:pPr>
            <w:r>
              <w:rPr>
                <w:rFonts w:hint="eastAsia" w:ascii="宋体" w:hAnsi="宋体"/>
                <w:color w:val="auto"/>
                <w:szCs w:val="21"/>
                <w:highlight w:val="none"/>
              </w:rPr>
              <w:t>17</w:t>
            </w:r>
          </w:p>
        </w:tc>
        <w:tc>
          <w:tcPr>
            <w:tcW w:w="1980" w:type="dxa"/>
            <w:tcBorders>
              <w:top w:val="single" w:color="auto" w:sz="4" w:space="0"/>
              <w:left w:val="single" w:color="auto" w:sz="4" w:space="0"/>
              <w:bottom w:val="single" w:color="auto" w:sz="4" w:space="0"/>
              <w:right w:val="single" w:color="auto" w:sz="4" w:space="0"/>
            </w:tcBorders>
            <w:vAlign w:val="center"/>
          </w:tcPr>
          <w:p>
            <w:pPr>
              <w:spacing w:beforeLines="10" w:afterLines="10"/>
              <w:jc w:val="center"/>
              <w:rPr>
                <w:rFonts w:ascii="宋体" w:hAnsi="宋体"/>
                <w:color w:val="auto"/>
                <w:kern w:val="0"/>
                <w:szCs w:val="21"/>
                <w:highlight w:val="none"/>
              </w:rPr>
            </w:pPr>
            <w:r>
              <w:rPr>
                <w:rFonts w:hint="eastAsia" w:ascii="宋体" w:hAnsi="宋体"/>
                <w:color w:val="auto"/>
                <w:kern w:val="0"/>
                <w:szCs w:val="21"/>
                <w:highlight w:val="none"/>
              </w:rPr>
              <w:t>投标文件的数量</w:t>
            </w:r>
          </w:p>
        </w:tc>
        <w:tc>
          <w:tcPr>
            <w:tcW w:w="6457" w:type="dxa"/>
            <w:tcBorders>
              <w:top w:val="single" w:color="auto" w:sz="4" w:space="0"/>
              <w:left w:val="single" w:color="auto" w:sz="4" w:space="0"/>
              <w:bottom w:val="single" w:color="auto" w:sz="4" w:space="0"/>
              <w:right w:val="double" w:color="auto" w:sz="4" w:space="0"/>
            </w:tcBorders>
            <w:vAlign w:val="center"/>
          </w:tcPr>
          <w:p>
            <w:pPr>
              <w:spacing w:beforeLines="10" w:afterLines="10"/>
              <w:rPr>
                <w:rFonts w:ascii="宋体" w:hAnsi="宋体"/>
                <w:color w:val="auto"/>
                <w:kern w:val="0"/>
                <w:szCs w:val="21"/>
                <w:highlight w:val="none"/>
              </w:rPr>
            </w:pPr>
            <w:r>
              <w:rPr>
                <w:rFonts w:hint="eastAsia" w:ascii="宋体" w:hAnsi="宋体"/>
                <w:color w:val="auto"/>
                <w:szCs w:val="21"/>
                <w:highlight w:val="none"/>
                <w:lang w:val="zh-CN"/>
              </w:rPr>
              <w:t>投标文件一式</w:t>
            </w:r>
            <w:r>
              <w:rPr>
                <w:rFonts w:hint="eastAsia" w:ascii="宋体" w:hAnsi="宋体"/>
                <w:color w:val="auto"/>
                <w:szCs w:val="21"/>
                <w:highlight w:val="none"/>
                <w:u w:val="single"/>
                <w:lang w:val="zh-CN"/>
              </w:rPr>
              <w:t xml:space="preserve"> </w:t>
            </w:r>
            <w:r>
              <w:rPr>
                <w:rFonts w:hint="eastAsia" w:ascii="宋体" w:hAnsi="宋体"/>
                <w:color w:val="auto"/>
                <w:szCs w:val="21"/>
                <w:highlight w:val="none"/>
                <w:u w:val="single"/>
              </w:rPr>
              <w:t>5</w:t>
            </w:r>
            <w:r>
              <w:rPr>
                <w:rFonts w:hint="eastAsia" w:ascii="宋体" w:hAnsi="宋体"/>
                <w:color w:val="auto"/>
                <w:szCs w:val="21"/>
                <w:highlight w:val="none"/>
                <w:u w:val="single"/>
                <w:lang w:val="zh-CN"/>
              </w:rPr>
              <w:t>份</w:t>
            </w:r>
            <w:r>
              <w:rPr>
                <w:rFonts w:hint="eastAsia" w:ascii="宋体" w:hAnsi="宋体"/>
                <w:color w:val="auto"/>
                <w:szCs w:val="21"/>
                <w:highlight w:val="none"/>
                <w:lang w:val="zh-CN"/>
              </w:rPr>
              <w:t>，其中正本</w:t>
            </w:r>
            <w:r>
              <w:rPr>
                <w:rFonts w:hint="eastAsia" w:ascii="宋体" w:hAnsi="宋体"/>
                <w:color w:val="auto"/>
                <w:szCs w:val="21"/>
                <w:highlight w:val="none"/>
                <w:u w:val="single"/>
                <w:lang w:val="zh-CN"/>
              </w:rPr>
              <w:t>1份</w:t>
            </w:r>
            <w:r>
              <w:rPr>
                <w:rFonts w:hint="eastAsia" w:ascii="宋体" w:hAnsi="宋体"/>
                <w:color w:val="auto"/>
                <w:szCs w:val="21"/>
                <w:highlight w:val="none"/>
                <w:lang w:val="zh-CN"/>
              </w:rPr>
              <w:t>、副本</w:t>
            </w:r>
            <w:r>
              <w:rPr>
                <w:rFonts w:hint="eastAsia" w:ascii="宋体" w:hAnsi="宋体"/>
                <w:color w:val="auto"/>
                <w:szCs w:val="21"/>
                <w:highlight w:val="none"/>
                <w:u w:val="single"/>
                <w:lang w:val="zh-CN"/>
              </w:rPr>
              <w:t xml:space="preserve"> </w:t>
            </w:r>
            <w:r>
              <w:rPr>
                <w:rFonts w:hint="eastAsia" w:ascii="宋体" w:hAnsi="宋体"/>
                <w:color w:val="auto"/>
                <w:szCs w:val="21"/>
                <w:highlight w:val="none"/>
                <w:u w:val="single"/>
              </w:rPr>
              <w:t>4</w:t>
            </w:r>
            <w:r>
              <w:rPr>
                <w:rFonts w:hint="eastAsia" w:ascii="宋体" w:hAnsi="宋体"/>
                <w:color w:val="auto"/>
                <w:szCs w:val="21"/>
                <w:highlight w:val="none"/>
                <w:u w:val="single"/>
                <w:lang w:val="zh-CN"/>
              </w:rPr>
              <w:t>份</w:t>
            </w:r>
            <w:r>
              <w:rPr>
                <w:rFonts w:hint="eastAsia" w:ascii="宋体" w:hAnsi="宋体"/>
                <w:color w:val="auto"/>
                <w:szCs w:val="21"/>
                <w:highlight w:val="none"/>
                <w:lang w:val="zh-CN"/>
              </w:rPr>
              <w:t>和</w:t>
            </w:r>
            <w:r>
              <w:rPr>
                <w:rFonts w:hint="eastAsia"/>
                <w:color w:val="auto"/>
                <w:highlight w:val="none"/>
              </w:rPr>
              <w:t>电子版</w:t>
            </w:r>
            <w:r>
              <w:rPr>
                <w:rFonts w:hint="eastAsia"/>
                <w:color w:val="auto"/>
                <w:highlight w:val="none"/>
                <w:u w:val="single"/>
              </w:rPr>
              <w:t>1份</w:t>
            </w:r>
            <w:r>
              <w:rPr>
                <w:rFonts w:hint="eastAsia" w:ascii="宋体" w:hAnsi="宋体"/>
                <w:color w:val="auto"/>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39" w:type="dxa"/>
            <w:tcBorders>
              <w:top w:val="single" w:color="auto" w:sz="4" w:space="0"/>
              <w:left w:val="double" w:color="auto" w:sz="4" w:space="0"/>
              <w:bottom w:val="single" w:color="auto" w:sz="4" w:space="0"/>
              <w:right w:val="single" w:color="auto" w:sz="4" w:space="0"/>
            </w:tcBorders>
            <w:vAlign w:val="center"/>
          </w:tcPr>
          <w:p>
            <w:pPr>
              <w:spacing w:beforeLines="10" w:afterLines="10"/>
              <w:ind w:left="125"/>
              <w:jc w:val="center"/>
              <w:rPr>
                <w:rFonts w:ascii="宋体" w:hAnsi="宋体"/>
                <w:color w:val="auto"/>
                <w:szCs w:val="21"/>
                <w:highlight w:val="none"/>
              </w:rPr>
            </w:pPr>
            <w:r>
              <w:rPr>
                <w:rFonts w:hint="eastAsia" w:ascii="宋体" w:hAnsi="宋体"/>
                <w:color w:val="auto"/>
                <w:szCs w:val="21"/>
                <w:highlight w:val="none"/>
              </w:rPr>
              <w:t>19</w:t>
            </w:r>
          </w:p>
        </w:tc>
        <w:tc>
          <w:tcPr>
            <w:tcW w:w="1980" w:type="dxa"/>
            <w:tcBorders>
              <w:top w:val="single" w:color="auto" w:sz="4" w:space="0"/>
              <w:left w:val="single" w:color="auto" w:sz="4" w:space="0"/>
              <w:bottom w:val="single" w:color="auto" w:sz="4" w:space="0"/>
              <w:right w:val="single" w:color="auto" w:sz="4" w:space="0"/>
            </w:tcBorders>
            <w:vAlign w:val="center"/>
          </w:tcPr>
          <w:p>
            <w:pPr>
              <w:spacing w:beforeLines="10" w:afterLines="10"/>
              <w:jc w:val="center"/>
              <w:rPr>
                <w:rFonts w:ascii="宋体" w:hAnsi="宋体"/>
                <w:color w:val="auto"/>
                <w:kern w:val="0"/>
                <w:szCs w:val="21"/>
                <w:highlight w:val="none"/>
              </w:rPr>
            </w:pPr>
            <w:r>
              <w:rPr>
                <w:rFonts w:hint="eastAsia" w:ascii="宋体" w:hAnsi="宋体"/>
                <w:color w:val="auto"/>
                <w:kern w:val="0"/>
                <w:szCs w:val="21"/>
                <w:highlight w:val="none"/>
              </w:rPr>
              <w:t>投标文件的密封</w:t>
            </w:r>
          </w:p>
        </w:tc>
        <w:tc>
          <w:tcPr>
            <w:tcW w:w="6457" w:type="dxa"/>
            <w:tcBorders>
              <w:top w:val="single" w:color="auto" w:sz="4" w:space="0"/>
              <w:left w:val="single" w:color="auto" w:sz="4" w:space="0"/>
              <w:bottom w:val="single" w:color="auto" w:sz="4" w:space="0"/>
              <w:right w:val="double" w:color="auto" w:sz="4" w:space="0"/>
            </w:tcBorders>
            <w:vAlign w:val="center"/>
          </w:tcPr>
          <w:p>
            <w:pPr>
              <w:spacing w:beforeLines="10" w:afterLines="10"/>
              <w:rPr>
                <w:rFonts w:ascii="宋体" w:hAnsi="宋体"/>
                <w:color w:val="auto"/>
                <w:szCs w:val="21"/>
                <w:highlight w:val="none"/>
              </w:rPr>
            </w:pPr>
            <w:r>
              <w:rPr>
                <w:rFonts w:hint="eastAsia" w:ascii="宋体" w:hAnsi="宋体"/>
                <w:color w:val="auto"/>
                <w:kern w:val="0"/>
                <w:szCs w:val="21"/>
                <w:highlight w:val="none"/>
              </w:rPr>
              <w:t>投标文件正本和副本密封包装</w:t>
            </w:r>
            <w:r>
              <w:rPr>
                <w:rFonts w:hint="eastAsia" w:ascii="宋体" w:hAnsi="宋体"/>
                <w:color w:val="auto"/>
                <w:szCs w:val="21"/>
                <w:highlight w:val="none"/>
              </w:rPr>
              <w:t>【内含投标文件正本</w:t>
            </w:r>
            <w:r>
              <w:rPr>
                <w:rFonts w:hint="eastAsia" w:ascii="宋体" w:hAnsi="宋体"/>
                <w:color w:val="auto"/>
                <w:szCs w:val="21"/>
                <w:highlight w:val="none"/>
                <w:u w:val="single"/>
              </w:rPr>
              <w:t>1</w:t>
            </w:r>
            <w:r>
              <w:rPr>
                <w:rFonts w:hint="eastAsia" w:ascii="宋体" w:hAnsi="宋体"/>
                <w:color w:val="auto"/>
                <w:szCs w:val="21"/>
                <w:highlight w:val="none"/>
              </w:rPr>
              <w:t>份、副本</w:t>
            </w:r>
            <w:r>
              <w:rPr>
                <w:rFonts w:hint="eastAsia" w:ascii="宋体" w:hAnsi="宋体"/>
                <w:color w:val="auto"/>
                <w:szCs w:val="21"/>
                <w:highlight w:val="none"/>
                <w:u w:val="single"/>
              </w:rPr>
              <w:t xml:space="preserve"> 4</w:t>
            </w:r>
            <w:r>
              <w:rPr>
                <w:rFonts w:hint="eastAsia" w:ascii="宋体" w:hAnsi="宋体"/>
                <w:color w:val="auto"/>
                <w:szCs w:val="21"/>
                <w:highlight w:val="none"/>
              </w:rPr>
              <w:t>份，可以一起</w:t>
            </w:r>
            <w:r>
              <w:rPr>
                <w:rFonts w:hint="eastAsia" w:ascii="宋体" w:hAnsi="宋体"/>
                <w:color w:val="auto"/>
                <w:kern w:val="0"/>
                <w:szCs w:val="21"/>
                <w:highlight w:val="none"/>
              </w:rPr>
              <w:t>密封</w:t>
            </w:r>
            <w:r>
              <w:rPr>
                <w:rFonts w:hint="eastAsia" w:ascii="宋体" w:hAnsi="宋体"/>
                <w:color w:val="auto"/>
                <w:szCs w:val="21"/>
                <w:highlight w:val="none"/>
              </w:rPr>
              <w:t>包装，也可以分开</w:t>
            </w:r>
            <w:r>
              <w:rPr>
                <w:rFonts w:hint="eastAsia" w:ascii="宋体" w:hAnsi="宋体"/>
                <w:color w:val="auto"/>
                <w:kern w:val="0"/>
                <w:szCs w:val="21"/>
                <w:highlight w:val="none"/>
              </w:rPr>
              <w:t>密封</w:t>
            </w:r>
            <w:r>
              <w:rPr>
                <w:rFonts w:hint="eastAsia" w:ascii="宋体" w:hAnsi="宋体"/>
                <w:color w:val="auto"/>
                <w:szCs w:val="21"/>
                <w:highlight w:val="none"/>
              </w:rPr>
              <w:t>包装】；</w:t>
            </w:r>
          </w:p>
          <w:p>
            <w:pPr>
              <w:spacing w:beforeLines="10" w:afterLines="10"/>
              <w:rPr>
                <w:rFonts w:ascii="宋体" w:hAnsi="宋体"/>
                <w:color w:val="auto"/>
                <w:szCs w:val="21"/>
                <w:highlight w:val="none"/>
                <w:lang w:val="zh-CN"/>
              </w:rPr>
            </w:pPr>
            <w:r>
              <w:rPr>
                <w:rFonts w:hint="eastAsia" w:ascii="宋体" w:hAnsi="宋体"/>
                <w:color w:val="auto"/>
                <w:kern w:val="0"/>
                <w:szCs w:val="21"/>
                <w:highlight w:val="none"/>
              </w:rPr>
              <w:t>“唱标信封”</w:t>
            </w:r>
            <w:r>
              <w:rPr>
                <w:rFonts w:hint="eastAsia" w:ascii="宋体" w:hAnsi="宋体"/>
                <w:color w:val="auto"/>
                <w:szCs w:val="21"/>
                <w:highlight w:val="none"/>
              </w:rPr>
              <w:t>密封包封为1包【</w:t>
            </w:r>
            <w:r>
              <w:rPr>
                <w:rFonts w:hint="eastAsia" w:ascii="宋体" w:hAnsi="宋体"/>
                <w:b/>
                <w:bCs/>
                <w:color w:val="auto"/>
                <w:kern w:val="0"/>
                <w:szCs w:val="21"/>
                <w:highlight w:val="none"/>
              </w:rPr>
              <w:t>内含开标一览表、法定代表人资格证明书、法定代表人授权委托书和含有投标文件电子版的U盘1个（内含投标文件的WORD版及正本盖章扫描后的PDF版电子文件）</w:t>
            </w:r>
            <w:r>
              <w:rPr>
                <w:rFonts w:hint="eastAsia" w:ascii="宋体" w:hAnsi="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39" w:type="dxa"/>
            <w:tcBorders>
              <w:top w:val="single" w:color="auto" w:sz="4" w:space="0"/>
              <w:left w:val="double" w:color="auto" w:sz="4" w:space="0"/>
              <w:bottom w:val="single" w:color="auto" w:sz="4" w:space="0"/>
              <w:right w:val="single" w:color="auto" w:sz="4" w:space="0"/>
            </w:tcBorders>
            <w:vAlign w:val="center"/>
          </w:tcPr>
          <w:p>
            <w:pPr>
              <w:spacing w:beforeLines="10" w:afterLines="10"/>
              <w:ind w:left="125"/>
              <w:jc w:val="center"/>
              <w:rPr>
                <w:rFonts w:ascii="宋体" w:hAnsi="宋体"/>
                <w:color w:val="auto"/>
                <w:szCs w:val="21"/>
                <w:highlight w:val="none"/>
              </w:rPr>
            </w:pPr>
            <w:r>
              <w:rPr>
                <w:rFonts w:hint="eastAsia" w:ascii="宋体" w:hAnsi="宋体"/>
                <w:color w:val="auto"/>
                <w:szCs w:val="21"/>
                <w:highlight w:val="none"/>
              </w:rPr>
              <w:t>23.1</w:t>
            </w:r>
          </w:p>
        </w:tc>
        <w:tc>
          <w:tcPr>
            <w:tcW w:w="1980" w:type="dxa"/>
            <w:tcBorders>
              <w:top w:val="single" w:color="auto" w:sz="4" w:space="0"/>
              <w:left w:val="single" w:color="auto" w:sz="4" w:space="0"/>
              <w:bottom w:val="single" w:color="auto" w:sz="4" w:space="0"/>
              <w:right w:val="single" w:color="auto" w:sz="4" w:space="0"/>
            </w:tcBorders>
            <w:vAlign w:val="center"/>
          </w:tcPr>
          <w:p>
            <w:pPr>
              <w:spacing w:beforeLines="10" w:afterLines="10"/>
              <w:jc w:val="center"/>
              <w:rPr>
                <w:rFonts w:ascii="宋体" w:hAnsi="宋体"/>
                <w:bCs/>
                <w:color w:val="auto"/>
                <w:szCs w:val="21"/>
                <w:highlight w:val="none"/>
              </w:rPr>
            </w:pPr>
            <w:r>
              <w:rPr>
                <w:rFonts w:hint="eastAsia" w:ascii="宋体" w:hAnsi="宋体"/>
                <w:bCs/>
                <w:color w:val="auto"/>
                <w:szCs w:val="21"/>
                <w:highlight w:val="none"/>
              </w:rPr>
              <w:t>推荐中标候选人</w:t>
            </w:r>
          </w:p>
        </w:tc>
        <w:tc>
          <w:tcPr>
            <w:tcW w:w="6457" w:type="dxa"/>
            <w:tcBorders>
              <w:top w:val="single" w:color="auto" w:sz="4" w:space="0"/>
              <w:left w:val="single" w:color="auto" w:sz="4" w:space="0"/>
              <w:bottom w:val="single" w:color="auto" w:sz="4" w:space="0"/>
              <w:right w:val="double" w:color="auto" w:sz="4" w:space="0"/>
            </w:tcBorders>
            <w:vAlign w:val="center"/>
          </w:tcPr>
          <w:p>
            <w:pPr>
              <w:spacing w:beforeLines="10" w:afterLines="10"/>
              <w:rPr>
                <w:rFonts w:ascii="宋体" w:hAnsi="宋体"/>
                <w:bCs/>
                <w:color w:val="auto"/>
                <w:szCs w:val="21"/>
                <w:highlight w:val="none"/>
              </w:rPr>
            </w:pPr>
            <w:r>
              <w:rPr>
                <w:rFonts w:hint="eastAsia" w:ascii="宋体" w:hAnsi="宋体"/>
                <w:bCs/>
                <w:color w:val="auto"/>
                <w:szCs w:val="21"/>
                <w:highlight w:val="none"/>
              </w:rPr>
              <w:t>推荐综合得分排名第一的投标人为第一中标候选人，排名第二的投标人为第二中标候选人。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39" w:type="dxa"/>
            <w:vMerge w:val="restart"/>
            <w:tcBorders>
              <w:top w:val="single" w:color="auto" w:sz="4" w:space="0"/>
              <w:left w:val="double" w:color="auto" w:sz="4" w:space="0"/>
              <w:bottom w:val="single" w:color="auto" w:sz="4" w:space="0"/>
              <w:right w:val="single" w:color="auto" w:sz="4" w:space="0"/>
            </w:tcBorders>
            <w:vAlign w:val="center"/>
          </w:tcPr>
          <w:p>
            <w:pPr>
              <w:spacing w:beforeLines="10" w:afterLines="10"/>
              <w:ind w:left="125"/>
              <w:jc w:val="center"/>
              <w:rPr>
                <w:rFonts w:ascii="宋体" w:hAnsi="宋体"/>
                <w:color w:val="auto"/>
                <w:szCs w:val="21"/>
                <w:highlight w:val="none"/>
              </w:rPr>
            </w:pPr>
            <w:r>
              <w:rPr>
                <w:rFonts w:hint="eastAsia" w:ascii="宋体" w:hAnsi="宋体"/>
                <w:color w:val="auto"/>
                <w:szCs w:val="21"/>
                <w:highlight w:val="none"/>
              </w:rPr>
              <w:t>23.5</w:t>
            </w:r>
          </w:p>
        </w:tc>
        <w:tc>
          <w:tcPr>
            <w:tcW w:w="1980" w:type="dxa"/>
            <w:tcBorders>
              <w:top w:val="single" w:color="auto" w:sz="4" w:space="0"/>
              <w:left w:val="single" w:color="auto" w:sz="4" w:space="0"/>
              <w:bottom w:val="single" w:color="auto" w:sz="4" w:space="0"/>
              <w:right w:val="single" w:color="auto" w:sz="4" w:space="0"/>
            </w:tcBorders>
            <w:vAlign w:val="center"/>
          </w:tcPr>
          <w:p>
            <w:pPr>
              <w:spacing w:beforeLines="10" w:afterLines="10"/>
              <w:jc w:val="center"/>
              <w:rPr>
                <w:rFonts w:ascii="宋体" w:hAnsi="宋体"/>
                <w:color w:val="auto"/>
                <w:szCs w:val="21"/>
                <w:highlight w:val="none"/>
              </w:rPr>
            </w:pPr>
            <w:r>
              <w:rPr>
                <w:rFonts w:hint="eastAsia" w:ascii="宋体" w:hAnsi="宋体"/>
                <w:color w:val="auto"/>
                <w:szCs w:val="21"/>
                <w:highlight w:val="none"/>
              </w:rPr>
              <w:t>信息发布媒体</w:t>
            </w:r>
          </w:p>
        </w:tc>
        <w:tc>
          <w:tcPr>
            <w:tcW w:w="6457" w:type="dxa"/>
            <w:tcBorders>
              <w:top w:val="single" w:color="auto" w:sz="4" w:space="0"/>
              <w:left w:val="single" w:color="auto" w:sz="4" w:space="0"/>
              <w:bottom w:val="single" w:color="auto" w:sz="4" w:space="0"/>
              <w:right w:val="double" w:color="auto" w:sz="4" w:space="0"/>
            </w:tcBorders>
            <w:vAlign w:val="center"/>
          </w:tcPr>
          <w:p>
            <w:pPr>
              <w:spacing w:beforeLines="10" w:afterLines="10"/>
              <w:rPr>
                <w:rFonts w:ascii="宋体" w:hAnsi="宋体"/>
                <w:color w:val="auto"/>
                <w:szCs w:val="21"/>
                <w:highlight w:val="none"/>
              </w:rPr>
            </w:pPr>
            <w:r>
              <w:rPr>
                <w:rFonts w:hint="eastAsia" w:ascii="宋体" w:hAnsi="宋体"/>
                <w:bCs/>
                <w:color w:val="auto"/>
                <w:szCs w:val="21"/>
                <w:highlight w:val="none"/>
              </w:rPr>
              <w:t>1.</w:t>
            </w:r>
            <w:r>
              <w:rPr>
                <w:rFonts w:ascii="宋体" w:hAnsi="宋体"/>
                <w:color w:val="auto"/>
                <w:szCs w:val="21"/>
                <w:highlight w:val="none"/>
              </w:rPr>
              <w:t>中国政府采购网（http://www.ccgp.gov.cn）；</w:t>
            </w:r>
          </w:p>
          <w:p>
            <w:pPr>
              <w:spacing w:beforeLines="10" w:afterLines="10"/>
              <w:rPr>
                <w:rFonts w:ascii="宋体" w:hAnsi="宋体"/>
                <w:bCs/>
                <w:color w:val="auto"/>
                <w:szCs w:val="21"/>
                <w:highlight w:val="none"/>
              </w:rPr>
            </w:pPr>
            <w:r>
              <w:rPr>
                <w:rFonts w:hint="eastAsia" w:ascii="宋体" w:hAnsi="宋体"/>
                <w:color w:val="auto"/>
                <w:szCs w:val="21"/>
                <w:highlight w:val="none"/>
              </w:rPr>
              <w:t>2.广东广招招标采购有限公司网（</w:t>
            </w:r>
            <w:r>
              <w:rPr>
                <w:rFonts w:ascii="宋体" w:hAnsi="宋体"/>
                <w:color w:val="auto"/>
                <w:szCs w:val="21"/>
                <w:highlight w:val="none"/>
              </w:rPr>
              <w:t>http://www.gztpc.com</w:t>
            </w:r>
            <w:r>
              <w:rPr>
                <w:rFonts w:hint="eastAsia" w:ascii="宋体" w:hAnsi="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39" w:type="dxa"/>
            <w:vMerge w:val="continue"/>
            <w:tcBorders>
              <w:top w:val="single" w:color="auto" w:sz="4" w:space="0"/>
              <w:left w:val="double" w:color="auto" w:sz="4" w:space="0"/>
              <w:bottom w:val="single" w:color="auto" w:sz="4" w:space="0"/>
              <w:right w:val="single" w:color="auto" w:sz="4" w:space="0"/>
            </w:tcBorders>
            <w:vAlign w:val="center"/>
          </w:tcPr>
          <w:p>
            <w:pPr>
              <w:spacing w:beforeLines="10" w:afterLines="10"/>
              <w:ind w:left="125"/>
              <w:jc w:val="center"/>
              <w:rPr>
                <w:rFonts w:ascii="宋体" w:hAnsi="宋体"/>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beforeLines="10" w:afterLines="10"/>
              <w:jc w:val="center"/>
              <w:rPr>
                <w:rFonts w:ascii="宋体" w:hAnsi="宋体"/>
                <w:color w:val="auto"/>
                <w:szCs w:val="21"/>
                <w:highlight w:val="none"/>
              </w:rPr>
            </w:pPr>
            <w:r>
              <w:rPr>
                <w:rFonts w:hint="eastAsia" w:ascii="宋体" w:hAnsi="宋体"/>
                <w:color w:val="auto"/>
                <w:kern w:val="0"/>
                <w:szCs w:val="21"/>
                <w:highlight w:val="none"/>
              </w:rPr>
              <w:t>中标公告</w:t>
            </w:r>
          </w:p>
        </w:tc>
        <w:tc>
          <w:tcPr>
            <w:tcW w:w="6457" w:type="dxa"/>
            <w:tcBorders>
              <w:top w:val="single" w:color="auto" w:sz="4" w:space="0"/>
              <w:left w:val="single" w:color="auto" w:sz="4" w:space="0"/>
              <w:bottom w:val="single" w:color="auto" w:sz="4" w:space="0"/>
              <w:right w:val="double" w:color="auto" w:sz="4" w:space="0"/>
            </w:tcBorders>
            <w:vAlign w:val="center"/>
          </w:tcPr>
          <w:p>
            <w:pPr>
              <w:spacing w:beforeLines="10" w:afterLines="10"/>
              <w:rPr>
                <w:rFonts w:ascii="宋体" w:hAnsi="宋体"/>
                <w:bCs/>
                <w:color w:val="auto"/>
                <w:szCs w:val="21"/>
                <w:highlight w:val="none"/>
              </w:rPr>
            </w:pPr>
            <w:r>
              <w:rPr>
                <w:rFonts w:hint="eastAsia" w:ascii="宋体" w:hAnsi="宋体"/>
                <w:color w:val="auto"/>
                <w:szCs w:val="21"/>
                <w:highlight w:val="none"/>
              </w:rPr>
              <w:t>在上述网站发布中标公告。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39" w:type="dxa"/>
            <w:tcBorders>
              <w:top w:val="single" w:color="auto" w:sz="4" w:space="0"/>
              <w:left w:val="double" w:color="auto" w:sz="4" w:space="0"/>
              <w:bottom w:val="single" w:color="auto" w:sz="4" w:space="0"/>
              <w:right w:val="single" w:color="auto" w:sz="4" w:space="0"/>
            </w:tcBorders>
            <w:vAlign w:val="center"/>
          </w:tcPr>
          <w:p>
            <w:pPr>
              <w:spacing w:beforeLines="10" w:afterLines="10"/>
              <w:ind w:left="125"/>
              <w:jc w:val="center"/>
              <w:rPr>
                <w:rFonts w:ascii="宋体" w:hAnsi="宋体"/>
                <w:color w:val="auto"/>
                <w:szCs w:val="21"/>
                <w:highlight w:val="none"/>
              </w:rPr>
            </w:pPr>
            <w:r>
              <w:rPr>
                <w:rFonts w:hint="eastAsia" w:ascii="宋体" w:hAnsi="宋体"/>
                <w:color w:val="auto"/>
                <w:szCs w:val="21"/>
                <w:highlight w:val="none"/>
              </w:rPr>
              <w:t>26</w:t>
            </w:r>
          </w:p>
        </w:tc>
        <w:tc>
          <w:tcPr>
            <w:tcW w:w="1980" w:type="dxa"/>
            <w:tcBorders>
              <w:top w:val="single" w:color="auto" w:sz="4" w:space="0"/>
              <w:left w:val="single" w:color="auto" w:sz="4" w:space="0"/>
              <w:bottom w:val="single" w:color="auto" w:sz="4" w:space="0"/>
              <w:right w:val="single" w:color="auto" w:sz="4" w:space="0"/>
            </w:tcBorders>
            <w:vAlign w:val="center"/>
          </w:tcPr>
          <w:p>
            <w:pPr>
              <w:spacing w:beforeLines="10" w:afterLines="10"/>
              <w:jc w:val="center"/>
              <w:rPr>
                <w:rFonts w:ascii="宋体" w:hAnsi="宋体"/>
                <w:bCs/>
                <w:color w:val="auto"/>
                <w:szCs w:val="21"/>
                <w:highlight w:val="none"/>
              </w:rPr>
            </w:pPr>
            <w:r>
              <w:rPr>
                <w:rFonts w:hint="eastAsia" w:ascii="宋体" w:hAnsi="宋体"/>
                <w:color w:val="auto"/>
                <w:szCs w:val="21"/>
                <w:highlight w:val="none"/>
              </w:rPr>
              <w:t>中标服务费</w:t>
            </w:r>
          </w:p>
        </w:tc>
        <w:tc>
          <w:tcPr>
            <w:tcW w:w="6457" w:type="dxa"/>
            <w:tcBorders>
              <w:top w:val="single" w:color="auto" w:sz="4" w:space="0"/>
              <w:left w:val="single" w:color="auto" w:sz="4" w:space="0"/>
              <w:bottom w:val="single" w:color="auto" w:sz="4" w:space="0"/>
              <w:right w:val="double" w:color="auto" w:sz="4" w:space="0"/>
            </w:tcBorders>
            <w:vAlign w:val="center"/>
          </w:tcPr>
          <w:p>
            <w:pPr>
              <w:spacing w:beforeLines="10" w:afterLines="10"/>
              <w:rPr>
                <w:color w:val="auto"/>
                <w:highlight w:val="none"/>
              </w:rPr>
            </w:pPr>
            <w:r>
              <w:rPr>
                <w:rFonts w:hint="eastAsia" w:ascii="宋体" w:hAnsi="宋体"/>
                <w:color w:val="auto"/>
                <w:szCs w:val="21"/>
                <w:highlight w:val="none"/>
              </w:rPr>
              <w:t>本项目由</w:t>
            </w:r>
            <w:r>
              <w:rPr>
                <w:rFonts w:hint="eastAsia" w:ascii="宋体" w:hAnsi="宋体"/>
                <w:b/>
                <w:color w:val="auto"/>
                <w:szCs w:val="21"/>
                <w:highlight w:val="none"/>
              </w:rPr>
              <w:t>中标人</w:t>
            </w:r>
            <w:r>
              <w:rPr>
                <w:rFonts w:hint="eastAsia" w:ascii="宋体" w:hAnsi="宋体"/>
                <w:color w:val="auto"/>
                <w:szCs w:val="21"/>
                <w:highlight w:val="none"/>
              </w:rPr>
              <w:t>缴纳中标服务费，以本项目的中标金额作为收费的计算依据，收费标准结合市场收费情况确定如下：</w:t>
            </w:r>
          </w:p>
          <w:p>
            <w:pPr>
              <w:pStyle w:val="2"/>
              <w:spacing w:beforeLines="10" w:afterLines="10"/>
              <w:rPr>
                <w:color w:val="auto"/>
                <w:highlight w:val="none"/>
              </w:rPr>
            </w:pPr>
          </w:p>
          <w:p>
            <w:pPr>
              <w:pStyle w:val="2"/>
              <w:spacing w:beforeLines="10" w:afterLines="10"/>
              <w:rPr>
                <w:color w:val="auto"/>
                <w:highlight w:val="none"/>
              </w:rPr>
            </w:pP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0"/>
              <w:gridCol w:w="2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jc w:val="center"/>
              </w:trPr>
              <w:tc>
                <w:tcPr>
                  <w:tcW w:w="2560" w:type="dxa"/>
                </w:tcPr>
                <w:p>
                  <w:pPr>
                    <w:spacing w:beforeLines="10" w:afterLines="10"/>
                    <w:rPr>
                      <w:rFonts w:ascii="宋体" w:hAnsi="宋体"/>
                      <w:color w:val="auto"/>
                      <w:szCs w:val="21"/>
                      <w:highlight w:val="none"/>
                    </w:rPr>
                  </w:pPr>
                  <w:r>
                    <w:rPr>
                      <w:rFonts w:hint="eastAsia" w:ascii="宋体" w:hAnsi="宋体"/>
                      <w:bCs/>
                      <w:color w:val="auto"/>
                      <w:szCs w:val="21"/>
                      <w:highlight w:val="none"/>
                    </w:rPr>
                    <w:t>金额（万元）</w:t>
                  </w:r>
                </w:p>
              </w:tc>
              <w:tc>
                <w:tcPr>
                  <w:tcW w:w="2560" w:type="dxa"/>
                </w:tcPr>
                <w:p>
                  <w:pPr>
                    <w:spacing w:beforeLines="10" w:afterLines="10"/>
                    <w:rPr>
                      <w:rFonts w:ascii="宋体" w:hAnsi="宋体"/>
                      <w:color w:val="auto"/>
                      <w:szCs w:val="21"/>
                      <w:highlight w:val="none"/>
                    </w:rPr>
                  </w:pPr>
                  <w:r>
                    <w:rPr>
                      <w:rFonts w:hint="eastAsia" w:ascii="宋体" w:hAnsi="宋体"/>
                      <w:bCs/>
                      <w:color w:val="auto"/>
                      <w:szCs w:val="21"/>
                      <w:highlight w:val="none"/>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560" w:type="dxa"/>
                </w:tcPr>
                <w:p>
                  <w:pPr>
                    <w:spacing w:beforeLines="10" w:afterLines="10"/>
                    <w:rPr>
                      <w:rFonts w:ascii="宋体" w:hAnsi="宋体"/>
                      <w:color w:val="auto"/>
                      <w:szCs w:val="21"/>
                      <w:highlight w:val="none"/>
                    </w:rPr>
                  </w:pPr>
                  <w:r>
                    <w:rPr>
                      <w:rFonts w:hint="eastAsia" w:ascii="宋体" w:hAnsi="宋体"/>
                      <w:color w:val="auto"/>
                      <w:szCs w:val="21"/>
                      <w:highlight w:val="none"/>
                    </w:rPr>
                    <w:t>100以下部分</w:t>
                  </w:r>
                </w:p>
              </w:tc>
              <w:tc>
                <w:tcPr>
                  <w:tcW w:w="2560" w:type="dxa"/>
                </w:tcPr>
                <w:p>
                  <w:pPr>
                    <w:spacing w:beforeLines="10" w:afterLines="10"/>
                    <w:rPr>
                      <w:rFonts w:ascii="宋体" w:hAnsi="宋体"/>
                      <w:color w:val="auto"/>
                      <w:szCs w:val="21"/>
                      <w:highlight w:val="none"/>
                    </w:rPr>
                  </w:pPr>
                  <w:r>
                    <w:rPr>
                      <w:rFonts w:hint="eastAsia" w:ascii="宋体" w:hAnsi="宋体"/>
                      <w:color w:val="auto"/>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560" w:type="dxa"/>
                </w:tcPr>
                <w:p>
                  <w:pPr>
                    <w:spacing w:beforeLines="10" w:afterLines="10"/>
                    <w:rPr>
                      <w:rFonts w:ascii="宋体" w:hAnsi="宋体"/>
                      <w:color w:val="auto"/>
                      <w:szCs w:val="21"/>
                      <w:highlight w:val="none"/>
                    </w:rPr>
                  </w:pPr>
                  <w:r>
                    <w:rPr>
                      <w:rFonts w:hint="eastAsia" w:ascii="宋体" w:hAnsi="宋体"/>
                      <w:color w:val="auto"/>
                      <w:szCs w:val="21"/>
                      <w:highlight w:val="none"/>
                    </w:rPr>
                    <w:t>100-500部分</w:t>
                  </w:r>
                </w:p>
              </w:tc>
              <w:tc>
                <w:tcPr>
                  <w:tcW w:w="2560" w:type="dxa"/>
                </w:tcPr>
                <w:p>
                  <w:pPr>
                    <w:spacing w:beforeLines="10" w:afterLines="10"/>
                    <w:rPr>
                      <w:rFonts w:ascii="宋体" w:hAnsi="宋体"/>
                      <w:color w:val="auto"/>
                      <w:szCs w:val="21"/>
                      <w:highlight w:val="none"/>
                    </w:rPr>
                  </w:pPr>
                  <w:r>
                    <w:rPr>
                      <w:rFonts w:hint="eastAsia" w:ascii="宋体" w:hAnsi="宋体"/>
                      <w:color w:val="auto"/>
                      <w:szCs w:val="21"/>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560" w:type="dxa"/>
                </w:tcPr>
                <w:p>
                  <w:pPr>
                    <w:spacing w:beforeLines="10" w:afterLines="10"/>
                    <w:rPr>
                      <w:rFonts w:ascii="宋体" w:hAnsi="宋体"/>
                      <w:color w:val="auto"/>
                      <w:szCs w:val="21"/>
                      <w:highlight w:val="none"/>
                    </w:rPr>
                  </w:pPr>
                  <w:r>
                    <w:rPr>
                      <w:rFonts w:hint="eastAsia" w:ascii="宋体" w:hAnsi="宋体"/>
                      <w:color w:val="auto"/>
                      <w:szCs w:val="21"/>
                      <w:highlight w:val="none"/>
                    </w:rPr>
                    <w:t>500-1000部分</w:t>
                  </w:r>
                </w:p>
              </w:tc>
              <w:tc>
                <w:tcPr>
                  <w:tcW w:w="2560" w:type="dxa"/>
                </w:tcPr>
                <w:p>
                  <w:pPr>
                    <w:spacing w:beforeLines="10" w:afterLines="10"/>
                    <w:rPr>
                      <w:rFonts w:ascii="宋体" w:hAnsi="宋体"/>
                      <w:color w:val="auto"/>
                      <w:szCs w:val="21"/>
                      <w:highlight w:val="none"/>
                    </w:rPr>
                  </w:pPr>
                  <w:r>
                    <w:rPr>
                      <w:rFonts w:hint="eastAsia" w:ascii="宋体" w:hAnsi="宋体"/>
                      <w:color w:val="auto"/>
                      <w:szCs w:val="21"/>
                      <w:highlight w:val="none"/>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jc w:val="center"/>
              </w:trPr>
              <w:tc>
                <w:tcPr>
                  <w:tcW w:w="2560" w:type="dxa"/>
                </w:tcPr>
                <w:p>
                  <w:pPr>
                    <w:spacing w:beforeLines="10" w:afterLines="10"/>
                    <w:rPr>
                      <w:rFonts w:ascii="宋体" w:hAnsi="宋体"/>
                      <w:color w:val="auto"/>
                      <w:szCs w:val="21"/>
                      <w:highlight w:val="none"/>
                    </w:rPr>
                  </w:pPr>
                  <w:r>
                    <w:rPr>
                      <w:rFonts w:hint="eastAsia" w:ascii="宋体" w:hAnsi="宋体"/>
                      <w:color w:val="auto"/>
                      <w:szCs w:val="21"/>
                      <w:highlight w:val="none"/>
                    </w:rPr>
                    <w:t>1000-5000部分</w:t>
                  </w:r>
                </w:p>
              </w:tc>
              <w:tc>
                <w:tcPr>
                  <w:tcW w:w="2560" w:type="dxa"/>
                </w:tcPr>
                <w:p>
                  <w:pPr>
                    <w:spacing w:beforeLines="10" w:afterLines="10"/>
                    <w:rPr>
                      <w:rFonts w:ascii="宋体" w:hAnsi="宋体"/>
                      <w:color w:val="auto"/>
                      <w:szCs w:val="21"/>
                      <w:highlight w:val="none"/>
                    </w:rPr>
                  </w:pPr>
                  <w:r>
                    <w:rPr>
                      <w:rFonts w:hint="eastAsia" w:ascii="宋体" w:hAnsi="宋体"/>
                      <w:color w:val="auto"/>
                      <w:szCs w:val="21"/>
                      <w:highlight w:val="none"/>
                    </w:rPr>
                    <w:t>0.25%</w:t>
                  </w:r>
                </w:p>
              </w:tc>
            </w:tr>
          </w:tbl>
          <w:p>
            <w:pPr>
              <w:spacing w:beforeLines="10" w:afterLines="10"/>
              <w:rPr>
                <w:rFonts w:ascii="宋体" w:hAnsi="宋体"/>
                <w:bCs/>
                <w:color w:val="auto"/>
                <w:szCs w:val="21"/>
                <w:highlight w:val="none"/>
              </w:rPr>
            </w:pPr>
            <w:r>
              <w:rPr>
                <w:rFonts w:hint="eastAsia" w:ascii="宋体" w:hAnsi="宋体"/>
                <w:b/>
                <w:color w:val="auto"/>
                <w:szCs w:val="21"/>
                <w:highlight w:val="none"/>
              </w:rPr>
              <w:t>经计算得出中标服务费低于5000元的按5000元定额收取。</w:t>
            </w:r>
          </w:p>
          <w:p>
            <w:pPr>
              <w:spacing w:beforeLines="10" w:afterLines="10"/>
              <w:rPr>
                <w:rFonts w:ascii="宋体" w:hAnsi="宋体"/>
                <w:bCs/>
                <w:color w:val="auto"/>
                <w:szCs w:val="21"/>
                <w:highlight w:val="none"/>
              </w:rPr>
            </w:pPr>
            <w:r>
              <w:rPr>
                <w:rFonts w:hint="eastAsia" w:ascii="宋体" w:hAnsi="宋体"/>
                <w:bCs/>
                <w:color w:val="auto"/>
                <w:szCs w:val="21"/>
                <w:highlight w:val="none"/>
              </w:rPr>
              <w:t>采购代理机构收款人、开户行及账号如下：</w:t>
            </w:r>
          </w:p>
          <w:p>
            <w:pPr>
              <w:spacing w:beforeLines="10" w:afterLines="10"/>
              <w:rPr>
                <w:rFonts w:ascii="宋体" w:hAnsi="宋体"/>
                <w:bCs/>
                <w:color w:val="auto"/>
                <w:szCs w:val="21"/>
                <w:highlight w:val="none"/>
              </w:rPr>
            </w:pPr>
            <w:r>
              <w:rPr>
                <w:rFonts w:hint="eastAsia" w:ascii="宋体" w:hAnsi="宋体"/>
                <w:bCs/>
                <w:color w:val="auto"/>
                <w:szCs w:val="21"/>
                <w:highlight w:val="none"/>
              </w:rPr>
              <w:t>收款人：广东广招招标采购有限公司</w:t>
            </w:r>
          </w:p>
          <w:p>
            <w:pPr>
              <w:spacing w:beforeLines="10" w:afterLines="10"/>
              <w:rPr>
                <w:rFonts w:ascii="宋体" w:hAnsi="宋体"/>
                <w:bCs/>
                <w:color w:val="auto"/>
                <w:szCs w:val="21"/>
                <w:highlight w:val="none"/>
              </w:rPr>
            </w:pPr>
            <w:r>
              <w:rPr>
                <w:rFonts w:hint="eastAsia" w:ascii="宋体" w:hAnsi="宋体"/>
                <w:bCs/>
                <w:color w:val="auto"/>
                <w:szCs w:val="21"/>
                <w:highlight w:val="none"/>
              </w:rPr>
              <w:t>开户行：中国工商银行广州市东城支行</w:t>
            </w:r>
          </w:p>
          <w:p>
            <w:pPr>
              <w:spacing w:beforeLines="10" w:afterLines="10"/>
              <w:rPr>
                <w:rFonts w:ascii="宋体" w:hAnsi="宋体"/>
                <w:bCs/>
                <w:color w:val="auto"/>
                <w:szCs w:val="21"/>
                <w:highlight w:val="none"/>
              </w:rPr>
            </w:pPr>
            <w:r>
              <w:rPr>
                <w:rFonts w:hint="eastAsia" w:ascii="宋体" w:hAnsi="宋体"/>
                <w:bCs/>
                <w:color w:val="auto"/>
                <w:szCs w:val="21"/>
                <w:highlight w:val="none"/>
              </w:rPr>
              <w:t>账  号：3602031409200624988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39" w:type="dxa"/>
            <w:tcBorders>
              <w:top w:val="single" w:color="auto" w:sz="4" w:space="0"/>
              <w:left w:val="double" w:color="auto" w:sz="4" w:space="0"/>
              <w:bottom w:val="single" w:color="auto" w:sz="4" w:space="0"/>
              <w:right w:val="single" w:color="auto" w:sz="4" w:space="0"/>
            </w:tcBorders>
            <w:vAlign w:val="center"/>
          </w:tcPr>
          <w:p>
            <w:pPr>
              <w:spacing w:beforeLines="10" w:afterLines="10"/>
              <w:ind w:left="125"/>
              <w:jc w:val="center"/>
              <w:rPr>
                <w:rFonts w:ascii="宋体" w:hAnsi="宋体"/>
                <w:color w:val="auto"/>
                <w:szCs w:val="21"/>
                <w:highlight w:val="none"/>
              </w:rPr>
            </w:pPr>
            <w:r>
              <w:rPr>
                <w:rFonts w:hint="eastAsia" w:ascii="宋体" w:hAnsi="宋体"/>
                <w:color w:val="auto"/>
                <w:szCs w:val="21"/>
                <w:highlight w:val="none"/>
              </w:rPr>
              <w:t>27.1</w:t>
            </w:r>
          </w:p>
        </w:tc>
        <w:tc>
          <w:tcPr>
            <w:tcW w:w="1980" w:type="dxa"/>
            <w:tcBorders>
              <w:top w:val="single" w:color="auto" w:sz="4" w:space="0"/>
              <w:left w:val="single" w:color="auto" w:sz="4" w:space="0"/>
              <w:bottom w:val="single" w:color="auto" w:sz="4" w:space="0"/>
              <w:right w:val="single" w:color="auto" w:sz="4" w:space="0"/>
            </w:tcBorders>
            <w:vAlign w:val="center"/>
          </w:tcPr>
          <w:p>
            <w:pPr>
              <w:spacing w:beforeLines="10" w:afterLines="10"/>
              <w:jc w:val="center"/>
              <w:rPr>
                <w:rFonts w:ascii="宋体" w:hAnsi="宋体"/>
                <w:color w:val="auto"/>
                <w:szCs w:val="21"/>
                <w:highlight w:val="none"/>
                <w:lang w:val="zh-CN"/>
              </w:rPr>
            </w:pPr>
            <w:r>
              <w:rPr>
                <w:rFonts w:hint="eastAsia" w:ascii="宋体" w:hAnsi="宋体"/>
                <w:color w:val="auto"/>
                <w:szCs w:val="21"/>
                <w:highlight w:val="none"/>
                <w:lang w:val="zh-CN"/>
              </w:rPr>
              <w:t>履约保证金</w:t>
            </w:r>
          </w:p>
        </w:tc>
        <w:tc>
          <w:tcPr>
            <w:tcW w:w="6457" w:type="dxa"/>
            <w:tcBorders>
              <w:top w:val="single" w:color="auto" w:sz="4" w:space="0"/>
              <w:left w:val="single" w:color="auto" w:sz="4" w:space="0"/>
              <w:bottom w:val="single" w:color="auto" w:sz="4" w:space="0"/>
              <w:right w:val="double" w:color="auto" w:sz="4" w:space="0"/>
            </w:tcBorders>
            <w:vAlign w:val="center"/>
          </w:tcPr>
          <w:p>
            <w:pPr>
              <w:spacing w:beforeLines="10" w:afterLines="10"/>
              <w:rPr>
                <w:rFonts w:ascii="宋体" w:hAnsi="宋体"/>
                <w:b/>
                <w:color w:val="auto"/>
                <w:szCs w:val="21"/>
                <w:highlight w:val="none"/>
                <w:lang w:val="zh-CN"/>
              </w:rPr>
            </w:pPr>
            <w:r>
              <w:rPr>
                <w:rFonts w:hint="eastAsia" w:ascii="宋体" w:hAnsi="宋体"/>
                <w:b/>
                <w:color w:val="auto"/>
                <w:szCs w:val="21"/>
                <w:highlight w:val="none"/>
                <w:lang w:val="zh-CN"/>
              </w:rPr>
              <w:t>不收取；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9" w:type="dxa"/>
            <w:tcBorders>
              <w:top w:val="single" w:color="auto" w:sz="4" w:space="0"/>
              <w:left w:val="double" w:color="auto" w:sz="4" w:space="0"/>
              <w:bottom w:val="single" w:color="auto" w:sz="4" w:space="0"/>
              <w:right w:val="single" w:color="auto" w:sz="4" w:space="0"/>
            </w:tcBorders>
            <w:vAlign w:val="center"/>
          </w:tcPr>
          <w:p>
            <w:pPr>
              <w:spacing w:beforeLines="10" w:afterLines="10"/>
              <w:ind w:left="125"/>
              <w:jc w:val="center"/>
              <w:rPr>
                <w:rFonts w:ascii="宋体" w:hAnsi="宋体"/>
                <w:color w:val="auto"/>
                <w:szCs w:val="21"/>
                <w:highlight w:val="none"/>
              </w:rPr>
            </w:pPr>
            <w:r>
              <w:rPr>
                <w:rFonts w:hint="eastAsia" w:ascii="宋体" w:hAnsi="宋体"/>
                <w:color w:val="auto"/>
                <w:szCs w:val="21"/>
                <w:highlight w:val="none"/>
              </w:rPr>
              <w:t>30.5</w:t>
            </w:r>
          </w:p>
        </w:tc>
        <w:tc>
          <w:tcPr>
            <w:tcW w:w="1980" w:type="dxa"/>
            <w:tcBorders>
              <w:top w:val="single" w:color="auto" w:sz="4" w:space="0"/>
              <w:left w:val="single" w:color="auto" w:sz="4" w:space="0"/>
              <w:bottom w:val="single" w:color="auto" w:sz="4" w:space="0"/>
              <w:right w:val="single" w:color="auto" w:sz="4" w:space="0"/>
            </w:tcBorders>
            <w:vAlign w:val="center"/>
          </w:tcPr>
          <w:p>
            <w:pPr>
              <w:spacing w:beforeLines="10" w:afterLines="10"/>
              <w:jc w:val="center"/>
              <w:rPr>
                <w:rFonts w:ascii="宋体" w:hAnsi="宋体"/>
                <w:color w:val="auto"/>
                <w:szCs w:val="21"/>
                <w:highlight w:val="none"/>
                <w:lang w:val="zh-CN"/>
              </w:rPr>
            </w:pPr>
            <w:r>
              <w:rPr>
                <w:rFonts w:hint="eastAsia" w:ascii="宋体" w:hAnsi="宋体"/>
                <w:color w:val="auto"/>
                <w:szCs w:val="21"/>
                <w:highlight w:val="none"/>
              </w:rPr>
              <w:t>接收质疑函的联系人、联系电话和通讯地址</w:t>
            </w:r>
          </w:p>
        </w:tc>
        <w:tc>
          <w:tcPr>
            <w:tcW w:w="6457" w:type="dxa"/>
            <w:tcBorders>
              <w:top w:val="single" w:color="auto" w:sz="4" w:space="0"/>
              <w:left w:val="single" w:color="auto" w:sz="4" w:space="0"/>
              <w:bottom w:val="single" w:color="auto" w:sz="4" w:space="0"/>
              <w:right w:val="double" w:color="auto" w:sz="4" w:space="0"/>
            </w:tcBorders>
            <w:vAlign w:val="center"/>
          </w:tcPr>
          <w:p>
            <w:pPr>
              <w:spacing w:beforeLines="10" w:afterLines="10"/>
              <w:rPr>
                <w:rFonts w:ascii="宋体" w:hAnsi="宋体"/>
                <w:bCs/>
                <w:color w:val="auto"/>
                <w:szCs w:val="21"/>
                <w:highlight w:val="none"/>
              </w:rPr>
            </w:pPr>
            <w:r>
              <w:rPr>
                <w:rFonts w:hint="eastAsia" w:ascii="宋体" w:hAnsi="宋体"/>
                <w:bCs/>
                <w:color w:val="auto"/>
                <w:szCs w:val="21"/>
                <w:highlight w:val="none"/>
              </w:rPr>
              <w:t>采购代理机构：广东广招招标采购有限公司</w:t>
            </w:r>
          </w:p>
          <w:p>
            <w:pPr>
              <w:spacing w:beforeLines="10" w:afterLines="10"/>
              <w:rPr>
                <w:rFonts w:ascii="宋体" w:hAnsi="宋体"/>
                <w:bCs/>
                <w:color w:val="auto"/>
                <w:szCs w:val="21"/>
                <w:highlight w:val="none"/>
              </w:rPr>
            </w:pPr>
            <w:r>
              <w:rPr>
                <w:rFonts w:hint="eastAsia" w:ascii="宋体" w:hAnsi="宋体"/>
                <w:bCs/>
                <w:color w:val="auto"/>
                <w:szCs w:val="21"/>
                <w:highlight w:val="none"/>
              </w:rPr>
              <w:t>地    址：广州市东风东路745号东山紫园商务大厦2003单元</w:t>
            </w:r>
          </w:p>
          <w:p>
            <w:pPr>
              <w:spacing w:beforeLines="10" w:afterLines="10"/>
              <w:rPr>
                <w:rFonts w:ascii="宋体" w:hAnsi="宋体"/>
                <w:bCs/>
                <w:color w:val="auto"/>
                <w:szCs w:val="21"/>
                <w:highlight w:val="none"/>
              </w:rPr>
            </w:pPr>
            <w:r>
              <w:rPr>
                <w:rFonts w:hint="eastAsia" w:ascii="宋体" w:hAnsi="宋体"/>
                <w:bCs/>
                <w:color w:val="auto"/>
                <w:szCs w:val="21"/>
                <w:highlight w:val="none"/>
              </w:rPr>
              <w:t>联 系 人：</w:t>
            </w:r>
            <w:r>
              <w:rPr>
                <w:rFonts w:hint="eastAsia" w:ascii="宋体" w:hAnsi="宋体"/>
                <w:bCs/>
                <w:color w:val="auto"/>
                <w:szCs w:val="21"/>
                <w:highlight w:val="none"/>
              </w:rPr>
              <w:t>丘工</w:t>
            </w:r>
          </w:p>
          <w:p>
            <w:pPr>
              <w:spacing w:beforeLines="10" w:afterLines="10"/>
              <w:rPr>
                <w:rFonts w:ascii="宋体" w:hAnsi="宋体"/>
                <w:bCs/>
                <w:color w:val="auto"/>
                <w:szCs w:val="21"/>
                <w:highlight w:val="none"/>
              </w:rPr>
            </w:pPr>
            <w:r>
              <w:rPr>
                <w:rFonts w:hint="eastAsia" w:ascii="宋体" w:hAnsi="宋体"/>
                <w:bCs/>
                <w:color w:val="auto"/>
                <w:szCs w:val="21"/>
                <w:highlight w:val="none"/>
              </w:rPr>
              <w:t xml:space="preserve">电    话：020－38931902-856 </w:t>
            </w:r>
            <w:r>
              <w:rPr>
                <w:rFonts w:hint="eastAsia" w:ascii="宋体" w:hAnsi="宋体"/>
                <w:bCs/>
                <w:color w:val="auto"/>
                <w:szCs w:val="21"/>
                <w:highlight w:val="none"/>
              </w:rPr>
              <w:t xml:space="preserve">        </w:t>
            </w:r>
          </w:p>
          <w:p>
            <w:pPr>
              <w:spacing w:beforeLines="10" w:afterLines="10"/>
              <w:rPr>
                <w:rFonts w:ascii="宋体" w:hAnsi="宋体"/>
                <w:bCs/>
                <w:color w:val="auto"/>
                <w:szCs w:val="21"/>
                <w:highlight w:val="none"/>
              </w:rPr>
            </w:pPr>
            <w:r>
              <w:rPr>
                <w:rFonts w:hint="eastAsia" w:ascii="宋体" w:hAnsi="宋体"/>
                <w:bCs/>
                <w:color w:val="auto"/>
                <w:szCs w:val="21"/>
                <w:highlight w:val="none"/>
              </w:rPr>
              <w:t>邮    箱：gztpc02@163.com</w:t>
            </w:r>
          </w:p>
          <w:p>
            <w:pPr>
              <w:spacing w:beforeLines="10" w:afterLines="10"/>
              <w:rPr>
                <w:rFonts w:ascii="宋体" w:hAnsi="宋体"/>
                <w:color w:val="auto"/>
                <w:szCs w:val="21"/>
                <w:highlight w:val="none"/>
              </w:rPr>
            </w:pPr>
            <w:r>
              <w:rPr>
                <w:rFonts w:hint="eastAsia" w:ascii="宋体" w:hAnsi="宋体"/>
                <w:bCs/>
                <w:color w:val="auto"/>
                <w:szCs w:val="21"/>
                <w:highlight w:val="none"/>
              </w:rPr>
              <w:t>传    真：020－37816137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9" w:type="dxa"/>
            <w:tcBorders>
              <w:top w:val="single" w:color="auto" w:sz="4" w:space="0"/>
              <w:left w:val="double" w:color="auto" w:sz="4" w:space="0"/>
              <w:bottom w:val="single" w:color="auto" w:sz="4" w:space="0"/>
              <w:right w:val="single" w:color="auto" w:sz="4" w:space="0"/>
            </w:tcBorders>
            <w:vAlign w:val="center"/>
          </w:tcPr>
          <w:p>
            <w:pPr>
              <w:spacing w:beforeLines="10" w:afterLines="10"/>
              <w:ind w:left="125"/>
              <w:jc w:val="center"/>
              <w:rPr>
                <w:rFonts w:ascii="宋体" w:hAnsi="宋体"/>
                <w:color w:val="auto"/>
                <w:szCs w:val="21"/>
                <w:highlight w:val="none"/>
              </w:rPr>
            </w:pPr>
            <w:r>
              <w:rPr>
                <w:rFonts w:hint="eastAsia" w:ascii="宋体" w:hAnsi="宋体"/>
                <w:color w:val="auto"/>
                <w:szCs w:val="21"/>
                <w:highlight w:val="none"/>
              </w:rPr>
              <w:t>31.1</w:t>
            </w:r>
          </w:p>
        </w:tc>
        <w:tc>
          <w:tcPr>
            <w:tcW w:w="1980" w:type="dxa"/>
            <w:tcBorders>
              <w:top w:val="single" w:color="auto" w:sz="4" w:space="0"/>
              <w:left w:val="single" w:color="auto" w:sz="4" w:space="0"/>
              <w:bottom w:val="single" w:color="auto" w:sz="4" w:space="0"/>
              <w:right w:val="single" w:color="auto" w:sz="4" w:space="0"/>
            </w:tcBorders>
            <w:vAlign w:val="center"/>
          </w:tcPr>
          <w:p>
            <w:pPr>
              <w:spacing w:beforeLines="10" w:afterLines="10"/>
              <w:jc w:val="center"/>
              <w:rPr>
                <w:rFonts w:ascii="宋体" w:hAnsi="宋体"/>
                <w:color w:val="auto"/>
                <w:szCs w:val="21"/>
                <w:highlight w:val="none"/>
              </w:rPr>
            </w:pPr>
            <w:r>
              <w:rPr>
                <w:rFonts w:hint="eastAsia" w:ascii="宋体" w:hAnsi="宋体"/>
                <w:color w:val="auto"/>
                <w:szCs w:val="21"/>
                <w:highlight w:val="none"/>
              </w:rPr>
              <w:t>接收投诉的联系电话和通讯地址</w:t>
            </w:r>
          </w:p>
        </w:tc>
        <w:tc>
          <w:tcPr>
            <w:tcW w:w="6457" w:type="dxa"/>
            <w:tcBorders>
              <w:top w:val="single" w:color="auto" w:sz="4" w:space="0"/>
              <w:left w:val="single" w:color="auto" w:sz="4" w:space="0"/>
              <w:bottom w:val="single" w:color="auto" w:sz="4" w:space="0"/>
              <w:right w:val="double" w:color="auto" w:sz="4" w:space="0"/>
            </w:tcBorders>
            <w:vAlign w:val="center"/>
          </w:tcPr>
          <w:p>
            <w:pPr>
              <w:spacing w:beforeLines="10" w:afterLines="10"/>
              <w:rPr>
                <w:rFonts w:ascii="宋体" w:hAnsi="宋体"/>
                <w:bCs/>
                <w:color w:val="auto"/>
                <w:szCs w:val="21"/>
                <w:highlight w:val="none"/>
              </w:rPr>
            </w:pPr>
            <w:r>
              <w:rPr>
                <w:rFonts w:hint="eastAsia" w:ascii="宋体" w:hAnsi="宋体"/>
                <w:bCs/>
                <w:color w:val="auto"/>
                <w:szCs w:val="21"/>
                <w:highlight w:val="none"/>
              </w:rPr>
              <w:t xml:space="preserve">采购监督管理机构名称：国家财政部国库司政府采购监督裁决处 </w:t>
            </w:r>
          </w:p>
          <w:p>
            <w:pPr>
              <w:spacing w:beforeLines="10" w:afterLines="10"/>
              <w:rPr>
                <w:rFonts w:ascii="宋体" w:hAnsi="宋体"/>
                <w:bCs/>
                <w:color w:val="auto"/>
                <w:szCs w:val="21"/>
                <w:highlight w:val="none"/>
              </w:rPr>
            </w:pPr>
            <w:r>
              <w:rPr>
                <w:rFonts w:hint="eastAsia" w:ascii="宋体" w:hAnsi="宋体"/>
                <w:bCs/>
                <w:color w:val="auto"/>
                <w:szCs w:val="21"/>
                <w:highlight w:val="none"/>
              </w:rPr>
              <w:t>地 址：北京市</w:t>
            </w:r>
            <w:r>
              <w:rPr>
                <w:rFonts w:ascii="宋体" w:hAnsi="宋体"/>
                <w:bCs/>
                <w:color w:val="auto"/>
                <w:szCs w:val="21"/>
                <w:highlight w:val="none"/>
              </w:rPr>
              <w:t>西城区月坛北小街13号中船宾馆北楼四层8401室、8403室</w:t>
            </w:r>
          </w:p>
          <w:p>
            <w:pPr>
              <w:spacing w:beforeLines="10" w:afterLines="10"/>
              <w:rPr>
                <w:rFonts w:ascii="宋体" w:hAnsi="宋体"/>
                <w:bCs/>
                <w:color w:val="auto"/>
                <w:szCs w:val="21"/>
                <w:highlight w:val="none"/>
              </w:rPr>
            </w:pPr>
            <w:r>
              <w:rPr>
                <w:rFonts w:hint="eastAsia" w:ascii="宋体" w:hAnsi="宋体"/>
                <w:bCs/>
                <w:color w:val="auto"/>
                <w:szCs w:val="21"/>
                <w:highlight w:val="none"/>
              </w:rPr>
              <w:t>电  话：010-68513070，68519967</w:t>
            </w:r>
          </w:p>
        </w:tc>
      </w:tr>
    </w:tbl>
    <w:p>
      <w:pPr>
        <w:pStyle w:val="32"/>
        <w:adjustRightInd w:val="0"/>
        <w:snapToGrid w:val="0"/>
        <w:spacing w:line="300" w:lineRule="auto"/>
        <w:rPr>
          <w:rFonts w:hAnsi="宋体" w:cs="Times New Roman"/>
          <w:b/>
          <w:color w:val="auto"/>
          <w:highlight w:val="none"/>
        </w:rPr>
      </w:pPr>
    </w:p>
    <w:p>
      <w:pPr>
        <w:pStyle w:val="32"/>
        <w:adjustRightInd w:val="0"/>
        <w:spacing w:line="360" w:lineRule="auto"/>
        <w:outlineLvl w:val="1"/>
        <w:rPr>
          <w:rFonts w:hAnsi="宋体" w:cs="Times New Roman"/>
          <w:b/>
          <w:color w:val="auto"/>
          <w:highlight w:val="none"/>
        </w:rPr>
      </w:pPr>
      <w:r>
        <w:rPr>
          <w:rFonts w:hint="eastAsia" w:hAnsi="宋体" w:cs="Times New Roman"/>
          <w:b/>
          <w:color w:val="auto"/>
          <w:highlight w:val="none"/>
        </w:rPr>
        <w:br w:type="page"/>
      </w:r>
      <w:bookmarkStart w:id="25" w:name="_Toc30897"/>
      <w:r>
        <w:rPr>
          <w:rFonts w:hint="eastAsia" w:hAnsi="宋体" w:cs="Times New Roman"/>
          <w:b/>
          <w:color w:val="auto"/>
          <w:highlight w:val="none"/>
        </w:rPr>
        <w:t>一、说  明</w:t>
      </w:r>
      <w:bookmarkEnd w:id="25"/>
    </w:p>
    <w:p>
      <w:pPr>
        <w:pStyle w:val="32"/>
        <w:adjustRightInd w:val="0"/>
        <w:spacing w:line="360" w:lineRule="auto"/>
        <w:rPr>
          <w:rFonts w:hAnsi="宋体" w:cs="Times New Roman"/>
          <w:color w:val="auto"/>
          <w:highlight w:val="none"/>
        </w:rPr>
      </w:pPr>
      <w:r>
        <w:rPr>
          <w:rFonts w:hint="eastAsia" w:hAnsi="宋体" w:cs="Times New Roman"/>
          <w:color w:val="auto"/>
          <w:highlight w:val="none"/>
        </w:rPr>
        <w:t>1．适用范围</w:t>
      </w:r>
    </w:p>
    <w:p>
      <w:pPr>
        <w:pStyle w:val="32"/>
        <w:adjustRightInd w:val="0"/>
        <w:spacing w:line="360" w:lineRule="auto"/>
        <w:rPr>
          <w:rFonts w:hAnsi="宋体" w:cs="Times New Roman"/>
          <w:color w:val="auto"/>
          <w:highlight w:val="none"/>
        </w:rPr>
      </w:pPr>
      <w:r>
        <w:rPr>
          <w:rFonts w:hint="eastAsia" w:hAnsi="宋体" w:cs="Times New Roman"/>
          <w:color w:val="auto"/>
          <w:highlight w:val="none"/>
        </w:rPr>
        <w:t>1.1 本招标文件适用于本招标公告中所述项目的政府采购。</w:t>
      </w:r>
    </w:p>
    <w:p>
      <w:pPr>
        <w:pStyle w:val="32"/>
        <w:adjustRightInd w:val="0"/>
        <w:spacing w:line="360" w:lineRule="auto"/>
        <w:rPr>
          <w:rFonts w:hAnsi="宋体" w:cs="Times New Roman"/>
          <w:color w:val="auto"/>
          <w:highlight w:val="none"/>
        </w:rPr>
      </w:pPr>
      <w:r>
        <w:rPr>
          <w:rFonts w:hint="eastAsia" w:hAnsi="宋体" w:cs="Times New Roman"/>
          <w:color w:val="auto"/>
          <w:highlight w:val="none"/>
        </w:rPr>
        <w:t>2. 定义</w:t>
      </w:r>
    </w:p>
    <w:p>
      <w:pPr>
        <w:pStyle w:val="32"/>
        <w:adjustRightInd w:val="0"/>
        <w:spacing w:line="360" w:lineRule="auto"/>
        <w:rPr>
          <w:rFonts w:hAnsi="宋体" w:cs="Times New Roman"/>
          <w:color w:val="auto"/>
          <w:highlight w:val="none"/>
        </w:rPr>
      </w:pPr>
      <w:r>
        <w:rPr>
          <w:rFonts w:hint="eastAsia" w:hAnsi="宋体" w:cs="Times New Roman"/>
          <w:color w:val="auto"/>
          <w:highlight w:val="none"/>
        </w:rPr>
        <w:t>2.1 “采购人”是指：</w:t>
      </w:r>
      <w:r>
        <w:rPr>
          <w:rFonts w:hint="eastAsia" w:hAnsi="宋体"/>
          <w:color w:val="auto"/>
          <w:highlight w:val="none"/>
        </w:rPr>
        <w:t>国家税务总局罗定市税务局。</w:t>
      </w:r>
    </w:p>
    <w:p>
      <w:pPr>
        <w:pStyle w:val="32"/>
        <w:adjustRightInd w:val="0"/>
        <w:spacing w:line="360" w:lineRule="auto"/>
        <w:rPr>
          <w:rFonts w:hAnsi="宋体" w:cs="Times New Roman"/>
          <w:i/>
          <w:color w:val="auto"/>
          <w:highlight w:val="none"/>
        </w:rPr>
      </w:pPr>
      <w:r>
        <w:rPr>
          <w:rFonts w:hint="eastAsia" w:hAnsi="宋体" w:cs="Times New Roman"/>
          <w:color w:val="auto"/>
          <w:highlight w:val="none"/>
        </w:rPr>
        <w:t>2.2 “监管部门”是指：同级政府采购监管部门。</w:t>
      </w:r>
    </w:p>
    <w:p>
      <w:pPr>
        <w:autoSpaceDE w:val="0"/>
        <w:autoSpaceDN w:val="0"/>
        <w:adjustRightInd w:val="0"/>
        <w:spacing w:line="360" w:lineRule="auto"/>
        <w:ind w:left="473" w:right="32" w:hanging="472" w:hangingChars="225"/>
        <w:rPr>
          <w:rFonts w:ascii="宋体" w:hAnsi="宋体"/>
          <w:color w:val="auto"/>
          <w:kern w:val="0"/>
          <w:szCs w:val="21"/>
          <w:highlight w:val="none"/>
        </w:rPr>
      </w:pPr>
      <w:r>
        <w:rPr>
          <w:rFonts w:hint="eastAsia" w:ascii="宋体" w:hAnsi="宋体"/>
          <w:color w:val="auto"/>
          <w:kern w:val="0"/>
          <w:szCs w:val="21"/>
          <w:highlight w:val="none"/>
        </w:rPr>
        <w:t>2.3 “采购代理机构”是指：广东广招招标采购有限公司。</w:t>
      </w:r>
    </w:p>
    <w:p>
      <w:pPr>
        <w:autoSpaceDE w:val="0"/>
        <w:autoSpaceDN w:val="0"/>
        <w:adjustRightInd w:val="0"/>
        <w:spacing w:line="360" w:lineRule="auto"/>
        <w:ind w:left="473" w:right="32" w:hanging="472" w:hangingChars="225"/>
        <w:rPr>
          <w:rFonts w:ascii="宋体" w:hAnsi="宋体"/>
          <w:color w:val="auto"/>
          <w:kern w:val="0"/>
          <w:szCs w:val="21"/>
          <w:highlight w:val="none"/>
        </w:rPr>
      </w:pPr>
      <w:r>
        <w:rPr>
          <w:rFonts w:hint="eastAsia" w:ascii="宋体" w:hAnsi="宋体"/>
          <w:color w:val="auto"/>
          <w:kern w:val="0"/>
          <w:szCs w:val="21"/>
          <w:highlight w:val="none"/>
        </w:rPr>
        <w:t>2.4 合格的投标人：符合招标文件规定的供应商资格要求。详见</w:t>
      </w:r>
      <w:r>
        <w:rPr>
          <w:rFonts w:hint="eastAsia" w:ascii="宋体" w:hAnsi="宋体"/>
          <w:color w:val="auto"/>
          <w:szCs w:val="21"/>
          <w:highlight w:val="none"/>
          <w:lang w:val="zh-CN"/>
        </w:rPr>
        <w:t>《第一部分 招标公告》</w:t>
      </w:r>
      <w:r>
        <w:rPr>
          <w:rFonts w:hint="eastAsia" w:ascii="宋体" w:hAnsi="宋体"/>
          <w:color w:val="auto"/>
          <w:kern w:val="0"/>
          <w:szCs w:val="21"/>
          <w:highlight w:val="none"/>
        </w:rPr>
        <w:t>。</w:t>
      </w:r>
    </w:p>
    <w:p>
      <w:pPr>
        <w:autoSpaceDE w:val="0"/>
        <w:autoSpaceDN w:val="0"/>
        <w:adjustRightInd w:val="0"/>
        <w:spacing w:line="360" w:lineRule="auto"/>
        <w:ind w:left="473" w:right="32" w:hanging="472" w:hangingChars="225"/>
        <w:rPr>
          <w:rFonts w:ascii="宋体" w:hAnsi="宋体"/>
          <w:color w:val="auto"/>
          <w:kern w:val="0"/>
          <w:szCs w:val="21"/>
          <w:highlight w:val="none"/>
        </w:rPr>
      </w:pPr>
      <w:r>
        <w:rPr>
          <w:rFonts w:hint="eastAsia" w:ascii="宋体" w:hAnsi="宋体"/>
          <w:color w:val="auto"/>
          <w:kern w:val="0"/>
          <w:szCs w:val="21"/>
          <w:highlight w:val="none"/>
        </w:rPr>
        <w:t>2.5 “中标人”是指经法定程序确定并授予合同的投标人。</w:t>
      </w:r>
    </w:p>
    <w:p>
      <w:pPr>
        <w:autoSpaceDE w:val="0"/>
        <w:autoSpaceDN w:val="0"/>
        <w:adjustRightInd w:val="0"/>
        <w:spacing w:line="360" w:lineRule="auto"/>
        <w:ind w:left="473" w:right="32" w:hanging="472" w:hangingChars="225"/>
        <w:rPr>
          <w:rFonts w:ascii="宋体" w:hAnsi="宋体"/>
          <w:color w:val="auto"/>
          <w:kern w:val="0"/>
          <w:szCs w:val="21"/>
          <w:highlight w:val="none"/>
        </w:rPr>
      </w:pPr>
      <w:r>
        <w:rPr>
          <w:rFonts w:hint="eastAsia" w:ascii="宋体" w:hAnsi="宋体"/>
          <w:color w:val="auto"/>
          <w:kern w:val="0"/>
          <w:szCs w:val="21"/>
          <w:highlight w:val="none"/>
        </w:rPr>
        <w:t>2.6 “采购合同”：是指由采购人和中标人签订的规定双方权利和义务的协议。</w:t>
      </w:r>
    </w:p>
    <w:p>
      <w:pPr>
        <w:autoSpaceDE w:val="0"/>
        <w:autoSpaceDN w:val="0"/>
        <w:adjustRightInd w:val="0"/>
        <w:spacing w:line="360" w:lineRule="auto"/>
        <w:ind w:left="473" w:right="32" w:hanging="472" w:hangingChars="225"/>
        <w:rPr>
          <w:rFonts w:ascii="宋体" w:hAnsi="宋体"/>
          <w:color w:val="auto"/>
          <w:kern w:val="0"/>
          <w:szCs w:val="21"/>
          <w:highlight w:val="none"/>
        </w:rPr>
      </w:pPr>
      <w:r>
        <w:rPr>
          <w:rFonts w:hint="eastAsia" w:ascii="宋体" w:hAnsi="宋体"/>
          <w:color w:val="auto"/>
          <w:kern w:val="0"/>
          <w:szCs w:val="21"/>
          <w:highlight w:val="none"/>
        </w:rPr>
        <w:t>2.7 “日”、“天”系指公历日。</w:t>
      </w:r>
    </w:p>
    <w:p>
      <w:pPr>
        <w:pStyle w:val="32"/>
        <w:adjustRightInd w:val="0"/>
        <w:spacing w:line="360" w:lineRule="auto"/>
        <w:rPr>
          <w:rFonts w:hAnsi="宋体" w:cs="Times New Roman"/>
          <w:color w:val="auto"/>
          <w:highlight w:val="none"/>
        </w:rPr>
      </w:pPr>
      <w:r>
        <w:rPr>
          <w:rFonts w:hint="eastAsia" w:hAnsi="宋体" w:cs="Times New Roman"/>
          <w:color w:val="auto"/>
          <w:highlight w:val="none"/>
        </w:rPr>
        <w:t>3. 合格的货物和服务</w:t>
      </w:r>
    </w:p>
    <w:p>
      <w:pPr>
        <w:adjustRightInd w:val="0"/>
        <w:spacing w:line="360" w:lineRule="auto"/>
        <w:ind w:left="420" w:hanging="420" w:hangingChars="200"/>
        <w:rPr>
          <w:rFonts w:ascii="宋体" w:hAnsi="宋体"/>
          <w:snapToGrid w:val="0"/>
          <w:color w:val="auto"/>
          <w:kern w:val="0"/>
          <w:szCs w:val="21"/>
          <w:highlight w:val="none"/>
        </w:rPr>
      </w:pPr>
      <w:r>
        <w:rPr>
          <w:rFonts w:hint="eastAsia" w:ascii="宋体" w:hAnsi="宋体"/>
          <w:color w:val="auto"/>
          <w:szCs w:val="21"/>
          <w:highlight w:val="none"/>
        </w:rPr>
        <w:t>3.1 “货物”是指投标人制造或组织符合招标文件要求的货物等。招标文件中没有提及招标货物来源地的，根据《中华人民共和国政府采购法》的相关规定均应是本国货物，优先采购节能、环保产品。</w:t>
      </w:r>
      <w:r>
        <w:rPr>
          <w:rFonts w:hint="eastAsia" w:ascii="宋体" w:hAnsi="宋体"/>
          <w:snapToGrid w:val="0"/>
          <w:color w:val="auto"/>
          <w:kern w:val="0"/>
          <w:szCs w:val="21"/>
          <w:highlight w:val="none"/>
        </w:rPr>
        <w:t>投标的货物必须是其合法生产的符合国家有关标准要求的货物，并满足招标文件规定的规格、参数、质量、价格、有效期、售后服务等要求。</w:t>
      </w:r>
    </w:p>
    <w:p>
      <w:pPr>
        <w:adjustRightInd w:val="0"/>
        <w:spacing w:line="360" w:lineRule="auto"/>
        <w:ind w:left="420" w:hanging="420" w:hangingChars="200"/>
        <w:rPr>
          <w:rFonts w:ascii="宋体" w:hAnsi="宋体"/>
          <w:color w:val="auto"/>
          <w:szCs w:val="21"/>
          <w:highlight w:val="none"/>
        </w:rPr>
      </w:pPr>
      <w:r>
        <w:rPr>
          <w:rFonts w:hint="eastAsia" w:ascii="宋体" w:hAnsi="宋体"/>
          <w:color w:val="auto"/>
          <w:szCs w:val="21"/>
          <w:highlight w:val="none"/>
        </w:rPr>
        <w:t>3.2 “服务”是指除货物和工程以外的其他政府采购对象,其中包括：投标人须承担的运输、安装、技术支持、培训以及招标文件规定的其它服务。</w:t>
      </w:r>
    </w:p>
    <w:p>
      <w:pPr>
        <w:pStyle w:val="32"/>
        <w:adjustRightInd w:val="0"/>
        <w:spacing w:line="360" w:lineRule="auto"/>
        <w:rPr>
          <w:rFonts w:hAnsi="宋体" w:cs="Times New Roman"/>
          <w:color w:val="auto"/>
          <w:highlight w:val="none"/>
        </w:rPr>
      </w:pPr>
      <w:r>
        <w:rPr>
          <w:rFonts w:hint="eastAsia" w:hAnsi="宋体" w:cs="Times New Roman"/>
          <w:color w:val="auto"/>
          <w:highlight w:val="none"/>
        </w:rPr>
        <w:t>4. 投标费用</w:t>
      </w:r>
    </w:p>
    <w:p>
      <w:pPr>
        <w:pStyle w:val="32"/>
        <w:adjustRightInd w:val="0"/>
        <w:spacing w:line="360" w:lineRule="auto"/>
        <w:ind w:left="420" w:hanging="420"/>
        <w:rPr>
          <w:rFonts w:hAnsi="宋体" w:cs="Times New Roman"/>
          <w:color w:val="auto"/>
          <w:highlight w:val="none"/>
        </w:rPr>
      </w:pPr>
      <w:r>
        <w:rPr>
          <w:rFonts w:hint="eastAsia" w:hAnsi="宋体" w:cs="Times New Roman"/>
          <w:color w:val="auto"/>
          <w:highlight w:val="none"/>
        </w:rPr>
        <w:t>4.1 投标人应承担所有与准备和参加投标有关的费用。不论投标的结果如何，</w:t>
      </w:r>
      <w:r>
        <w:rPr>
          <w:rFonts w:hint="eastAsia" w:hAnsi="宋体"/>
          <w:color w:val="auto"/>
          <w:kern w:val="0"/>
          <w:highlight w:val="none"/>
        </w:rPr>
        <w:t>采购代理机构</w:t>
      </w:r>
      <w:r>
        <w:rPr>
          <w:rFonts w:hint="eastAsia" w:hAnsi="宋体" w:cs="Times New Roman"/>
          <w:color w:val="auto"/>
          <w:highlight w:val="none"/>
        </w:rPr>
        <w:t>和采购人均无义务和责任承担这些费用。</w:t>
      </w:r>
    </w:p>
    <w:p>
      <w:pPr>
        <w:pStyle w:val="32"/>
        <w:adjustRightInd w:val="0"/>
        <w:spacing w:line="360" w:lineRule="auto"/>
        <w:ind w:left="420" w:hanging="420"/>
        <w:rPr>
          <w:rFonts w:hAnsi="宋体" w:cs="Times New Roman"/>
          <w:color w:val="auto"/>
          <w:highlight w:val="none"/>
        </w:rPr>
      </w:pPr>
    </w:p>
    <w:p>
      <w:pPr>
        <w:pStyle w:val="32"/>
        <w:adjustRightInd w:val="0"/>
        <w:spacing w:line="360" w:lineRule="auto"/>
        <w:outlineLvl w:val="1"/>
        <w:rPr>
          <w:rFonts w:hAnsi="宋体" w:cs="Times New Roman"/>
          <w:b/>
          <w:color w:val="auto"/>
          <w:highlight w:val="none"/>
        </w:rPr>
      </w:pPr>
      <w:bookmarkStart w:id="26" w:name="_Toc3613"/>
      <w:r>
        <w:rPr>
          <w:rFonts w:hint="eastAsia" w:hAnsi="宋体" w:cs="Times New Roman"/>
          <w:b/>
          <w:color w:val="auto"/>
          <w:highlight w:val="none"/>
        </w:rPr>
        <w:t>二、招标文件</w:t>
      </w:r>
      <w:bookmarkEnd w:id="26"/>
    </w:p>
    <w:p>
      <w:pPr>
        <w:pStyle w:val="32"/>
        <w:adjustRightInd w:val="0"/>
        <w:spacing w:line="360" w:lineRule="auto"/>
        <w:ind w:left="420" w:hanging="420"/>
        <w:rPr>
          <w:rFonts w:hAnsi="宋体" w:cs="Times New Roman"/>
          <w:color w:val="auto"/>
          <w:highlight w:val="none"/>
        </w:rPr>
      </w:pPr>
      <w:r>
        <w:rPr>
          <w:rFonts w:hint="eastAsia" w:hAnsi="宋体" w:cs="Times New Roman"/>
          <w:color w:val="auto"/>
          <w:highlight w:val="none"/>
        </w:rPr>
        <w:t>5. 招标文件的构成</w:t>
      </w:r>
    </w:p>
    <w:p>
      <w:pPr>
        <w:pStyle w:val="32"/>
        <w:adjustRightInd w:val="0"/>
        <w:spacing w:line="360" w:lineRule="auto"/>
        <w:ind w:left="420" w:hanging="420"/>
        <w:rPr>
          <w:rFonts w:hAnsi="宋体" w:cs="Times New Roman"/>
          <w:color w:val="auto"/>
          <w:highlight w:val="none"/>
        </w:rPr>
      </w:pPr>
      <w:r>
        <w:rPr>
          <w:rFonts w:hint="eastAsia" w:hAnsi="宋体" w:cs="Times New Roman"/>
          <w:color w:val="auto"/>
          <w:highlight w:val="none"/>
        </w:rPr>
        <w:t>5.1 招标文件由下列文件以及在招标过程中发出的修正和补充文件组成：</w:t>
      </w:r>
    </w:p>
    <w:p>
      <w:pPr>
        <w:autoSpaceDE w:val="0"/>
        <w:autoSpaceDN w:val="0"/>
        <w:adjustRightInd w:val="0"/>
        <w:spacing w:line="360" w:lineRule="auto"/>
        <w:ind w:left="831" w:leftChars="171" w:right="31" w:rightChars="15" w:hanging="472" w:hangingChars="225"/>
        <w:rPr>
          <w:rFonts w:ascii="宋体" w:hAnsi="宋体"/>
          <w:color w:val="auto"/>
          <w:kern w:val="0"/>
          <w:szCs w:val="21"/>
          <w:highlight w:val="none"/>
        </w:rPr>
      </w:pPr>
      <w:r>
        <w:rPr>
          <w:rFonts w:hint="eastAsia" w:ascii="宋体" w:hAnsi="宋体"/>
          <w:color w:val="auto"/>
          <w:kern w:val="0"/>
          <w:szCs w:val="21"/>
          <w:highlight w:val="none"/>
        </w:rPr>
        <w:t>（1）招标公告</w:t>
      </w:r>
    </w:p>
    <w:p>
      <w:pPr>
        <w:autoSpaceDE w:val="0"/>
        <w:autoSpaceDN w:val="0"/>
        <w:adjustRightInd w:val="0"/>
        <w:spacing w:line="360" w:lineRule="auto"/>
        <w:ind w:left="831" w:leftChars="171" w:right="31" w:rightChars="15" w:hanging="472" w:hangingChars="225"/>
        <w:rPr>
          <w:rFonts w:ascii="宋体" w:hAnsi="宋体"/>
          <w:color w:val="auto"/>
          <w:kern w:val="0"/>
          <w:szCs w:val="21"/>
          <w:highlight w:val="none"/>
        </w:rPr>
      </w:pPr>
      <w:r>
        <w:rPr>
          <w:rFonts w:hint="eastAsia" w:ascii="宋体" w:hAnsi="宋体"/>
          <w:color w:val="auto"/>
          <w:kern w:val="0"/>
          <w:szCs w:val="21"/>
          <w:highlight w:val="none"/>
        </w:rPr>
        <w:t>（2）采购需求书</w:t>
      </w:r>
    </w:p>
    <w:p>
      <w:pPr>
        <w:autoSpaceDE w:val="0"/>
        <w:autoSpaceDN w:val="0"/>
        <w:adjustRightInd w:val="0"/>
        <w:spacing w:line="360" w:lineRule="auto"/>
        <w:ind w:left="831" w:leftChars="171" w:right="31" w:rightChars="15" w:hanging="472" w:hangingChars="225"/>
        <w:rPr>
          <w:rFonts w:ascii="宋体" w:hAnsi="宋体"/>
          <w:color w:val="auto"/>
          <w:kern w:val="0"/>
          <w:szCs w:val="21"/>
          <w:highlight w:val="none"/>
        </w:rPr>
      </w:pPr>
      <w:r>
        <w:rPr>
          <w:rFonts w:hint="eastAsia" w:ascii="宋体" w:hAnsi="宋体"/>
          <w:color w:val="auto"/>
          <w:kern w:val="0"/>
          <w:szCs w:val="21"/>
          <w:highlight w:val="none"/>
        </w:rPr>
        <w:t>（3）投标人须知</w:t>
      </w:r>
    </w:p>
    <w:p>
      <w:pPr>
        <w:autoSpaceDE w:val="0"/>
        <w:autoSpaceDN w:val="0"/>
        <w:adjustRightInd w:val="0"/>
        <w:spacing w:line="360" w:lineRule="auto"/>
        <w:ind w:left="831" w:leftChars="171" w:right="31" w:rightChars="15" w:hanging="472" w:hangingChars="225"/>
        <w:rPr>
          <w:rFonts w:ascii="宋体" w:hAnsi="宋体"/>
          <w:color w:val="auto"/>
          <w:kern w:val="0"/>
          <w:szCs w:val="21"/>
          <w:highlight w:val="none"/>
        </w:rPr>
      </w:pPr>
      <w:r>
        <w:rPr>
          <w:rFonts w:hint="eastAsia" w:ascii="宋体" w:hAnsi="宋体"/>
          <w:color w:val="auto"/>
          <w:kern w:val="0"/>
          <w:szCs w:val="21"/>
          <w:highlight w:val="none"/>
        </w:rPr>
        <w:t>（4）评标原则和方法</w:t>
      </w:r>
    </w:p>
    <w:p>
      <w:pPr>
        <w:autoSpaceDE w:val="0"/>
        <w:autoSpaceDN w:val="0"/>
        <w:adjustRightInd w:val="0"/>
        <w:spacing w:line="360" w:lineRule="auto"/>
        <w:ind w:left="831" w:leftChars="171" w:right="31" w:rightChars="15" w:hanging="472" w:hangingChars="225"/>
        <w:rPr>
          <w:rFonts w:ascii="宋体" w:hAnsi="宋体"/>
          <w:color w:val="auto"/>
          <w:kern w:val="0"/>
          <w:szCs w:val="21"/>
          <w:highlight w:val="none"/>
        </w:rPr>
      </w:pPr>
      <w:r>
        <w:rPr>
          <w:rFonts w:hint="eastAsia" w:ascii="宋体" w:hAnsi="宋体"/>
          <w:color w:val="auto"/>
          <w:kern w:val="0"/>
          <w:szCs w:val="21"/>
          <w:highlight w:val="none"/>
        </w:rPr>
        <w:t>（5）合同书格式</w:t>
      </w:r>
    </w:p>
    <w:p>
      <w:pPr>
        <w:autoSpaceDE w:val="0"/>
        <w:autoSpaceDN w:val="0"/>
        <w:adjustRightInd w:val="0"/>
        <w:spacing w:line="360" w:lineRule="auto"/>
        <w:ind w:left="831" w:leftChars="171" w:right="31" w:rightChars="15" w:hanging="472" w:hangingChars="225"/>
        <w:rPr>
          <w:rFonts w:ascii="宋体" w:hAnsi="宋体"/>
          <w:color w:val="auto"/>
          <w:kern w:val="0"/>
          <w:szCs w:val="21"/>
          <w:highlight w:val="none"/>
        </w:rPr>
      </w:pPr>
      <w:r>
        <w:rPr>
          <w:rFonts w:hint="eastAsia" w:ascii="宋体" w:hAnsi="宋体"/>
          <w:color w:val="auto"/>
          <w:kern w:val="0"/>
          <w:szCs w:val="21"/>
          <w:highlight w:val="none"/>
        </w:rPr>
        <w:t xml:space="preserve">（6）投标文件格式 </w:t>
      </w:r>
    </w:p>
    <w:p>
      <w:pPr>
        <w:autoSpaceDE w:val="0"/>
        <w:autoSpaceDN w:val="0"/>
        <w:adjustRightInd w:val="0"/>
        <w:spacing w:line="360" w:lineRule="auto"/>
        <w:ind w:left="831" w:leftChars="171" w:right="31" w:rightChars="15" w:hanging="472" w:hangingChars="225"/>
        <w:rPr>
          <w:rFonts w:ascii="宋体" w:hAnsi="宋体"/>
          <w:color w:val="auto"/>
          <w:kern w:val="0"/>
          <w:szCs w:val="21"/>
          <w:highlight w:val="none"/>
        </w:rPr>
      </w:pPr>
      <w:r>
        <w:rPr>
          <w:rFonts w:hint="eastAsia" w:ascii="宋体" w:hAnsi="宋体"/>
          <w:color w:val="auto"/>
          <w:kern w:val="0"/>
          <w:szCs w:val="21"/>
          <w:highlight w:val="none"/>
        </w:rPr>
        <w:t>（7）其他：详见《投标须知前附表》</w:t>
      </w:r>
    </w:p>
    <w:p>
      <w:pPr>
        <w:autoSpaceDE w:val="0"/>
        <w:autoSpaceDN w:val="0"/>
        <w:adjustRightInd w:val="0"/>
        <w:spacing w:line="360" w:lineRule="auto"/>
        <w:ind w:left="831" w:leftChars="171" w:right="31" w:rightChars="15" w:hanging="472" w:hangingChars="225"/>
        <w:rPr>
          <w:rFonts w:ascii="宋体" w:hAnsi="宋体"/>
          <w:color w:val="auto"/>
          <w:kern w:val="0"/>
          <w:szCs w:val="21"/>
          <w:highlight w:val="none"/>
        </w:rPr>
      </w:pPr>
      <w:r>
        <w:rPr>
          <w:rFonts w:hint="eastAsia" w:ascii="宋体" w:hAnsi="宋体"/>
          <w:color w:val="auto"/>
          <w:kern w:val="0"/>
          <w:szCs w:val="21"/>
          <w:highlight w:val="none"/>
        </w:rPr>
        <w:t>（8）在采购过程中由采购代理机构发出的修正和补充文件等；</w:t>
      </w:r>
    </w:p>
    <w:p>
      <w:pPr>
        <w:pStyle w:val="32"/>
        <w:adjustRightInd w:val="0"/>
        <w:spacing w:line="360" w:lineRule="auto"/>
        <w:rPr>
          <w:rFonts w:hAnsi="宋体"/>
          <w:color w:val="auto"/>
          <w:kern w:val="0"/>
          <w:highlight w:val="none"/>
        </w:rPr>
      </w:pPr>
      <w:r>
        <w:rPr>
          <w:rFonts w:hint="eastAsia" w:hAnsi="宋体"/>
          <w:color w:val="auto"/>
          <w:kern w:val="0"/>
          <w:highlight w:val="none"/>
        </w:rPr>
        <w:t>6. 踏勘现场</w:t>
      </w:r>
    </w:p>
    <w:p>
      <w:pPr>
        <w:pStyle w:val="32"/>
        <w:adjustRightInd w:val="0"/>
        <w:spacing w:line="360" w:lineRule="auto"/>
        <w:ind w:left="360" w:hanging="360"/>
        <w:rPr>
          <w:rFonts w:hAnsi="宋体"/>
          <w:color w:val="auto"/>
          <w:kern w:val="0"/>
          <w:highlight w:val="none"/>
        </w:rPr>
      </w:pPr>
      <w:r>
        <w:rPr>
          <w:rFonts w:hint="eastAsia" w:hAnsi="宋体"/>
          <w:color w:val="auto"/>
          <w:kern w:val="0"/>
          <w:highlight w:val="none"/>
        </w:rPr>
        <w:t>6.1 投标人应按本《投标须知前附表》所述时间和要求对现场及周围环境进行踏勘，投标人应充分重视和仔细地进行这种考察，以便获取那些须投标人自己负责的有关编制投标文件和签署合同所涉及现场所有的资料。</w:t>
      </w:r>
    </w:p>
    <w:p>
      <w:pPr>
        <w:pStyle w:val="32"/>
        <w:adjustRightInd w:val="0"/>
        <w:spacing w:line="360" w:lineRule="auto"/>
        <w:rPr>
          <w:rFonts w:hAnsi="宋体" w:cs="Times New Roman"/>
          <w:color w:val="auto"/>
          <w:highlight w:val="none"/>
        </w:rPr>
      </w:pPr>
      <w:r>
        <w:rPr>
          <w:rFonts w:hint="eastAsia" w:hAnsi="宋体" w:cs="Times New Roman"/>
          <w:color w:val="auto"/>
          <w:highlight w:val="none"/>
        </w:rPr>
        <w:t>7. 招标文件的澄清</w:t>
      </w:r>
      <w:r>
        <w:rPr>
          <w:rFonts w:hint="eastAsia" w:hAnsi="宋体"/>
          <w:color w:val="auto"/>
          <w:highlight w:val="none"/>
        </w:rPr>
        <w:t>或修改</w:t>
      </w:r>
    </w:p>
    <w:p>
      <w:pPr>
        <w:tabs>
          <w:tab w:val="left" w:pos="425"/>
        </w:tabs>
        <w:autoSpaceDE w:val="0"/>
        <w:autoSpaceDN w:val="0"/>
        <w:adjustRightIn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rPr>
        <w:t xml:space="preserve">7.1 </w:t>
      </w:r>
      <w:r>
        <w:rPr>
          <w:rFonts w:hint="eastAsia" w:ascii="宋体" w:hAnsi="宋体" w:cs="宋体"/>
          <w:color w:val="auto"/>
          <w:szCs w:val="21"/>
          <w:highlight w:val="none"/>
          <w:lang w:eastAsia="zh-TW"/>
        </w:rPr>
        <w:t>采购人或者采购代理机构可以对已发出的招标文件进行必要的澄清或者修改。澄清或者修改应当</w:t>
      </w:r>
      <w:r>
        <w:rPr>
          <w:rFonts w:hint="eastAsia" w:ascii="宋体" w:hAnsi="宋体" w:cs="宋体"/>
          <w:color w:val="auto"/>
          <w:szCs w:val="21"/>
          <w:highlight w:val="none"/>
        </w:rPr>
        <w:tab/>
      </w:r>
      <w:r>
        <w:rPr>
          <w:rFonts w:hint="eastAsia" w:ascii="宋体" w:hAnsi="宋体" w:cs="宋体"/>
          <w:color w:val="auto"/>
          <w:szCs w:val="21"/>
          <w:highlight w:val="none"/>
          <w:lang w:eastAsia="zh-TW"/>
        </w:rPr>
        <w:t>在原公告发布媒体上发布澄清</w:t>
      </w:r>
      <w:r>
        <w:rPr>
          <w:rFonts w:hint="eastAsia" w:ascii="宋体" w:hAnsi="宋体"/>
          <w:color w:val="auto"/>
          <w:szCs w:val="21"/>
          <w:highlight w:val="none"/>
        </w:rPr>
        <w:t>（更正/变更）</w:t>
      </w:r>
      <w:r>
        <w:rPr>
          <w:rFonts w:hint="eastAsia" w:ascii="宋体" w:hAnsi="宋体" w:cs="宋体"/>
          <w:color w:val="auto"/>
          <w:szCs w:val="21"/>
          <w:highlight w:val="none"/>
          <w:lang w:eastAsia="zh-TW"/>
        </w:rPr>
        <w:t>公告。</w:t>
      </w:r>
    </w:p>
    <w:p>
      <w:pPr>
        <w:tabs>
          <w:tab w:val="left" w:pos="425"/>
        </w:tabs>
        <w:autoSpaceDE w:val="0"/>
        <w:autoSpaceDN w:val="0"/>
        <w:adjustRightIn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rPr>
        <w:t xml:space="preserve">7.2 </w:t>
      </w:r>
      <w:r>
        <w:rPr>
          <w:rFonts w:hint="eastAsia" w:ascii="宋体" w:hAnsi="宋体" w:cs="宋体"/>
          <w:color w:val="auto"/>
          <w:szCs w:val="21"/>
          <w:highlight w:val="none"/>
          <w:lang w:eastAsia="zh-TW"/>
        </w:rPr>
        <w:t>澄清或者修改的内容可能影响投标文件编制的，采购人或者采购代理机构应当在投标截止时间至</w:t>
      </w:r>
      <w:r>
        <w:rPr>
          <w:rFonts w:hint="eastAsia" w:ascii="宋体" w:hAnsi="宋体" w:cs="宋体"/>
          <w:color w:val="auto"/>
          <w:szCs w:val="21"/>
          <w:highlight w:val="none"/>
        </w:rPr>
        <w:tab/>
      </w:r>
      <w:r>
        <w:rPr>
          <w:rFonts w:hint="eastAsia" w:ascii="宋体" w:hAnsi="宋体" w:cs="宋体"/>
          <w:color w:val="auto"/>
          <w:szCs w:val="21"/>
          <w:highlight w:val="none"/>
          <w:lang w:eastAsia="zh-TW"/>
        </w:rPr>
        <w:t>少15日前，以书面形式通知所有获取招标文件的潜在投标人；不足15日的，采购人或者采购代理</w:t>
      </w:r>
      <w:r>
        <w:rPr>
          <w:rFonts w:hint="eastAsia" w:ascii="宋体" w:hAnsi="宋体" w:cs="宋体"/>
          <w:color w:val="auto"/>
          <w:szCs w:val="21"/>
          <w:highlight w:val="none"/>
        </w:rPr>
        <w:tab/>
      </w:r>
      <w:r>
        <w:rPr>
          <w:rFonts w:hint="eastAsia" w:ascii="宋体" w:hAnsi="宋体" w:cs="宋体"/>
          <w:color w:val="auto"/>
          <w:szCs w:val="21"/>
          <w:highlight w:val="none"/>
          <w:lang w:eastAsia="zh-TW"/>
        </w:rPr>
        <w:t>机构应当顺延提交投标文件的截止时间。</w:t>
      </w:r>
    </w:p>
    <w:p>
      <w:pPr>
        <w:tabs>
          <w:tab w:val="left" w:pos="425"/>
        </w:tabs>
        <w:autoSpaceDE w:val="0"/>
        <w:autoSpaceDN w:val="0"/>
        <w:adjustRightIn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rPr>
        <w:t xml:space="preserve">7.3 </w:t>
      </w:r>
      <w:r>
        <w:rPr>
          <w:rFonts w:hint="eastAsia" w:ascii="宋体" w:hAnsi="宋体" w:cs="宋体"/>
          <w:color w:val="auto"/>
          <w:szCs w:val="21"/>
          <w:highlight w:val="none"/>
          <w:lang w:eastAsia="zh-TW"/>
        </w:rPr>
        <w:t>采购人或者采购代理机构</w:t>
      </w:r>
      <w:r>
        <w:rPr>
          <w:rFonts w:hint="eastAsia" w:ascii="宋体" w:hAnsi="宋体" w:cs="宋体"/>
          <w:color w:val="auto"/>
          <w:szCs w:val="21"/>
          <w:highlight w:val="none"/>
        </w:rPr>
        <w:t>将</w:t>
      </w:r>
      <w:r>
        <w:rPr>
          <w:rFonts w:hint="eastAsia" w:ascii="宋体" w:hAnsi="宋体" w:cs="宋体"/>
          <w:color w:val="auto"/>
          <w:szCs w:val="21"/>
          <w:highlight w:val="none"/>
          <w:lang w:eastAsia="zh-TW"/>
        </w:rPr>
        <w:t>澄清</w:t>
      </w:r>
      <w:r>
        <w:rPr>
          <w:rFonts w:hint="eastAsia" w:ascii="宋体" w:hAnsi="宋体"/>
          <w:color w:val="auto"/>
          <w:szCs w:val="21"/>
          <w:highlight w:val="none"/>
        </w:rPr>
        <w:t>（更正/变更）</w:t>
      </w:r>
      <w:r>
        <w:rPr>
          <w:rFonts w:hint="eastAsia" w:ascii="宋体" w:hAnsi="宋体" w:cs="宋体"/>
          <w:color w:val="auto"/>
          <w:szCs w:val="21"/>
          <w:highlight w:val="none"/>
          <w:lang w:eastAsia="zh-TW"/>
        </w:rPr>
        <w:t>公告</w:t>
      </w:r>
      <w:r>
        <w:rPr>
          <w:rFonts w:hint="eastAsia" w:ascii="宋体" w:hAnsi="宋体"/>
          <w:color w:val="auto"/>
          <w:szCs w:val="21"/>
          <w:highlight w:val="none"/>
        </w:rPr>
        <w:t>通知</w:t>
      </w:r>
      <w:r>
        <w:rPr>
          <w:rFonts w:hint="eastAsia" w:ascii="宋体" w:hAnsi="宋体"/>
          <w:bCs/>
          <w:color w:val="auto"/>
          <w:szCs w:val="21"/>
          <w:highlight w:val="none"/>
        </w:rPr>
        <w:t>已成功领购招标文件</w:t>
      </w:r>
      <w:r>
        <w:rPr>
          <w:rFonts w:hint="eastAsia" w:ascii="宋体" w:hAnsi="宋体"/>
          <w:color w:val="auto"/>
          <w:szCs w:val="21"/>
          <w:highlight w:val="none"/>
        </w:rPr>
        <w:t>的供应商，供应商在收</w:t>
      </w:r>
      <w:r>
        <w:rPr>
          <w:rFonts w:hint="eastAsia" w:ascii="宋体" w:hAnsi="宋体"/>
          <w:color w:val="auto"/>
          <w:szCs w:val="21"/>
          <w:highlight w:val="none"/>
        </w:rPr>
        <w:tab/>
      </w:r>
      <w:r>
        <w:rPr>
          <w:rFonts w:hint="eastAsia" w:ascii="宋体" w:hAnsi="宋体"/>
          <w:color w:val="auto"/>
          <w:szCs w:val="21"/>
          <w:highlight w:val="none"/>
        </w:rPr>
        <w:t>到澄清或修改（更正/变更）通知后应按要求以书面形式（</w:t>
      </w:r>
      <w:r>
        <w:rPr>
          <w:rFonts w:ascii="宋体" w:hAnsi="宋体"/>
          <w:color w:val="auto"/>
          <w:szCs w:val="21"/>
          <w:highlight w:val="none"/>
        </w:rPr>
        <w:t>传真</w:t>
      </w:r>
      <w:r>
        <w:rPr>
          <w:rFonts w:hint="eastAsia" w:ascii="宋体" w:hAnsi="宋体"/>
          <w:color w:val="auto"/>
          <w:szCs w:val="21"/>
          <w:highlight w:val="none"/>
        </w:rPr>
        <w:t>或</w:t>
      </w:r>
      <w:r>
        <w:rPr>
          <w:rFonts w:ascii="宋体" w:hAnsi="宋体"/>
          <w:color w:val="auto"/>
          <w:szCs w:val="21"/>
          <w:highlight w:val="none"/>
        </w:rPr>
        <w:t>电子邮件</w:t>
      </w:r>
      <w:r>
        <w:rPr>
          <w:rFonts w:hint="eastAsia" w:ascii="宋体" w:hAnsi="宋体"/>
          <w:color w:val="auto"/>
          <w:szCs w:val="21"/>
          <w:highlight w:val="none"/>
        </w:rPr>
        <w:t>）予以确认。</w:t>
      </w:r>
    </w:p>
    <w:p>
      <w:pPr>
        <w:autoSpaceDE w:val="0"/>
        <w:autoSpaceDN w:val="0"/>
        <w:adjustRightInd w:val="0"/>
        <w:spacing w:line="360" w:lineRule="auto"/>
        <w:rPr>
          <w:rFonts w:ascii="宋体" w:hAnsi="宋体"/>
          <w:color w:val="auto"/>
          <w:szCs w:val="21"/>
          <w:highlight w:val="none"/>
        </w:rPr>
      </w:pPr>
      <w:r>
        <w:rPr>
          <w:rFonts w:hint="eastAsia" w:ascii="宋体" w:hAnsi="宋体" w:cs="宋体"/>
          <w:color w:val="auto"/>
          <w:szCs w:val="21"/>
          <w:highlight w:val="none"/>
        </w:rPr>
        <w:t xml:space="preserve">7.4 </w:t>
      </w:r>
      <w:r>
        <w:rPr>
          <w:rFonts w:hint="eastAsia" w:ascii="宋体" w:hAnsi="宋体" w:cs="宋体"/>
          <w:color w:val="auto"/>
          <w:szCs w:val="21"/>
          <w:highlight w:val="none"/>
          <w:lang w:eastAsia="zh-TW"/>
        </w:rPr>
        <w:t>采购人或者采购代理机构</w:t>
      </w:r>
      <w:r>
        <w:rPr>
          <w:rFonts w:hint="eastAsia" w:ascii="宋体" w:hAnsi="宋体" w:cs="宋体"/>
          <w:color w:val="auto"/>
          <w:szCs w:val="21"/>
          <w:highlight w:val="none"/>
        </w:rPr>
        <w:t>发出的</w:t>
      </w:r>
      <w:r>
        <w:rPr>
          <w:rFonts w:hint="eastAsia" w:ascii="宋体" w:hAnsi="宋体"/>
          <w:color w:val="auto"/>
          <w:szCs w:val="21"/>
          <w:highlight w:val="none"/>
        </w:rPr>
        <w:t>澄清或修改（更正/变更）的内容为招标文件的组成部分，</w:t>
      </w:r>
      <w:r>
        <w:rPr>
          <w:rFonts w:hint="eastAsia" w:ascii="宋体" w:hAnsi="宋体" w:cs="宋体"/>
          <w:color w:val="auto"/>
          <w:szCs w:val="21"/>
          <w:highlight w:val="none"/>
          <w:lang w:eastAsia="zh-TW"/>
        </w:rPr>
        <w:t>并对供应</w:t>
      </w:r>
      <w:r>
        <w:rPr>
          <w:rFonts w:hint="eastAsia" w:ascii="宋体" w:hAnsi="宋体" w:cs="宋体"/>
          <w:color w:val="auto"/>
          <w:szCs w:val="21"/>
          <w:highlight w:val="none"/>
        </w:rPr>
        <w:tab/>
      </w:r>
      <w:r>
        <w:rPr>
          <w:rFonts w:hint="eastAsia" w:ascii="宋体" w:hAnsi="宋体" w:cs="宋体"/>
          <w:color w:val="auto"/>
          <w:szCs w:val="21"/>
          <w:highlight w:val="none"/>
          <w:lang w:eastAsia="zh-TW"/>
        </w:rPr>
        <w:t>商具有约束力</w:t>
      </w:r>
      <w:r>
        <w:rPr>
          <w:rFonts w:hint="eastAsia" w:ascii="宋体" w:hAnsi="宋体" w:cs="宋体"/>
          <w:color w:val="auto"/>
          <w:szCs w:val="21"/>
          <w:highlight w:val="none"/>
        </w:rPr>
        <w:t>。</w:t>
      </w:r>
    </w:p>
    <w:p>
      <w:pPr>
        <w:tabs>
          <w:tab w:val="left" w:pos="425"/>
        </w:tabs>
        <w:autoSpaceDE w:val="0"/>
        <w:autoSpaceDN w:val="0"/>
        <w:adjustRightInd w:val="0"/>
        <w:spacing w:line="360" w:lineRule="auto"/>
        <w:rPr>
          <w:rFonts w:ascii="宋体" w:hAnsi="宋体" w:cs="宋体"/>
          <w:color w:val="auto"/>
          <w:szCs w:val="21"/>
          <w:highlight w:val="none"/>
        </w:rPr>
      </w:pPr>
      <w:r>
        <w:rPr>
          <w:rFonts w:hint="eastAsia" w:ascii="宋体" w:hAnsi="宋体"/>
          <w:color w:val="auto"/>
          <w:szCs w:val="21"/>
          <w:highlight w:val="none"/>
        </w:rPr>
        <w:t>8. 召开开标前答疑会</w:t>
      </w:r>
    </w:p>
    <w:p>
      <w:pPr>
        <w:tabs>
          <w:tab w:val="left" w:pos="425"/>
          <w:tab w:val="left" w:pos="851"/>
        </w:tabs>
        <w:autoSpaceDE w:val="0"/>
        <w:autoSpaceDN w:val="0"/>
        <w:adjustRightInd w:val="0"/>
        <w:spacing w:line="360" w:lineRule="auto"/>
        <w:ind w:left="420" w:hanging="420" w:hangingChars="200"/>
        <w:rPr>
          <w:rFonts w:ascii="宋体" w:hAnsi="宋体" w:cs="宋体"/>
          <w:color w:val="auto"/>
          <w:szCs w:val="21"/>
          <w:highlight w:val="none"/>
        </w:rPr>
      </w:pPr>
      <w:r>
        <w:rPr>
          <w:rFonts w:hint="eastAsia" w:ascii="宋体" w:hAnsi="宋体" w:cs="宋体"/>
          <w:color w:val="auto"/>
          <w:szCs w:val="21"/>
          <w:highlight w:val="none"/>
        </w:rPr>
        <w:t>8.1 除非</w:t>
      </w:r>
      <w:r>
        <w:rPr>
          <w:rFonts w:hint="eastAsia" w:ascii="宋体" w:hAnsi="宋体"/>
          <w:color w:val="auto"/>
          <w:kern w:val="0"/>
          <w:highlight w:val="none"/>
        </w:rPr>
        <w:t>《投标须知前附表》</w:t>
      </w:r>
      <w:r>
        <w:rPr>
          <w:rFonts w:hint="eastAsia" w:ascii="宋体" w:hAnsi="宋体" w:cs="宋体"/>
          <w:color w:val="auto"/>
          <w:szCs w:val="21"/>
          <w:highlight w:val="none"/>
        </w:rPr>
        <w:t>中另有规定，不</w:t>
      </w:r>
      <w:r>
        <w:rPr>
          <w:rFonts w:hint="eastAsia" w:ascii="宋体" w:hAnsi="宋体"/>
          <w:bCs/>
          <w:color w:val="auto"/>
          <w:szCs w:val="21"/>
          <w:highlight w:val="none"/>
        </w:rPr>
        <w:t>召开开标前答疑会</w:t>
      </w:r>
      <w:r>
        <w:rPr>
          <w:rFonts w:hint="eastAsia" w:ascii="宋体" w:hAnsi="宋体" w:cs="宋体"/>
          <w:color w:val="auto"/>
          <w:szCs w:val="21"/>
          <w:highlight w:val="none"/>
        </w:rPr>
        <w:t>，如</w:t>
      </w:r>
      <w:r>
        <w:rPr>
          <w:rFonts w:hint="eastAsia" w:ascii="宋体" w:hAnsi="宋体"/>
          <w:bCs/>
          <w:color w:val="auto"/>
          <w:szCs w:val="21"/>
          <w:highlight w:val="none"/>
        </w:rPr>
        <w:t>召开开标前答疑会</w:t>
      </w:r>
      <w:r>
        <w:rPr>
          <w:rFonts w:hint="eastAsia" w:ascii="宋体" w:hAnsi="宋体" w:cs="宋体"/>
          <w:color w:val="auto"/>
          <w:szCs w:val="21"/>
          <w:highlight w:val="none"/>
        </w:rPr>
        <w:t>的，则按以下规定：</w:t>
      </w:r>
    </w:p>
    <w:p>
      <w:pPr>
        <w:tabs>
          <w:tab w:val="left" w:pos="425"/>
          <w:tab w:val="left" w:pos="851"/>
        </w:tabs>
        <w:autoSpaceDE w:val="0"/>
        <w:autoSpaceDN w:val="0"/>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8.1.1 </w:t>
      </w:r>
      <w:r>
        <w:rPr>
          <w:rFonts w:hint="eastAsia" w:ascii="宋体" w:hAnsi="宋体" w:cs="宋体"/>
          <w:color w:val="auto"/>
          <w:szCs w:val="21"/>
          <w:highlight w:val="none"/>
          <w:lang w:eastAsia="zh-TW"/>
        </w:rPr>
        <w:t>在</w:t>
      </w:r>
      <w:r>
        <w:rPr>
          <w:rFonts w:hint="eastAsia" w:ascii="宋体" w:hAnsi="宋体"/>
          <w:color w:val="auto"/>
          <w:kern w:val="0"/>
          <w:highlight w:val="none"/>
        </w:rPr>
        <w:t>《投标须知前附表》</w:t>
      </w:r>
      <w:r>
        <w:rPr>
          <w:rFonts w:hint="eastAsia" w:ascii="宋体" w:hAnsi="宋体" w:cs="宋体"/>
          <w:color w:val="auto"/>
          <w:szCs w:val="21"/>
          <w:highlight w:val="none"/>
        </w:rPr>
        <w:t>中规定的日期、时间和地点组织</w:t>
      </w:r>
      <w:r>
        <w:rPr>
          <w:rFonts w:hint="eastAsia" w:ascii="宋体" w:hAnsi="宋体"/>
          <w:bCs/>
          <w:color w:val="auto"/>
          <w:szCs w:val="21"/>
          <w:highlight w:val="none"/>
        </w:rPr>
        <w:t>现场考察或者召开开标前答疑会</w:t>
      </w:r>
      <w:r>
        <w:rPr>
          <w:rFonts w:hint="eastAsia" w:ascii="宋体" w:hAnsi="宋体" w:cs="宋体"/>
          <w:color w:val="auto"/>
          <w:szCs w:val="21"/>
          <w:highlight w:val="none"/>
        </w:rPr>
        <w:t>；</w:t>
      </w:r>
    </w:p>
    <w:p>
      <w:pPr>
        <w:tabs>
          <w:tab w:val="left" w:pos="425"/>
          <w:tab w:val="left" w:pos="851"/>
        </w:tabs>
        <w:autoSpaceDE w:val="0"/>
        <w:autoSpaceDN w:val="0"/>
        <w:adjustRightInd w:val="0"/>
        <w:spacing w:line="360" w:lineRule="auto"/>
        <w:ind w:left="630" w:hanging="630" w:hangingChars="300"/>
        <w:rPr>
          <w:rFonts w:ascii="宋体" w:hAnsi="宋体" w:cs="宋体"/>
          <w:color w:val="auto"/>
          <w:szCs w:val="21"/>
          <w:highlight w:val="none"/>
          <w:lang w:eastAsia="zh-TW"/>
        </w:rPr>
      </w:pPr>
      <w:r>
        <w:rPr>
          <w:rFonts w:hint="eastAsia" w:ascii="宋体" w:hAnsi="宋体" w:cs="宋体"/>
          <w:color w:val="auto"/>
          <w:szCs w:val="21"/>
          <w:highlight w:val="none"/>
        </w:rPr>
        <w:t>8.1.2 供应商</w:t>
      </w:r>
      <w:r>
        <w:rPr>
          <w:rFonts w:hint="eastAsia" w:ascii="宋体" w:hAnsi="宋体" w:cs="宋体"/>
          <w:color w:val="auto"/>
          <w:szCs w:val="21"/>
          <w:highlight w:val="none"/>
          <w:lang w:eastAsia="zh-TW"/>
        </w:rPr>
        <w:t>对本项目提出的疑问，</w:t>
      </w:r>
      <w:r>
        <w:rPr>
          <w:rFonts w:hint="eastAsia" w:ascii="宋体" w:hAnsi="宋体" w:cs="宋体"/>
          <w:color w:val="auto"/>
          <w:szCs w:val="21"/>
          <w:highlight w:val="none"/>
        </w:rPr>
        <w:t>可</w:t>
      </w:r>
      <w:r>
        <w:rPr>
          <w:rFonts w:hint="eastAsia" w:ascii="宋体" w:hAnsi="宋体" w:cs="宋体"/>
          <w:color w:val="auto"/>
          <w:szCs w:val="21"/>
          <w:highlight w:val="none"/>
          <w:lang w:eastAsia="zh-TW"/>
        </w:rPr>
        <w:t>在</w:t>
      </w:r>
      <w:r>
        <w:rPr>
          <w:rFonts w:hint="eastAsia" w:ascii="宋体" w:hAnsi="宋体"/>
          <w:bCs/>
          <w:color w:val="auto"/>
          <w:szCs w:val="21"/>
          <w:highlight w:val="none"/>
        </w:rPr>
        <w:t>召开开标前答疑会</w:t>
      </w:r>
      <w:r>
        <w:rPr>
          <w:rFonts w:hint="eastAsia" w:ascii="宋体" w:hAnsi="宋体" w:cs="宋体"/>
          <w:color w:val="auto"/>
          <w:szCs w:val="21"/>
          <w:highlight w:val="none"/>
          <w:lang w:eastAsia="zh-TW"/>
        </w:rPr>
        <w:t>召开日前至少一个工作日将问题清单以书面形式（加盖公章）提交至采购代理机构。</w:t>
      </w:r>
    </w:p>
    <w:p>
      <w:pPr>
        <w:pStyle w:val="32"/>
        <w:adjustRightInd w:val="0"/>
        <w:spacing w:line="360" w:lineRule="auto"/>
        <w:rPr>
          <w:rFonts w:hAnsi="宋体" w:cs="Times New Roman"/>
          <w:b/>
          <w:color w:val="auto"/>
          <w:highlight w:val="none"/>
        </w:rPr>
      </w:pPr>
    </w:p>
    <w:p>
      <w:pPr>
        <w:pStyle w:val="32"/>
        <w:adjustRightInd w:val="0"/>
        <w:spacing w:line="360" w:lineRule="auto"/>
        <w:outlineLvl w:val="1"/>
        <w:rPr>
          <w:rFonts w:hAnsi="宋体" w:cs="Times New Roman"/>
          <w:b/>
          <w:color w:val="auto"/>
          <w:highlight w:val="none"/>
        </w:rPr>
      </w:pPr>
      <w:bookmarkStart w:id="27" w:name="_Toc26067"/>
      <w:r>
        <w:rPr>
          <w:rFonts w:hint="eastAsia" w:hAnsi="宋体" w:cs="Times New Roman"/>
          <w:b/>
          <w:color w:val="auto"/>
          <w:highlight w:val="none"/>
        </w:rPr>
        <w:t>三、投标文件的编制和数量</w:t>
      </w:r>
      <w:bookmarkEnd w:id="27"/>
    </w:p>
    <w:p>
      <w:pPr>
        <w:autoSpaceDE w:val="0"/>
        <w:autoSpaceDN w:val="0"/>
        <w:adjustRightInd w:val="0"/>
        <w:spacing w:line="360" w:lineRule="auto"/>
        <w:ind w:left="473" w:right="32" w:hanging="472" w:hangingChars="225"/>
        <w:rPr>
          <w:rFonts w:ascii="宋体" w:hAnsi="宋体"/>
          <w:color w:val="auto"/>
          <w:kern w:val="0"/>
          <w:szCs w:val="21"/>
          <w:highlight w:val="none"/>
        </w:rPr>
      </w:pPr>
      <w:r>
        <w:rPr>
          <w:rFonts w:hint="eastAsia" w:ascii="宋体" w:hAnsi="宋体"/>
          <w:color w:val="auto"/>
          <w:kern w:val="0"/>
          <w:szCs w:val="21"/>
          <w:highlight w:val="none"/>
        </w:rPr>
        <w:t>9. 投标文件的组成</w:t>
      </w:r>
    </w:p>
    <w:p>
      <w:pPr>
        <w:spacing w:line="360" w:lineRule="auto"/>
        <w:ind w:left="360" w:hanging="360"/>
        <w:rPr>
          <w:rFonts w:ascii="宋体" w:hAnsi="宋体"/>
          <w:color w:val="auto"/>
          <w:szCs w:val="21"/>
          <w:highlight w:val="none"/>
        </w:rPr>
      </w:pPr>
      <w:r>
        <w:rPr>
          <w:rFonts w:hint="eastAsia" w:ascii="宋体" w:hAnsi="宋体"/>
          <w:color w:val="auto"/>
          <w:szCs w:val="21"/>
          <w:highlight w:val="none"/>
        </w:rPr>
        <w:t>9.1投标人编写的投标文件应包括自查表、资格性符合性部分、商务部分、技术（服务）部分、价格部分五部分,详见《第六部分 投标文件格式》。</w:t>
      </w:r>
    </w:p>
    <w:p>
      <w:pPr>
        <w:spacing w:line="360" w:lineRule="auto"/>
        <w:ind w:left="360" w:hanging="360"/>
        <w:rPr>
          <w:rFonts w:ascii="宋体" w:hAnsi="宋体"/>
          <w:color w:val="auto"/>
          <w:szCs w:val="21"/>
          <w:highlight w:val="none"/>
        </w:rPr>
      </w:pPr>
      <w:r>
        <w:rPr>
          <w:rFonts w:hint="eastAsia" w:ascii="宋体" w:hAnsi="宋体"/>
          <w:color w:val="auto"/>
          <w:szCs w:val="21"/>
          <w:highlight w:val="none"/>
        </w:rPr>
        <w:t>9.2 唱标信封必须另单独分装，详见《第六部分　投标文件格式》。</w:t>
      </w:r>
    </w:p>
    <w:p>
      <w:pPr>
        <w:spacing w:line="360" w:lineRule="auto"/>
        <w:ind w:left="360" w:hanging="360"/>
        <w:rPr>
          <w:rFonts w:ascii="宋体" w:hAnsi="宋体"/>
          <w:color w:val="auto"/>
          <w:szCs w:val="21"/>
          <w:highlight w:val="none"/>
        </w:rPr>
      </w:pPr>
      <w:r>
        <w:rPr>
          <w:rFonts w:hint="eastAsia" w:ascii="宋体" w:hAnsi="宋体"/>
          <w:color w:val="auto"/>
          <w:szCs w:val="21"/>
          <w:highlight w:val="none"/>
        </w:rPr>
        <w:t>9.3 投标样品</w:t>
      </w:r>
    </w:p>
    <w:p>
      <w:pPr>
        <w:autoSpaceDE w:val="0"/>
        <w:autoSpaceDN w:val="0"/>
        <w:adjustRightInd w:val="0"/>
        <w:spacing w:line="360" w:lineRule="auto"/>
        <w:ind w:right="31" w:rightChars="15"/>
        <w:rPr>
          <w:rFonts w:ascii="宋体" w:hAnsi="宋体"/>
          <w:color w:val="auto"/>
          <w:kern w:val="0"/>
          <w:szCs w:val="21"/>
          <w:highlight w:val="none"/>
        </w:rPr>
      </w:pPr>
      <w:r>
        <w:rPr>
          <w:rFonts w:hint="eastAsia" w:ascii="宋体" w:hAnsi="宋体"/>
          <w:color w:val="auto"/>
          <w:kern w:val="0"/>
          <w:szCs w:val="21"/>
          <w:highlight w:val="none"/>
        </w:rPr>
        <w:t>9.3.1 项目如要求提交投标样品的，采购代理机构明确规定样品制作的标准和要求、是否需要随样品</w:t>
      </w:r>
      <w:r>
        <w:rPr>
          <w:rFonts w:hint="eastAsia" w:ascii="宋体" w:hAnsi="宋体"/>
          <w:color w:val="auto"/>
          <w:kern w:val="0"/>
          <w:szCs w:val="21"/>
          <w:highlight w:val="none"/>
        </w:rPr>
        <w:tab/>
      </w:r>
      <w:r>
        <w:rPr>
          <w:rFonts w:hint="eastAsia" w:ascii="宋体" w:hAnsi="宋体"/>
          <w:color w:val="auto"/>
          <w:kern w:val="0"/>
          <w:szCs w:val="21"/>
          <w:highlight w:val="none"/>
        </w:rPr>
        <w:t>提交相关检测报告、样品的评审方法以及评审标准。需要随样品提交检测报告的，还应当规定检</w:t>
      </w:r>
      <w:r>
        <w:rPr>
          <w:rFonts w:hint="eastAsia" w:ascii="宋体" w:hAnsi="宋体"/>
          <w:color w:val="auto"/>
          <w:kern w:val="0"/>
          <w:szCs w:val="21"/>
          <w:highlight w:val="none"/>
        </w:rPr>
        <w:tab/>
      </w:r>
      <w:r>
        <w:rPr>
          <w:rFonts w:hint="eastAsia" w:ascii="宋体" w:hAnsi="宋体"/>
          <w:color w:val="auto"/>
          <w:kern w:val="0"/>
          <w:szCs w:val="21"/>
          <w:highlight w:val="none"/>
        </w:rPr>
        <w:t>测机构的要求、检测内容等。详见《</w:t>
      </w:r>
      <w:r>
        <w:rPr>
          <w:rFonts w:hint="eastAsia" w:ascii="宋体" w:hAnsi="宋体"/>
          <w:color w:val="auto"/>
          <w:szCs w:val="21"/>
          <w:highlight w:val="none"/>
          <w:lang w:val="zh-CN"/>
        </w:rPr>
        <w:t>第二部分</w:t>
      </w:r>
      <w:r>
        <w:rPr>
          <w:rFonts w:hint="eastAsia" w:ascii="宋体" w:hAnsi="宋体"/>
          <w:color w:val="auto"/>
          <w:szCs w:val="21"/>
          <w:highlight w:val="none"/>
        </w:rPr>
        <w:t xml:space="preserve"> </w:t>
      </w:r>
      <w:r>
        <w:rPr>
          <w:rFonts w:hint="eastAsia" w:ascii="宋体" w:hAnsi="宋体"/>
          <w:color w:val="auto"/>
          <w:kern w:val="0"/>
          <w:szCs w:val="21"/>
          <w:highlight w:val="none"/>
        </w:rPr>
        <w:t>采购需求书》</w:t>
      </w:r>
    </w:p>
    <w:p>
      <w:pPr>
        <w:autoSpaceDE w:val="0"/>
        <w:autoSpaceDN w:val="0"/>
        <w:adjustRightInd w:val="0"/>
        <w:spacing w:line="360" w:lineRule="auto"/>
        <w:ind w:right="31" w:rightChars="15"/>
        <w:rPr>
          <w:rFonts w:ascii="宋体" w:hAnsi="宋体"/>
          <w:color w:val="auto"/>
          <w:kern w:val="0"/>
          <w:szCs w:val="21"/>
          <w:highlight w:val="none"/>
        </w:rPr>
      </w:pPr>
      <w:r>
        <w:rPr>
          <w:rFonts w:hint="eastAsia" w:ascii="宋体" w:hAnsi="宋体"/>
          <w:color w:val="auto"/>
          <w:kern w:val="0"/>
          <w:szCs w:val="21"/>
          <w:highlight w:val="none"/>
        </w:rPr>
        <w:t>9.3.2 投标人提交的投标样品应标注：项目名称、采购项目编号、货物/样品名称、型号/规格、投标</w:t>
      </w:r>
      <w:r>
        <w:rPr>
          <w:rFonts w:hint="eastAsia" w:ascii="宋体" w:hAnsi="宋体"/>
          <w:color w:val="auto"/>
          <w:kern w:val="0"/>
          <w:szCs w:val="21"/>
          <w:highlight w:val="none"/>
        </w:rPr>
        <w:tab/>
      </w:r>
      <w:r>
        <w:rPr>
          <w:rFonts w:hint="eastAsia" w:ascii="宋体" w:hAnsi="宋体"/>
          <w:color w:val="auto"/>
          <w:kern w:val="0"/>
          <w:szCs w:val="21"/>
          <w:highlight w:val="none"/>
        </w:rPr>
        <w:t>人名称等内容，投标样品内容及数量，详见《投标须知前附表》。</w:t>
      </w:r>
    </w:p>
    <w:p>
      <w:pPr>
        <w:autoSpaceDE w:val="0"/>
        <w:autoSpaceDN w:val="0"/>
        <w:adjustRightInd w:val="0"/>
        <w:spacing w:line="360" w:lineRule="auto"/>
        <w:ind w:right="31" w:rightChars="15"/>
        <w:rPr>
          <w:rFonts w:ascii="宋体" w:hAnsi="宋体"/>
          <w:color w:val="auto"/>
          <w:kern w:val="0"/>
          <w:szCs w:val="21"/>
          <w:highlight w:val="none"/>
        </w:rPr>
      </w:pPr>
      <w:r>
        <w:rPr>
          <w:rFonts w:hint="eastAsia" w:ascii="宋体" w:hAnsi="宋体"/>
          <w:color w:val="auto"/>
          <w:kern w:val="0"/>
          <w:szCs w:val="21"/>
          <w:highlight w:val="none"/>
        </w:rPr>
        <w:t>9.3.3 采购活动结束后，对于未中标人提供的样品，采购代理机构应当及时退还或者经未中标人同意</w:t>
      </w:r>
      <w:r>
        <w:rPr>
          <w:rFonts w:hint="eastAsia" w:ascii="宋体" w:hAnsi="宋体"/>
          <w:color w:val="auto"/>
          <w:kern w:val="0"/>
          <w:szCs w:val="21"/>
          <w:highlight w:val="none"/>
        </w:rPr>
        <w:tab/>
      </w:r>
      <w:r>
        <w:rPr>
          <w:rFonts w:hint="eastAsia" w:ascii="宋体" w:hAnsi="宋体"/>
          <w:color w:val="auto"/>
          <w:kern w:val="0"/>
          <w:szCs w:val="21"/>
          <w:highlight w:val="none"/>
        </w:rPr>
        <w:t>后自行处理；对于中标人提供的样品，应当按照招标文件的规定进行保管、封存，并作为履约验</w:t>
      </w:r>
      <w:r>
        <w:rPr>
          <w:rFonts w:hint="eastAsia" w:ascii="宋体" w:hAnsi="宋体"/>
          <w:color w:val="auto"/>
          <w:kern w:val="0"/>
          <w:szCs w:val="21"/>
          <w:highlight w:val="none"/>
        </w:rPr>
        <w:tab/>
      </w:r>
      <w:r>
        <w:rPr>
          <w:rFonts w:hint="eastAsia" w:ascii="宋体" w:hAnsi="宋体"/>
          <w:color w:val="auto"/>
          <w:kern w:val="0"/>
          <w:szCs w:val="21"/>
          <w:highlight w:val="none"/>
        </w:rPr>
        <w:t>收的参考。</w:t>
      </w:r>
    </w:p>
    <w:p>
      <w:pPr>
        <w:pStyle w:val="32"/>
        <w:adjustRightInd w:val="0"/>
        <w:spacing w:line="360" w:lineRule="auto"/>
        <w:rPr>
          <w:rFonts w:hAnsi="宋体" w:cs="Times New Roman"/>
          <w:color w:val="auto"/>
          <w:highlight w:val="none"/>
        </w:rPr>
      </w:pPr>
      <w:r>
        <w:rPr>
          <w:rFonts w:hint="eastAsia" w:hAnsi="宋体" w:cs="Times New Roman"/>
          <w:color w:val="auto"/>
          <w:highlight w:val="none"/>
        </w:rPr>
        <w:t>10. 投标的语言</w:t>
      </w:r>
    </w:p>
    <w:p>
      <w:pPr>
        <w:tabs>
          <w:tab w:val="left" w:pos="425"/>
          <w:tab w:val="left" w:pos="567"/>
        </w:tabs>
        <w:autoSpaceDE w:val="0"/>
        <w:autoSpaceDN w:val="0"/>
        <w:adjustRightInd w:val="0"/>
        <w:spacing w:line="360" w:lineRule="auto"/>
        <w:rPr>
          <w:rFonts w:ascii="宋体" w:hAnsi="宋体" w:cs="黑体"/>
          <w:b/>
          <w:bCs/>
          <w:color w:val="auto"/>
          <w:szCs w:val="21"/>
          <w:highlight w:val="none"/>
        </w:rPr>
      </w:pPr>
      <w:r>
        <w:rPr>
          <w:rFonts w:hint="eastAsia" w:ascii="宋体" w:hAnsi="宋体"/>
          <w:color w:val="auto"/>
          <w:szCs w:val="21"/>
          <w:highlight w:val="none"/>
        </w:rPr>
        <w:t xml:space="preserve">10.1 </w:t>
      </w:r>
      <w:r>
        <w:rPr>
          <w:rFonts w:hint="eastAsia" w:ascii="宋体" w:hAnsi="宋体" w:cs="宋体"/>
          <w:color w:val="auto"/>
          <w:szCs w:val="21"/>
          <w:highlight w:val="none"/>
          <w:lang w:eastAsia="zh-TW"/>
        </w:rPr>
        <w:t>投标人提交的投标文件以及投标人与采购人或者采购代理机构就有关投标的所有来往函电均应</w:t>
      </w:r>
      <w:r>
        <w:rPr>
          <w:rFonts w:hint="eastAsia" w:ascii="宋体" w:hAnsi="宋体" w:cs="宋体"/>
          <w:color w:val="auto"/>
          <w:szCs w:val="21"/>
          <w:highlight w:val="none"/>
        </w:rPr>
        <w:t>当</w:t>
      </w:r>
      <w:r>
        <w:rPr>
          <w:rFonts w:hint="eastAsia" w:ascii="宋体" w:hAnsi="宋体" w:cs="宋体"/>
          <w:color w:val="auto"/>
          <w:szCs w:val="21"/>
          <w:highlight w:val="none"/>
        </w:rPr>
        <w:tab/>
      </w:r>
      <w:r>
        <w:rPr>
          <w:rFonts w:hint="eastAsia" w:ascii="宋体" w:hAnsi="宋体" w:cs="宋体"/>
          <w:color w:val="auto"/>
          <w:szCs w:val="21"/>
          <w:highlight w:val="none"/>
          <w:lang w:eastAsia="zh-TW"/>
        </w:rPr>
        <w:t>使用中文</w:t>
      </w:r>
      <w:r>
        <w:rPr>
          <w:rFonts w:hint="eastAsia" w:ascii="宋体" w:hAnsi="宋体" w:cs="宋体"/>
          <w:color w:val="auto"/>
          <w:szCs w:val="21"/>
          <w:highlight w:val="none"/>
        </w:rPr>
        <w:t>。投</w:t>
      </w:r>
      <w:r>
        <w:rPr>
          <w:rFonts w:hint="eastAsia" w:ascii="宋体" w:hAnsi="宋体" w:cs="宋体"/>
          <w:color w:val="auto"/>
          <w:szCs w:val="21"/>
          <w:highlight w:val="none"/>
          <w:lang w:eastAsia="zh-TW"/>
        </w:rPr>
        <w:t>标人提交的支持文件或印刷的资料</w:t>
      </w:r>
      <w:r>
        <w:rPr>
          <w:rFonts w:hint="eastAsia" w:ascii="宋体" w:hAnsi="宋体" w:cs="宋体"/>
          <w:color w:val="auto"/>
          <w:szCs w:val="21"/>
          <w:highlight w:val="none"/>
        </w:rPr>
        <w:t>或外文书证或者外国语试听资料</w:t>
      </w:r>
      <w:r>
        <w:rPr>
          <w:rFonts w:hint="eastAsia" w:ascii="宋体" w:hAnsi="宋体" w:cs="宋体"/>
          <w:color w:val="auto"/>
          <w:szCs w:val="21"/>
          <w:highlight w:val="none"/>
          <w:lang w:eastAsia="zh-TW"/>
        </w:rPr>
        <w:t>可以用另一种语</w:t>
      </w:r>
      <w:r>
        <w:rPr>
          <w:rFonts w:hint="eastAsia" w:ascii="宋体" w:hAnsi="宋体" w:cs="宋体"/>
          <w:color w:val="auto"/>
          <w:szCs w:val="21"/>
          <w:highlight w:val="none"/>
        </w:rPr>
        <w:tab/>
      </w:r>
      <w:r>
        <w:rPr>
          <w:rFonts w:hint="eastAsia" w:ascii="宋体" w:hAnsi="宋体" w:cs="宋体"/>
          <w:color w:val="auto"/>
          <w:szCs w:val="21"/>
          <w:highlight w:val="none"/>
          <w:lang w:eastAsia="zh-TW"/>
        </w:rPr>
        <w:t>言</w:t>
      </w:r>
      <w:r>
        <w:rPr>
          <w:rFonts w:hint="eastAsia" w:ascii="宋体" w:hAnsi="宋体" w:cs="宋体"/>
          <w:color w:val="auto"/>
          <w:szCs w:val="21"/>
          <w:highlight w:val="none"/>
        </w:rPr>
        <w:t>，</w:t>
      </w:r>
      <w:r>
        <w:rPr>
          <w:rFonts w:hint="eastAsia" w:ascii="宋体" w:hAnsi="宋体" w:cs="宋体"/>
          <w:color w:val="auto"/>
          <w:szCs w:val="21"/>
          <w:highlight w:val="none"/>
          <w:lang w:eastAsia="zh-TW"/>
        </w:rPr>
        <w:t>但相应内容应附有中文</w:t>
      </w:r>
      <w:r>
        <w:rPr>
          <w:rFonts w:hint="eastAsia" w:ascii="宋体" w:hAnsi="宋体" w:cs="宋体"/>
          <w:color w:val="auto"/>
          <w:szCs w:val="21"/>
          <w:highlight w:val="none"/>
        </w:rPr>
        <w:t>译本，由翻译机构盖章或者翻译人员签名，若</w:t>
      </w:r>
      <w:r>
        <w:rPr>
          <w:rFonts w:hint="eastAsia" w:ascii="宋体" w:hAnsi="宋体"/>
          <w:color w:val="auto"/>
          <w:highlight w:val="none"/>
        </w:rPr>
        <w:t>两种语言不一致时以中</w:t>
      </w:r>
      <w:r>
        <w:rPr>
          <w:rFonts w:hint="eastAsia" w:ascii="宋体" w:hAnsi="宋体"/>
          <w:color w:val="auto"/>
          <w:highlight w:val="none"/>
        </w:rPr>
        <w:tab/>
      </w:r>
      <w:r>
        <w:rPr>
          <w:rFonts w:hint="eastAsia" w:ascii="宋体" w:hAnsi="宋体"/>
          <w:color w:val="auto"/>
          <w:highlight w:val="none"/>
        </w:rPr>
        <w:t>文翻译本为准。</w:t>
      </w:r>
    </w:p>
    <w:p>
      <w:pPr>
        <w:pStyle w:val="32"/>
        <w:adjustRightInd w:val="0"/>
        <w:spacing w:line="360" w:lineRule="auto"/>
        <w:rPr>
          <w:rFonts w:hAnsi="宋体" w:cs="Times New Roman"/>
          <w:color w:val="auto"/>
          <w:highlight w:val="none"/>
        </w:rPr>
      </w:pPr>
      <w:r>
        <w:rPr>
          <w:rFonts w:hint="eastAsia" w:hAnsi="宋体" w:cs="Times New Roman"/>
          <w:color w:val="auto"/>
          <w:highlight w:val="none"/>
        </w:rPr>
        <w:t>11. 投标文件编制</w:t>
      </w:r>
    </w:p>
    <w:p>
      <w:pPr>
        <w:pStyle w:val="32"/>
        <w:adjustRightInd w:val="0"/>
        <w:spacing w:line="360" w:lineRule="auto"/>
        <w:ind w:left="473" w:hanging="472" w:hangingChars="225"/>
        <w:rPr>
          <w:rFonts w:hAnsi="宋体"/>
          <w:i/>
          <w:iCs/>
          <w:color w:val="auto"/>
          <w:highlight w:val="none"/>
        </w:rPr>
      </w:pPr>
      <w:r>
        <w:rPr>
          <w:rFonts w:hint="eastAsia" w:hAnsi="宋体" w:cs="Times New Roman"/>
          <w:color w:val="auto"/>
          <w:highlight w:val="none"/>
        </w:rPr>
        <w:t>11.1本次招标分包情况，</w:t>
      </w:r>
      <w:r>
        <w:rPr>
          <w:rFonts w:hint="eastAsia" w:hAnsi="宋体"/>
          <w:color w:val="auto"/>
          <w:kern w:val="0"/>
          <w:highlight w:val="none"/>
        </w:rPr>
        <w:t>详见《投标须知前附表》。</w:t>
      </w:r>
      <w:r>
        <w:rPr>
          <w:rFonts w:hint="eastAsia" w:hAnsi="宋体"/>
          <w:color w:val="auto"/>
          <w:highlight w:val="none"/>
        </w:rPr>
        <w:t>投标人必须对本项目（或包组）中所有的全部服务进行投标，而不允许只对本项目（或包组）的其中一种或几种服务进行投标。</w:t>
      </w:r>
    </w:p>
    <w:p>
      <w:pPr>
        <w:pStyle w:val="32"/>
        <w:adjustRightInd w:val="0"/>
        <w:spacing w:line="360" w:lineRule="auto"/>
        <w:ind w:left="473" w:hanging="472" w:hangingChars="225"/>
        <w:rPr>
          <w:rFonts w:hAnsi="宋体"/>
          <w:color w:val="auto"/>
          <w:highlight w:val="none"/>
        </w:rPr>
      </w:pPr>
      <w:r>
        <w:rPr>
          <w:rFonts w:hint="eastAsia" w:hAnsi="宋体"/>
          <w:color w:val="auto"/>
          <w:highlight w:val="none"/>
        </w:rPr>
        <w:t>11.2 投标人应当按照招标文件的要求编制投标文件。投标文件应当对招标文件提出的要求和条件作出明确响应。</w:t>
      </w:r>
    </w:p>
    <w:p>
      <w:pPr>
        <w:pStyle w:val="32"/>
        <w:adjustRightInd w:val="0"/>
        <w:spacing w:line="360" w:lineRule="auto"/>
        <w:ind w:left="473" w:hanging="472" w:hangingChars="225"/>
        <w:rPr>
          <w:rFonts w:hAnsi="宋体" w:cs="Times New Roman"/>
          <w:color w:val="auto"/>
          <w:highlight w:val="none"/>
        </w:rPr>
      </w:pPr>
      <w:r>
        <w:rPr>
          <w:rFonts w:hint="eastAsia" w:hAnsi="宋体" w:cs="Times New Roman"/>
          <w:color w:val="auto"/>
          <w:highlight w:val="none"/>
        </w:rPr>
        <w:t>11.3 投标人必须对投标文件所提供的全部资料</w:t>
      </w:r>
      <w:r>
        <w:rPr>
          <w:rFonts w:hint="eastAsia" w:hAnsi="宋体" w:cs="Times New Roman"/>
          <w:b/>
          <w:bCs/>
          <w:color w:val="auto"/>
          <w:highlight w:val="none"/>
        </w:rPr>
        <w:t>（包括第三方提供的资料）</w:t>
      </w:r>
      <w:r>
        <w:rPr>
          <w:rFonts w:hint="eastAsia" w:hAnsi="宋体" w:cs="Times New Roman"/>
          <w:color w:val="auto"/>
          <w:highlight w:val="none"/>
        </w:rPr>
        <w:t>的真实性承担法律责任，并无条件接受</w:t>
      </w:r>
      <w:r>
        <w:rPr>
          <w:rFonts w:hint="eastAsia" w:hAnsi="宋体" w:cs="Times New Roman"/>
          <w:color w:val="auto"/>
          <w:kern w:val="0"/>
          <w:highlight w:val="none"/>
        </w:rPr>
        <w:t>采购代理机构或采购人</w:t>
      </w:r>
      <w:r>
        <w:rPr>
          <w:rFonts w:hint="eastAsia" w:hAnsi="宋体" w:cs="Times New Roman"/>
          <w:color w:val="auto"/>
          <w:highlight w:val="none"/>
        </w:rPr>
        <w:t>及政府采购监督管理部门等对其中任何资料进行核实的要求。</w:t>
      </w:r>
    </w:p>
    <w:p>
      <w:pPr>
        <w:pStyle w:val="32"/>
        <w:adjustRightInd w:val="0"/>
        <w:spacing w:line="360" w:lineRule="auto"/>
        <w:ind w:left="540" w:hanging="540"/>
        <w:rPr>
          <w:rFonts w:hAnsi="宋体" w:cs="Times New Roman"/>
          <w:color w:val="auto"/>
          <w:highlight w:val="none"/>
        </w:rPr>
      </w:pPr>
      <w:r>
        <w:rPr>
          <w:rFonts w:hint="eastAsia" w:hAnsi="宋体" w:cs="Times New Roman"/>
          <w:color w:val="auto"/>
          <w:highlight w:val="none"/>
        </w:rPr>
        <w:t>11.4 如果因为投标人投标文件填报的内容不详，或没有提供招标文件中所要求的全部资料及数据，由此造成的后果，其责任由投标人承担。</w:t>
      </w:r>
    </w:p>
    <w:p>
      <w:pPr>
        <w:pStyle w:val="32"/>
        <w:adjustRightInd w:val="0"/>
        <w:spacing w:line="360" w:lineRule="auto"/>
        <w:rPr>
          <w:rFonts w:hAnsi="宋体" w:cs="Times New Roman"/>
          <w:color w:val="auto"/>
          <w:highlight w:val="none"/>
        </w:rPr>
      </w:pPr>
      <w:r>
        <w:rPr>
          <w:rFonts w:hint="eastAsia" w:hAnsi="宋体" w:cs="Times New Roman"/>
          <w:color w:val="auto"/>
          <w:highlight w:val="none"/>
        </w:rPr>
        <w:t>12. 投标报价</w:t>
      </w:r>
    </w:p>
    <w:p>
      <w:pPr>
        <w:autoSpaceDE w:val="0"/>
        <w:autoSpaceDN w:val="0"/>
        <w:adjustRightInd w:val="0"/>
        <w:spacing w:line="360" w:lineRule="auto"/>
        <w:ind w:left="420" w:right="-148" w:hanging="420" w:hangingChars="200"/>
        <w:rPr>
          <w:rFonts w:ascii="宋体" w:hAnsi="宋体"/>
          <w:color w:val="auto"/>
          <w:kern w:val="0"/>
          <w:szCs w:val="21"/>
          <w:highlight w:val="none"/>
        </w:rPr>
      </w:pPr>
      <w:r>
        <w:rPr>
          <w:rFonts w:hint="eastAsia" w:ascii="宋体" w:hAnsi="宋体" w:cs="宋体"/>
          <w:color w:val="auto"/>
          <w:highlight w:val="none"/>
        </w:rPr>
        <w:t>12</w:t>
      </w:r>
      <w:r>
        <w:rPr>
          <w:rFonts w:hint="eastAsia" w:ascii="宋体" w:hAnsi="宋体" w:cs="宋体"/>
          <w:color w:val="auto"/>
          <w:szCs w:val="21"/>
          <w:highlight w:val="none"/>
        </w:rPr>
        <w:t xml:space="preserve">.1 </w:t>
      </w:r>
      <w:r>
        <w:rPr>
          <w:rFonts w:hint="eastAsia" w:ascii="宋体" w:hAnsi="宋体"/>
          <w:color w:val="auto"/>
          <w:kern w:val="0"/>
          <w:szCs w:val="21"/>
          <w:highlight w:val="none"/>
        </w:rPr>
        <w:t>投标人所提供的服务应以人民币报价。</w:t>
      </w:r>
    </w:p>
    <w:p>
      <w:pPr>
        <w:pStyle w:val="32"/>
        <w:adjustRightInd w:val="0"/>
        <w:spacing w:line="360" w:lineRule="auto"/>
        <w:ind w:left="420" w:hanging="420"/>
        <w:rPr>
          <w:rFonts w:hAnsi="宋体" w:cs="Times New Roman"/>
          <w:color w:val="auto"/>
          <w:kern w:val="0"/>
          <w:highlight w:val="none"/>
        </w:rPr>
      </w:pPr>
      <w:r>
        <w:rPr>
          <w:rFonts w:hint="eastAsia" w:hAnsi="宋体" w:cs="Times New Roman"/>
          <w:color w:val="auto"/>
          <w:highlight w:val="none"/>
        </w:rPr>
        <w:t>12</w:t>
      </w:r>
      <w:r>
        <w:rPr>
          <w:rFonts w:hint="eastAsia" w:hAnsi="宋体" w:cs="Times New Roman"/>
          <w:color w:val="auto"/>
          <w:kern w:val="0"/>
          <w:highlight w:val="none"/>
        </w:rPr>
        <w:t xml:space="preserve">.2 </w:t>
      </w:r>
      <w:r>
        <w:rPr>
          <w:rFonts w:hint="eastAsia" w:hAnsi="宋体" w:cs="Times New Roman"/>
          <w:color w:val="auto"/>
          <w:highlight w:val="none"/>
        </w:rPr>
        <w:t xml:space="preserve">投标人应按照《第二部分 </w:t>
      </w:r>
      <w:r>
        <w:rPr>
          <w:rFonts w:hint="eastAsia" w:hAnsi="宋体"/>
          <w:color w:val="auto"/>
          <w:kern w:val="0"/>
          <w:highlight w:val="none"/>
        </w:rPr>
        <w:t>采购需求书</w:t>
      </w:r>
      <w:r>
        <w:rPr>
          <w:rFonts w:hint="eastAsia" w:hAnsi="宋体" w:cs="Times New Roman"/>
          <w:color w:val="auto"/>
          <w:highlight w:val="none"/>
        </w:rPr>
        <w:t>》规定的内容、责任范围以及合同条款进行报价,并按《开标一览表》和</w:t>
      </w:r>
      <w:r>
        <w:rPr>
          <w:rFonts w:hint="eastAsia" w:hAnsi="宋体"/>
          <w:color w:val="auto"/>
          <w:kern w:val="0"/>
          <w:highlight w:val="none"/>
        </w:rPr>
        <w:t>《明细报价表》</w:t>
      </w:r>
      <w:r>
        <w:rPr>
          <w:rFonts w:hint="eastAsia" w:hAnsi="宋体" w:cs="Times New Roman"/>
          <w:color w:val="auto"/>
          <w:highlight w:val="none"/>
        </w:rPr>
        <w:t>确定的格式报出分项价格和总价</w:t>
      </w:r>
      <w:r>
        <w:rPr>
          <w:rFonts w:hint="eastAsia" w:hAnsi="宋体" w:cs="Times New Roman"/>
          <w:color w:val="auto"/>
          <w:kern w:val="0"/>
          <w:highlight w:val="none"/>
        </w:rPr>
        <w:t>。投标总价中不得包含招标文件要求以外的内容，否则，在评标时不予核减。</w:t>
      </w:r>
    </w:p>
    <w:p>
      <w:pPr>
        <w:pStyle w:val="32"/>
        <w:adjustRightInd w:val="0"/>
        <w:spacing w:line="360" w:lineRule="auto"/>
        <w:rPr>
          <w:rFonts w:hAnsi="宋体" w:cs="Times New Roman"/>
          <w:color w:val="auto"/>
          <w:highlight w:val="none"/>
        </w:rPr>
      </w:pPr>
      <w:r>
        <w:rPr>
          <w:rFonts w:hint="eastAsia" w:hAnsi="宋体" w:cs="Times New Roman"/>
          <w:color w:val="auto"/>
          <w:highlight w:val="none"/>
        </w:rPr>
        <w:t xml:space="preserve">12.3 </w:t>
      </w:r>
      <w:r>
        <w:rPr>
          <w:rFonts w:hint="eastAsia" w:hAnsi="宋体"/>
          <w:color w:val="auto"/>
          <w:kern w:val="0"/>
          <w:highlight w:val="none"/>
        </w:rPr>
        <w:t>《明细报价表》</w:t>
      </w:r>
      <w:r>
        <w:rPr>
          <w:rFonts w:hint="eastAsia" w:hAnsi="宋体" w:cs="Times New Roman"/>
          <w:color w:val="auto"/>
          <w:highlight w:val="none"/>
        </w:rPr>
        <w:t>填写时应响应下列要求：</w:t>
      </w:r>
    </w:p>
    <w:p>
      <w:pPr>
        <w:autoSpaceDE w:val="0"/>
        <w:autoSpaceDN w:val="0"/>
        <w:adjustRightInd w:val="0"/>
        <w:spacing w:line="360" w:lineRule="auto"/>
        <w:ind w:left="831" w:leftChars="171" w:right="31" w:rightChars="15" w:hanging="472" w:hangingChars="225"/>
        <w:rPr>
          <w:rFonts w:ascii="宋体" w:hAnsi="宋体"/>
          <w:color w:val="auto"/>
          <w:kern w:val="0"/>
          <w:szCs w:val="21"/>
          <w:highlight w:val="none"/>
        </w:rPr>
      </w:pPr>
      <w:r>
        <w:rPr>
          <w:rFonts w:hint="eastAsia" w:ascii="宋体" w:hAnsi="宋体"/>
          <w:color w:val="auto"/>
          <w:kern w:val="0"/>
          <w:szCs w:val="21"/>
          <w:highlight w:val="none"/>
        </w:rPr>
        <w:t>(1) 对于报价免费的项目必须标明“免费”；</w:t>
      </w:r>
    </w:p>
    <w:p>
      <w:pPr>
        <w:autoSpaceDE w:val="0"/>
        <w:autoSpaceDN w:val="0"/>
        <w:adjustRightInd w:val="0"/>
        <w:spacing w:line="360" w:lineRule="auto"/>
        <w:ind w:left="831" w:leftChars="171" w:right="31" w:rightChars="15" w:hanging="472" w:hangingChars="225"/>
        <w:rPr>
          <w:rFonts w:ascii="宋体" w:hAnsi="宋体"/>
          <w:color w:val="auto"/>
          <w:kern w:val="0"/>
          <w:szCs w:val="21"/>
          <w:highlight w:val="none"/>
        </w:rPr>
      </w:pPr>
      <w:r>
        <w:rPr>
          <w:rFonts w:hint="eastAsia" w:ascii="宋体" w:hAnsi="宋体"/>
          <w:color w:val="auto"/>
          <w:kern w:val="0"/>
          <w:szCs w:val="21"/>
          <w:highlight w:val="none"/>
        </w:rPr>
        <w:t>(2) 所有根据合同或其它原因应由投标人支付的税款和其它应交纳的费用都要包括在投标人提交的投标价格中；</w:t>
      </w:r>
    </w:p>
    <w:p>
      <w:pPr>
        <w:autoSpaceDE w:val="0"/>
        <w:autoSpaceDN w:val="0"/>
        <w:adjustRightInd w:val="0"/>
        <w:spacing w:line="360" w:lineRule="auto"/>
        <w:ind w:left="831" w:leftChars="171" w:right="31" w:rightChars="15" w:hanging="472" w:hangingChars="225"/>
        <w:rPr>
          <w:rFonts w:ascii="宋体" w:hAnsi="宋体"/>
          <w:color w:val="auto"/>
          <w:kern w:val="0"/>
          <w:szCs w:val="21"/>
          <w:highlight w:val="none"/>
        </w:rPr>
      </w:pPr>
      <w:r>
        <w:rPr>
          <w:rFonts w:hint="eastAsia" w:ascii="宋体" w:hAnsi="宋体"/>
          <w:color w:val="auto"/>
          <w:kern w:val="0"/>
          <w:szCs w:val="21"/>
          <w:highlight w:val="none"/>
        </w:rPr>
        <w:t>(3) 应包含货物运至最终目的地的运输、保险和伴随货物服务的其他所有费用。</w:t>
      </w:r>
    </w:p>
    <w:p>
      <w:pPr>
        <w:pStyle w:val="32"/>
        <w:adjustRightInd w:val="0"/>
        <w:spacing w:line="360" w:lineRule="auto"/>
        <w:ind w:left="420" w:hanging="420"/>
        <w:rPr>
          <w:rFonts w:hAnsi="宋体"/>
          <w:color w:val="auto"/>
          <w:kern w:val="0"/>
          <w:highlight w:val="none"/>
        </w:rPr>
      </w:pPr>
      <w:r>
        <w:rPr>
          <w:rFonts w:hint="eastAsia" w:hAnsi="宋体" w:cs="Times New Roman"/>
          <w:color w:val="auto"/>
          <w:highlight w:val="none"/>
        </w:rPr>
        <w:t xml:space="preserve">12.4 </w:t>
      </w:r>
      <w:r>
        <w:rPr>
          <w:rFonts w:hint="eastAsia" w:hAnsi="宋体"/>
          <w:color w:val="auto"/>
          <w:kern w:val="0"/>
          <w:highlight w:val="none"/>
        </w:rPr>
        <w:t>投标文件的报价只允许有一个报价，否则将被视为无效投标。</w:t>
      </w:r>
    </w:p>
    <w:p>
      <w:pPr>
        <w:pStyle w:val="32"/>
        <w:adjustRightInd w:val="0"/>
        <w:spacing w:line="360" w:lineRule="auto"/>
        <w:ind w:left="420" w:hanging="420"/>
        <w:rPr>
          <w:rFonts w:hAnsi="宋体"/>
          <w:b/>
          <w:color w:val="auto"/>
          <w:kern w:val="0"/>
          <w:highlight w:val="none"/>
          <w:u w:val="single"/>
        </w:rPr>
      </w:pPr>
      <w:r>
        <w:rPr>
          <w:rFonts w:hint="eastAsia" w:hAnsi="宋体" w:cs="Times New Roman"/>
          <w:color w:val="auto"/>
          <w:highlight w:val="none"/>
        </w:rPr>
        <w:t>12</w:t>
      </w:r>
      <w:r>
        <w:rPr>
          <w:rFonts w:hint="eastAsia" w:hAnsi="宋体"/>
          <w:bCs/>
          <w:color w:val="auto"/>
          <w:kern w:val="0"/>
          <w:highlight w:val="none"/>
        </w:rPr>
        <w:t>.5</w:t>
      </w:r>
      <w:r>
        <w:rPr>
          <w:rFonts w:hint="eastAsia" w:hAnsi="宋体"/>
          <w:b/>
          <w:color w:val="auto"/>
          <w:kern w:val="0"/>
          <w:highlight w:val="none"/>
        </w:rPr>
        <w:t xml:space="preserve"> </w:t>
      </w:r>
      <w:r>
        <w:rPr>
          <w:rFonts w:hint="eastAsia" w:hAnsi="宋体"/>
          <w:color w:val="auto"/>
          <w:kern w:val="0"/>
          <w:highlight w:val="none"/>
        </w:rPr>
        <w:t>超过采购预算（最高限价）的报价将被视为无效投标。</w:t>
      </w:r>
    </w:p>
    <w:p>
      <w:pPr>
        <w:pStyle w:val="32"/>
        <w:adjustRightInd w:val="0"/>
        <w:spacing w:line="360" w:lineRule="auto"/>
        <w:rPr>
          <w:rFonts w:hAnsi="宋体" w:cs="Times New Roman"/>
          <w:color w:val="auto"/>
          <w:highlight w:val="none"/>
        </w:rPr>
      </w:pPr>
      <w:r>
        <w:rPr>
          <w:rFonts w:hint="eastAsia" w:hAnsi="宋体" w:cs="Times New Roman"/>
          <w:color w:val="auto"/>
          <w:highlight w:val="none"/>
        </w:rPr>
        <w:t>13. 备选方案</w:t>
      </w:r>
    </w:p>
    <w:p>
      <w:pPr>
        <w:pStyle w:val="32"/>
        <w:adjustRightInd w:val="0"/>
        <w:spacing w:line="360" w:lineRule="auto"/>
        <w:rPr>
          <w:rFonts w:hAnsi="宋体" w:cs="Times New Roman"/>
          <w:color w:val="auto"/>
          <w:highlight w:val="none"/>
        </w:rPr>
      </w:pPr>
      <w:r>
        <w:rPr>
          <w:rFonts w:hint="eastAsia" w:hAnsi="宋体" w:cs="Times New Roman"/>
          <w:color w:val="auto"/>
          <w:highlight w:val="none"/>
        </w:rPr>
        <w:t>13.1只允许投标人有一个投标方案，否则将被视为无效投标。《投标须知前附表》本条款允许有备选</w:t>
      </w:r>
      <w:r>
        <w:rPr>
          <w:rFonts w:hint="eastAsia" w:hAnsi="宋体" w:cs="Times New Roman"/>
          <w:color w:val="auto"/>
          <w:highlight w:val="none"/>
        </w:rPr>
        <w:tab/>
      </w:r>
      <w:r>
        <w:rPr>
          <w:rFonts w:hint="eastAsia" w:hAnsi="宋体" w:cs="Times New Roman"/>
          <w:color w:val="auto"/>
          <w:highlight w:val="none"/>
        </w:rPr>
        <w:t>方案的除外。</w:t>
      </w:r>
    </w:p>
    <w:p>
      <w:pPr>
        <w:pStyle w:val="32"/>
        <w:numPr>
          <w:ilvl w:val="0"/>
          <w:numId w:val="3"/>
        </w:numPr>
        <w:adjustRightInd w:val="0"/>
        <w:spacing w:line="360" w:lineRule="auto"/>
        <w:rPr>
          <w:rFonts w:hAnsi="宋体" w:cs="Times New Roman"/>
          <w:color w:val="auto"/>
          <w:highlight w:val="none"/>
        </w:rPr>
      </w:pPr>
      <w:r>
        <w:rPr>
          <w:rFonts w:hint="eastAsia" w:hAnsi="宋体"/>
          <w:color w:val="auto"/>
          <w:highlight w:val="none"/>
          <w:lang w:val="zh-CN"/>
        </w:rPr>
        <w:t>供应商资格</w:t>
      </w:r>
      <w:r>
        <w:rPr>
          <w:rFonts w:hint="eastAsia" w:hAnsi="宋体" w:cs="Times New Roman"/>
          <w:color w:val="auto"/>
          <w:highlight w:val="none"/>
        </w:rPr>
        <w:t>证明文件</w:t>
      </w:r>
    </w:p>
    <w:p>
      <w:pPr>
        <w:pStyle w:val="32"/>
        <w:adjustRightInd w:val="0"/>
        <w:spacing w:line="360" w:lineRule="auto"/>
        <w:rPr>
          <w:rFonts w:hAnsi="宋体" w:cs="Times New Roman"/>
          <w:color w:val="auto"/>
          <w:highlight w:val="none"/>
        </w:rPr>
      </w:pPr>
      <w:r>
        <w:rPr>
          <w:rFonts w:hAnsi="宋体" w:cs="Times New Roman"/>
          <w:color w:val="auto"/>
          <w:highlight w:val="none"/>
        </w:rPr>
        <w:t>1</w:t>
      </w:r>
      <w:r>
        <w:rPr>
          <w:rFonts w:hint="eastAsia" w:hAnsi="宋体" w:cs="Times New Roman"/>
          <w:color w:val="auto"/>
          <w:highlight w:val="none"/>
        </w:rPr>
        <w:t>4</w:t>
      </w:r>
      <w:r>
        <w:rPr>
          <w:rFonts w:hAnsi="宋体" w:cs="Times New Roman"/>
          <w:color w:val="auto"/>
          <w:highlight w:val="none"/>
        </w:rPr>
        <w:t>.1</w:t>
      </w:r>
      <w:r>
        <w:rPr>
          <w:rFonts w:hint="eastAsia" w:hAnsi="宋体" w:cs="Times New Roman"/>
          <w:color w:val="auto"/>
          <w:highlight w:val="none"/>
        </w:rPr>
        <w:t xml:space="preserve"> 投标人应按招标文件的要求，提交证明其有资格参加投标和中标后有履行合同能力的文件，并作为其投标文件的组成部分。</w:t>
      </w:r>
    </w:p>
    <w:p>
      <w:pPr>
        <w:pStyle w:val="32"/>
        <w:adjustRightInd w:val="0"/>
        <w:spacing w:line="360" w:lineRule="auto"/>
        <w:rPr>
          <w:rFonts w:hAnsi="宋体" w:cs="Times New Roman"/>
          <w:color w:val="auto"/>
          <w:highlight w:val="none"/>
        </w:rPr>
      </w:pPr>
      <w:r>
        <w:rPr>
          <w:rFonts w:hint="eastAsia" w:hAnsi="宋体" w:cs="Times New Roman"/>
          <w:color w:val="auto"/>
          <w:highlight w:val="none"/>
        </w:rPr>
        <w:t>14.2 资格证明文件必须真实有效，复印件必须加盖单位印章。</w:t>
      </w:r>
    </w:p>
    <w:p>
      <w:pPr>
        <w:autoSpaceDE w:val="0"/>
        <w:autoSpaceDN w:val="0"/>
        <w:adjustRightInd w:val="0"/>
        <w:spacing w:line="360" w:lineRule="auto"/>
        <w:ind w:left="473" w:right="32" w:hanging="472" w:hangingChars="225"/>
        <w:rPr>
          <w:rFonts w:ascii="宋体" w:hAnsi="宋体"/>
          <w:color w:val="auto"/>
          <w:kern w:val="0"/>
          <w:szCs w:val="21"/>
          <w:highlight w:val="none"/>
        </w:rPr>
      </w:pPr>
      <w:r>
        <w:rPr>
          <w:rFonts w:hint="eastAsia" w:ascii="宋体" w:hAnsi="宋体"/>
          <w:color w:val="auto"/>
          <w:kern w:val="0"/>
          <w:szCs w:val="21"/>
          <w:highlight w:val="none"/>
        </w:rPr>
        <w:t>15. 投标保证金（本项目不适用）</w:t>
      </w:r>
    </w:p>
    <w:p>
      <w:pPr>
        <w:adjustRightInd w:val="0"/>
        <w:spacing w:line="360" w:lineRule="auto"/>
        <w:ind w:left="420" w:hanging="420"/>
        <w:rPr>
          <w:rFonts w:ascii="宋体" w:hAnsi="宋体"/>
          <w:color w:val="auto"/>
          <w:kern w:val="0"/>
          <w:szCs w:val="21"/>
          <w:highlight w:val="none"/>
        </w:rPr>
      </w:pPr>
      <w:r>
        <w:rPr>
          <w:rFonts w:hint="eastAsia" w:ascii="宋体" w:hAnsi="宋体"/>
          <w:color w:val="auto"/>
          <w:kern w:val="0"/>
          <w:szCs w:val="21"/>
          <w:highlight w:val="none"/>
        </w:rPr>
        <w:t>15.1 投标人应按招标文件规定的金额和期限交纳投标保证金，投标保证金作为投标文件的组成部分。</w:t>
      </w:r>
    </w:p>
    <w:p>
      <w:pPr>
        <w:adjustRightInd w:val="0"/>
        <w:spacing w:line="360" w:lineRule="auto"/>
        <w:ind w:left="420" w:hanging="420"/>
        <w:rPr>
          <w:rFonts w:ascii="宋体" w:hAnsi="宋体"/>
          <w:color w:val="auto"/>
          <w:kern w:val="0"/>
          <w:szCs w:val="21"/>
          <w:highlight w:val="none"/>
        </w:rPr>
      </w:pPr>
      <w:r>
        <w:rPr>
          <w:rFonts w:hint="eastAsia" w:ascii="宋体" w:hAnsi="宋体"/>
          <w:color w:val="auto"/>
          <w:kern w:val="0"/>
          <w:szCs w:val="21"/>
          <w:highlight w:val="none"/>
        </w:rPr>
        <w:t>15.2 投标保证金金额、交纳形式、交纳时间及投标保证金账户，详见《投标须知前附表》。</w:t>
      </w:r>
    </w:p>
    <w:p>
      <w:pPr>
        <w:adjustRightInd w:val="0"/>
        <w:spacing w:line="360" w:lineRule="auto"/>
        <w:ind w:left="420" w:hanging="420"/>
        <w:rPr>
          <w:rFonts w:ascii="宋体" w:hAnsi="宋体"/>
          <w:color w:val="auto"/>
          <w:kern w:val="0"/>
          <w:szCs w:val="21"/>
          <w:highlight w:val="none"/>
        </w:rPr>
      </w:pPr>
      <w:r>
        <w:rPr>
          <w:rFonts w:hint="eastAsia" w:ascii="宋体" w:hAnsi="宋体"/>
          <w:color w:val="auto"/>
          <w:kern w:val="0"/>
          <w:szCs w:val="21"/>
          <w:highlight w:val="none"/>
        </w:rPr>
        <w:t>15.3 凡未按规定交纳投标保证金的投标，为无效投标。</w:t>
      </w:r>
    </w:p>
    <w:p>
      <w:pPr>
        <w:adjustRightInd w:val="0"/>
        <w:spacing w:line="360" w:lineRule="auto"/>
        <w:ind w:left="473" w:hanging="472" w:hangingChars="225"/>
        <w:rPr>
          <w:rFonts w:ascii="宋体" w:hAnsi="宋体"/>
          <w:color w:val="auto"/>
          <w:szCs w:val="21"/>
          <w:highlight w:val="none"/>
        </w:rPr>
      </w:pPr>
      <w:r>
        <w:rPr>
          <w:rFonts w:hint="eastAsia" w:ascii="宋体" w:hAnsi="宋体"/>
          <w:color w:val="auto"/>
          <w:kern w:val="0"/>
          <w:szCs w:val="21"/>
          <w:highlight w:val="none"/>
        </w:rPr>
        <w:t>15</w:t>
      </w:r>
      <w:r>
        <w:rPr>
          <w:rFonts w:hint="eastAsia" w:ascii="宋体" w:hAnsi="宋体"/>
          <w:color w:val="auto"/>
          <w:szCs w:val="21"/>
          <w:highlight w:val="none"/>
        </w:rPr>
        <w:t>.4 采购人或者采购代理机构应当自中标通知书发出之日起5个工作日内</w:t>
      </w:r>
      <w:r>
        <w:rPr>
          <w:rFonts w:hint="eastAsia" w:ascii="宋体" w:hAnsi="宋体" w:cs="宋体"/>
          <w:color w:val="auto"/>
          <w:szCs w:val="21"/>
          <w:highlight w:val="none"/>
        </w:rPr>
        <w:t>（</w:t>
      </w:r>
      <w:r>
        <w:rPr>
          <w:rFonts w:hint="eastAsia" w:ascii="宋体" w:hAnsi="宋体" w:cs="宋体"/>
          <w:color w:val="auto"/>
          <w:szCs w:val="21"/>
          <w:highlight w:val="none"/>
          <w:lang w:eastAsia="zh-TW"/>
        </w:rPr>
        <w:t>但因投标人自身原因导致无法及时退还的除外</w:t>
      </w:r>
      <w:r>
        <w:rPr>
          <w:rFonts w:hint="eastAsia" w:ascii="宋体" w:hAnsi="宋体" w:cs="宋体"/>
          <w:color w:val="auto"/>
          <w:szCs w:val="21"/>
          <w:highlight w:val="none"/>
        </w:rPr>
        <w:t>）</w:t>
      </w:r>
      <w:r>
        <w:rPr>
          <w:rFonts w:hint="eastAsia" w:ascii="宋体" w:hAnsi="宋体"/>
          <w:color w:val="auto"/>
          <w:szCs w:val="21"/>
          <w:highlight w:val="none"/>
        </w:rPr>
        <w:t>退还未中标人的投标保证金。</w:t>
      </w:r>
    </w:p>
    <w:p>
      <w:pPr>
        <w:adjustRightInd w:val="0"/>
        <w:spacing w:line="360" w:lineRule="auto"/>
        <w:ind w:left="473" w:right="31" w:rightChars="15" w:hanging="472" w:hangingChars="225"/>
        <w:rPr>
          <w:rFonts w:ascii="宋体" w:hAnsi="宋体"/>
          <w:color w:val="auto"/>
          <w:szCs w:val="21"/>
          <w:highlight w:val="none"/>
        </w:rPr>
      </w:pPr>
      <w:r>
        <w:rPr>
          <w:rFonts w:hint="eastAsia" w:ascii="宋体" w:hAnsi="宋体"/>
          <w:color w:val="auto"/>
          <w:kern w:val="0"/>
          <w:szCs w:val="21"/>
          <w:highlight w:val="none"/>
        </w:rPr>
        <w:t>15</w:t>
      </w:r>
      <w:r>
        <w:rPr>
          <w:rFonts w:hint="eastAsia" w:ascii="宋体" w:hAnsi="宋体"/>
          <w:color w:val="auto"/>
          <w:szCs w:val="21"/>
          <w:highlight w:val="none"/>
        </w:rPr>
        <w:t>.5 采购人或者采购代理机构应当自采购合同签订之日起5个工作日内</w:t>
      </w:r>
      <w:r>
        <w:rPr>
          <w:rFonts w:hint="eastAsia" w:ascii="宋体" w:hAnsi="宋体" w:cs="宋体"/>
          <w:color w:val="auto"/>
          <w:szCs w:val="21"/>
          <w:highlight w:val="none"/>
        </w:rPr>
        <w:t>（</w:t>
      </w:r>
      <w:r>
        <w:rPr>
          <w:rFonts w:hint="eastAsia" w:ascii="宋体" w:hAnsi="宋体" w:cs="宋体"/>
          <w:color w:val="auto"/>
          <w:szCs w:val="21"/>
          <w:highlight w:val="none"/>
          <w:lang w:eastAsia="zh-TW"/>
        </w:rPr>
        <w:t>但因投标人自身原因导致无法及时退还的除外</w:t>
      </w:r>
      <w:r>
        <w:rPr>
          <w:rFonts w:hint="eastAsia" w:ascii="宋体" w:hAnsi="宋体" w:cs="宋体"/>
          <w:color w:val="auto"/>
          <w:szCs w:val="21"/>
          <w:highlight w:val="none"/>
        </w:rPr>
        <w:t>）</w:t>
      </w:r>
      <w:r>
        <w:rPr>
          <w:rFonts w:hint="eastAsia" w:ascii="宋体" w:hAnsi="宋体"/>
          <w:color w:val="auto"/>
          <w:szCs w:val="21"/>
          <w:highlight w:val="none"/>
        </w:rPr>
        <w:t>退还中标人的投标保证金或者转为中标人的履约保证金</w:t>
      </w:r>
      <w:r>
        <w:rPr>
          <w:rFonts w:hint="eastAsia" w:ascii="宋体" w:hAnsi="宋体" w:cs="宋体"/>
          <w:color w:val="auto"/>
          <w:szCs w:val="21"/>
          <w:highlight w:val="none"/>
        </w:rPr>
        <w:t>（中标人应在与采购人签订采购合同后两个工作日内交</w:t>
      </w:r>
      <w:r>
        <w:rPr>
          <w:rFonts w:ascii="宋体" w:hAnsi="宋体"/>
          <w:color w:val="auto"/>
          <w:szCs w:val="21"/>
          <w:highlight w:val="none"/>
        </w:rPr>
        <w:t>采购代理机构</w:t>
      </w:r>
      <w:r>
        <w:rPr>
          <w:rFonts w:hint="eastAsia" w:ascii="宋体" w:hAnsi="宋体"/>
          <w:color w:val="auto"/>
          <w:szCs w:val="21"/>
          <w:highlight w:val="none"/>
        </w:rPr>
        <w:t>备案</w:t>
      </w:r>
      <w:r>
        <w:rPr>
          <w:rFonts w:hint="eastAsia" w:ascii="宋体" w:hAnsi="宋体" w:cs="宋体"/>
          <w:color w:val="auto"/>
          <w:szCs w:val="21"/>
          <w:highlight w:val="none"/>
        </w:rPr>
        <w:t>）</w:t>
      </w:r>
      <w:r>
        <w:rPr>
          <w:rFonts w:hint="eastAsia" w:ascii="宋体" w:hAnsi="宋体"/>
          <w:color w:val="auto"/>
          <w:szCs w:val="21"/>
          <w:highlight w:val="none"/>
        </w:rPr>
        <w:t>。</w:t>
      </w:r>
    </w:p>
    <w:p>
      <w:pPr>
        <w:tabs>
          <w:tab w:val="left" w:pos="8280"/>
        </w:tabs>
        <w:autoSpaceDE w:val="0"/>
        <w:autoSpaceDN w:val="0"/>
        <w:adjustRightInd w:val="0"/>
        <w:spacing w:line="360" w:lineRule="auto"/>
        <w:ind w:left="420" w:right="32" w:hanging="420" w:hangingChars="200"/>
        <w:rPr>
          <w:rFonts w:ascii="宋体" w:hAnsi="宋体"/>
          <w:color w:val="auto"/>
          <w:kern w:val="0"/>
          <w:szCs w:val="21"/>
          <w:highlight w:val="none"/>
        </w:rPr>
      </w:pPr>
      <w:r>
        <w:rPr>
          <w:rFonts w:hint="eastAsia" w:ascii="宋体" w:hAnsi="宋体"/>
          <w:color w:val="auto"/>
          <w:kern w:val="0"/>
          <w:szCs w:val="21"/>
          <w:highlight w:val="none"/>
        </w:rPr>
        <w:t>15.6 投标有效期内投标人撤销投标文件的，采购人或者采购代理机构可以不退还投标保证金。</w:t>
      </w:r>
    </w:p>
    <w:p>
      <w:pPr>
        <w:tabs>
          <w:tab w:val="left" w:pos="8280"/>
        </w:tabs>
        <w:autoSpaceDE w:val="0"/>
        <w:autoSpaceDN w:val="0"/>
        <w:adjustRightInd w:val="0"/>
        <w:spacing w:line="360" w:lineRule="auto"/>
        <w:ind w:left="420" w:right="32" w:hanging="420" w:hangingChars="200"/>
        <w:rPr>
          <w:rFonts w:ascii="宋体" w:hAnsi="宋体"/>
          <w:color w:val="auto"/>
          <w:szCs w:val="21"/>
          <w:highlight w:val="none"/>
        </w:rPr>
      </w:pPr>
      <w:r>
        <w:rPr>
          <w:rFonts w:hint="eastAsia" w:ascii="宋体" w:hAnsi="宋体"/>
          <w:color w:val="auto"/>
          <w:szCs w:val="21"/>
          <w:highlight w:val="none"/>
        </w:rPr>
        <w:t xml:space="preserve">16. </w:t>
      </w:r>
      <w:r>
        <w:rPr>
          <w:rFonts w:hint="eastAsia" w:ascii="宋体" w:hAnsi="宋体"/>
          <w:color w:val="auto"/>
          <w:kern w:val="0"/>
          <w:szCs w:val="21"/>
          <w:highlight w:val="none"/>
        </w:rPr>
        <w:t>投标有效期</w:t>
      </w:r>
    </w:p>
    <w:p>
      <w:pPr>
        <w:tabs>
          <w:tab w:val="left" w:pos="8280"/>
        </w:tabs>
        <w:autoSpaceDE w:val="0"/>
        <w:autoSpaceDN w:val="0"/>
        <w:adjustRightInd w:val="0"/>
        <w:spacing w:line="360" w:lineRule="auto"/>
        <w:ind w:right="32"/>
        <w:rPr>
          <w:rFonts w:ascii="宋体" w:hAnsi="宋体"/>
          <w:color w:val="auto"/>
          <w:kern w:val="0"/>
          <w:szCs w:val="21"/>
          <w:highlight w:val="none"/>
        </w:rPr>
      </w:pPr>
      <w:r>
        <w:rPr>
          <w:rFonts w:hint="eastAsia" w:ascii="宋体" w:hAnsi="宋体"/>
          <w:color w:val="auto"/>
          <w:kern w:val="0"/>
          <w:szCs w:val="21"/>
          <w:highlight w:val="none"/>
        </w:rPr>
        <w:t>16.1 投标有效期为从投标截止日起</w:t>
      </w:r>
      <w:r>
        <w:rPr>
          <w:rFonts w:hint="eastAsia" w:ascii="宋体" w:hAnsi="宋体"/>
          <w:color w:val="auto"/>
          <w:kern w:val="0"/>
          <w:szCs w:val="21"/>
          <w:highlight w:val="none"/>
          <w:u w:val="single"/>
        </w:rPr>
        <w:t xml:space="preserve"> </w:t>
      </w:r>
      <w:r>
        <w:rPr>
          <w:rFonts w:hint="eastAsia" w:ascii="宋体" w:hAnsi="宋体"/>
          <w:b/>
          <w:bCs/>
          <w:color w:val="auto"/>
          <w:kern w:val="0"/>
          <w:szCs w:val="21"/>
          <w:highlight w:val="none"/>
          <w:u w:val="single"/>
        </w:rPr>
        <w:t xml:space="preserve">90 </w:t>
      </w:r>
      <w:r>
        <w:rPr>
          <w:rFonts w:hint="eastAsia" w:ascii="宋体" w:hAnsi="宋体"/>
          <w:b/>
          <w:bCs/>
          <w:color w:val="auto"/>
          <w:kern w:val="0"/>
          <w:szCs w:val="21"/>
          <w:highlight w:val="none"/>
        </w:rPr>
        <w:t>天</w:t>
      </w:r>
      <w:r>
        <w:rPr>
          <w:rFonts w:hint="eastAsia" w:ascii="宋体" w:hAnsi="宋体"/>
          <w:color w:val="auto"/>
          <w:kern w:val="0"/>
          <w:szCs w:val="21"/>
          <w:highlight w:val="none"/>
        </w:rPr>
        <w:t>。</w:t>
      </w:r>
    </w:p>
    <w:p>
      <w:pPr>
        <w:autoSpaceDE w:val="0"/>
        <w:autoSpaceDN w:val="0"/>
        <w:adjustRightInd w:val="0"/>
        <w:spacing w:line="360" w:lineRule="auto"/>
        <w:ind w:left="420" w:right="32" w:hanging="420" w:hangingChars="200"/>
        <w:rPr>
          <w:rFonts w:ascii="宋体" w:hAnsi="宋体"/>
          <w:color w:val="auto"/>
          <w:szCs w:val="21"/>
          <w:highlight w:val="none"/>
        </w:rPr>
      </w:pPr>
      <w:r>
        <w:rPr>
          <w:rFonts w:hint="eastAsia" w:ascii="宋体" w:hAnsi="宋体"/>
          <w:color w:val="auto"/>
          <w:szCs w:val="21"/>
          <w:highlight w:val="none"/>
        </w:rPr>
        <w:t>17. 投标文件的数量和签署</w:t>
      </w:r>
    </w:p>
    <w:p>
      <w:pPr>
        <w:autoSpaceDE w:val="0"/>
        <w:autoSpaceDN w:val="0"/>
        <w:adjustRightInd w:val="0"/>
        <w:spacing w:line="360" w:lineRule="auto"/>
        <w:ind w:left="473" w:right="32" w:hanging="472" w:hangingChars="225"/>
        <w:rPr>
          <w:rFonts w:ascii="宋体" w:hAnsi="宋体"/>
          <w:color w:val="auto"/>
          <w:kern w:val="0"/>
          <w:szCs w:val="21"/>
          <w:highlight w:val="none"/>
        </w:rPr>
      </w:pPr>
      <w:r>
        <w:rPr>
          <w:rFonts w:hint="eastAsia" w:ascii="宋体" w:hAnsi="宋体"/>
          <w:color w:val="auto"/>
          <w:kern w:val="0"/>
          <w:szCs w:val="21"/>
          <w:highlight w:val="none"/>
        </w:rPr>
        <w:t>17.1 投标人应编制投标文件份数详见《投标须知前附表》，投标文件的副本可采用正本的复印件。每套投标文件须清楚地标明“正本”、“副本”。若副本与正本不符，以正本为准。</w:t>
      </w:r>
    </w:p>
    <w:p>
      <w:pPr>
        <w:autoSpaceDE w:val="0"/>
        <w:autoSpaceDN w:val="0"/>
        <w:adjustRightInd w:val="0"/>
        <w:spacing w:line="360" w:lineRule="auto"/>
        <w:ind w:left="473" w:right="32" w:hanging="472" w:hangingChars="225"/>
        <w:rPr>
          <w:rFonts w:ascii="宋体" w:hAnsi="宋体"/>
          <w:color w:val="auto"/>
          <w:kern w:val="0"/>
          <w:szCs w:val="21"/>
          <w:highlight w:val="none"/>
        </w:rPr>
      </w:pPr>
      <w:r>
        <w:rPr>
          <w:rFonts w:hint="eastAsia" w:ascii="宋体" w:hAnsi="宋体"/>
          <w:color w:val="auto"/>
          <w:kern w:val="0"/>
          <w:szCs w:val="21"/>
          <w:highlight w:val="none"/>
        </w:rPr>
        <w:t>17.2 投标文件的正本需打印或用不褪色墨水书写，并由法定代表人（或经其正式授权的代表）签字或盖私章。授权代表须出具书面授权证明，其《法定代表人授权委托书》应附在投标文件中。</w:t>
      </w:r>
    </w:p>
    <w:p>
      <w:pPr>
        <w:pStyle w:val="32"/>
        <w:adjustRightInd w:val="0"/>
        <w:spacing w:line="360" w:lineRule="auto"/>
        <w:ind w:left="473" w:hanging="472" w:hangingChars="225"/>
        <w:rPr>
          <w:rFonts w:hAnsi="宋体" w:cs="Times New Roman"/>
          <w:color w:val="auto"/>
          <w:kern w:val="0"/>
          <w:highlight w:val="none"/>
        </w:rPr>
      </w:pPr>
      <w:r>
        <w:rPr>
          <w:rFonts w:hint="eastAsia" w:hAnsi="宋体"/>
          <w:color w:val="auto"/>
          <w:kern w:val="0"/>
          <w:highlight w:val="none"/>
        </w:rPr>
        <w:t>17</w:t>
      </w:r>
      <w:r>
        <w:rPr>
          <w:rFonts w:hint="eastAsia" w:hAnsi="宋体" w:cs="Times New Roman"/>
          <w:color w:val="auto"/>
          <w:kern w:val="0"/>
          <w:highlight w:val="none"/>
        </w:rPr>
        <w:t>.3 投标文件中的任何重要的插字、涂改和增删，必须由法定代表人（或经其正式授权的代表）在旁边签章或签字才有效。</w:t>
      </w:r>
    </w:p>
    <w:p>
      <w:pPr>
        <w:pStyle w:val="32"/>
        <w:adjustRightInd w:val="0"/>
        <w:spacing w:line="360" w:lineRule="auto"/>
        <w:ind w:left="473" w:hanging="472" w:hangingChars="225"/>
        <w:rPr>
          <w:rFonts w:hAnsi="宋体" w:cs="Times New Roman"/>
          <w:color w:val="auto"/>
          <w:kern w:val="0"/>
          <w:highlight w:val="none"/>
        </w:rPr>
      </w:pPr>
      <w:r>
        <w:rPr>
          <w:rFonts w:hint="eastAsia" w:hAnsi="宋体" w:cs="Times New Roman"/>
          <w:color w:val="auto"/>
          <w:kern w:val="0"/>
          <w:highlight w:val="none"/>
        </w:rPr>
        <w:t>18.</w:t>
      </w:r>
      <w:r>
        <w:rPr>
          <w:rFonts w:hint="eastAsia" w:hAnsi="宋体"/>
          <w:color w:val="auto"/>
          <w:highlight w:val="none"/>
        </w:rPr>
        <w:t xml:space="preserve"> </w:t>
      </w:r>
      <w:r>
        <w:rPr>
          <w:rFonts w:hint="eastAsia" w:hAnsi="宋体" w:cs="Times New Roman"/>
          <w:color w:val="auto"/>
          <w:kern w:val="0"/>
          <w:highlight w:val="none"/>
        </w:rPr>
        <w:t>联合体投标</w:t>
      </w:r>
    </w:p>
    <w:p>
      <w:pPr>
        <w:pStyle w:val="32"/>
        <w:adjustRightInd w:val="0"/>
        <w:spacing w:line="360" w:lineRule="auto"/>
        <w:ind w:left="473" w:hanging="472" w:hangingChars="225"/>
        <w:rPr>
          <w:rFonts w:hAnsi="宋体" w:cs="Times New Roman"/>
          <w:color w:val="auto"/>
          <w:kern w:val="0"/>
          <w:highlight w:val="none"/>
        </w:rPr>
      </w:pPr>
      <w:r>
        <w:rPr>
          <w:rFonts w:hint="eastAsia" w:hAnsi="宋体" w:cs="Times New Roman"/>
          <w:color w:val="auto"/>
          <w:kern w:val="0"/>
          <w:highlight w:val="none"/>
        </w:rPr>
        <w:t>18.1 除非《第一部分 招标公告》中另有规定，不接受联合体投标。如果《第一部分 招标公告》中规定允许联合体投标的，则必须满足：</w:t>
      </w:r>
    </w:p>
    <w:p>
      <w:pPr>
        <w:pStyle w:val="32"/>
        <w:adjustRightInd w:val="0"/>
        <w:spacing w:line="360" w:lineRule="auto"/>
        <w:ind w:left="473"/>
        <w:rPr>
          <w:rFonts w:hAnsi="宋体" w:cs="Times New Roman"/>
          <w:color w:val="auto"/>
          <w:kern w:val="0"/>
          <w:highlight w:val="none"/>
        </w:rPr>
      </w:pPr>
      <w:r>
        <w:rPr>
          <w:rFonts w:hint="eastAsia" w:hAnsi="宋体" w:cs="Times New Roman"/>
          <w:color w:val="auto"/>
          <w:kern w:val="0"/>
          <w:highlight w:val="none"/>
        </w:rPr>
        <w:t>（1）以联合体形式进行政府采购的，参加联合体的供应商均应当具备</w:t>
      </w:r>
      <w:r>
        <w:rPr>
          <w:rFonts w:hint="eastAsia" w:hAnsi="宋体"/>
          <w:color w:val="auto"/>
          <w:highlight w:val="none"/>
        </w:rPr>
        <w:t>《中华人民共和国政府采购法》</w:t>
      </w:r>
      <w:r>
        <w:rPr>
          <w:rFonts w:hint="eastAsia" w:hAnsi="宋体" w:cs="Times New Roman"/>
          <w:color w:val="auto"/>
          <w:kern w:val="0"/>
          <w:highlight w:val="none"/>
        </w:rPr>
        <w:t>第二十二条规定的条件，并应当向采购人提交联合协议，载明联合体各方承担的工作和义务。联合体各方应当共同与采购人签订采购合同，就采购合同约定的事项对采购人承担连带责任。</w:t>
      </w:r>
    </w:p>
    <w:p>
      <w:pPr>
        <w:pStyle w:val="32"/>
        <w:adjustRightInd w:val="0"/>
        <w:spacing w:line="360" w:lineRule="auto"/>
        <w:ind w:firstLine="420"/>
        <w:rPr>
          <w:rFonts w:hAnsi="宋体" w:cs="Times New Roman"/>
          <w:color w:val="auto"/>
          <w:kern w:val="0"/>
          <w:highlight w:val="none"/>
        </w:rPr>
      </w:pPr>
      <w:r>
        <w:rPr>
          <w:rFonts w:hint="eastAsia" w:hAnsi="宋体" w:cs="Times New Roman"/>
          <w:color w:val="auto"/>
          <w:kern w:val="0"/>
          <w:highlight w:val="none"/>
        </w:rPr>
        <w:t>（2）联合体中有同类资质的供应商按照联合体分工承担相同工作的，应当按照资质等级较低的供</w:t>
      </w:r>
      <w:r>
        <w:rPr>
          <w:rFonts w:hint="eastAsia" w:hAnsi="宋体" w:cs="Times New Roman"/>
          <w:color w:val="auto"/>
          <w:kern w:val="0"/>
          <w:highlight w:val="none"/>
        </w:rPr>
        <w:tab/>
      </w:r>
      <w:r>
        <w:rPr>
          <w:rFonts w:hint="eastAsia" w:hAnsi="宋体" w:cs="Times New Roman"/>
          <w:color w:val="auto"/>
          <w:kern w:val="0"/>
          <w:highlight w:val="none"/>
        </w:rPr>
        <w:t>应商确定资质等级。</w:t>
      </w:r>
    </w:p>
    <w:p>
      <w:pPr>
        <w:pStyle w:val="32"/>
        <w:adjustRightInd w:val="0"/>
        <w:spacing w:line="360" w:lineRule="auto"/>
        <w:rPr>
          <w:rFonts w:hAnsi="宋体" w:cs="Times New Roman"/>
          <w:color w:val="auto"/>
          <w:kern w:val="0"/>
          <w:highlight w:val="none"/>
        </w:rPr>
      </w:pPr>
      <w:r>
        <w:rPr>
          <w:rFonts w:hint="eastAsia" w:hAnsi="宋体" w:cs="Times New Roman"/>
          <w:color w:val="auto"/>
          <w:kern w:val="0"/>
          <w:highlight w:val="none"/>
        </w:rPr>
        <w:t>18.2 以联合体形式参加政府采购活动的，联合体各方不得再单独参加或者与其他供应商另外组成联合体</w:t>
      </w:r>
      <w:r>
        <w:rPr>
          <w:rFonts w:hint="eastAsia" w:hAnsi="宋体" w:cs="Times New Roman"/>
          <w:color w:val="auto"/>
          <w:kern w:val="0"/>
          <w:highlight w:val="none"/>
        </w:rPr>
        <w:tab/>
      </w:r>
      <w:r>
        <w:rPr>
          <w:rFonts w:hint="eastAsia" w:hAnsi="宋体" w:cs="Times New Roman"/>
          <w:color w:val="auto"/>
          <w:kern w:val="0"/>
          <w:highlight w:val="none"/>
        </w:rPr>
        <w:t>参加同一合同项下的政府采购活动。</w:t>
      </w:r>
    </w:p>
    <w:p>
      <w:pPr>
        <w:pStyle w:val="32"/>
        <w:adjustRightInd w:val="0"/>
        <w:spacing w:line="360" w:lineRule="auto"/>
        <w:rPr>
          <w:rFonts w:hAnsi="宋体" w:cs="Times New Roman"/>
          <w:b/>
          <w:color w:val="auto"/>
          <w:highlight w:val="none"/>
        </w:rPr>
      </w:pPr>
    </w:p>
    <w:p>
      <w:pPr>
        <w:pStyle w:val="32"/>
        <w:adjustRightInd w:val="0"/>
        <w:spacing w:line="360" w:lineRule="auto"/>
        <w:outlineLvl w:val="1"/>
        <w:rPr>
          <w:rFonts w:hAnsi="宋体" w:cs="Times New Roman"/>
          <w:b/>
          <w:color w:val="auto"/>
          <w:highlight w:val="none"/>
        </w:rPr>
      </w:pPr>
      <w:bookmarkStart w:id="28" w:name="_Toc23091"/>
      <w:r>
        <w:rPr>
          <w:rFonts w:hint="eastAsia" w:hAnsi="宋体" w:cs="Times New Roman"/>
          <w:b/>
          <w:color w:val="auto"/>
          <w:highlight w:val="none"/>
        </w:rPr>
        <w:t>四、投标文件的递交</w:t>
      </w:r>
      <w:bookmarkEnd w:id="28"/>
    </w:p>
    <w:p>
      <w:pPr>
        <w:autoSpaceDE w:val="0"/>
        <w:autoSpaceDN w:val="0"/>
        <w:adjustRightInd w:val="0"/>
        <w:spacing w:line="360" w:lineRule="auto"/>
        <w:ind w:left="420" w:right="32" w:hanging="420" w:hangingChars="200"/>
        <w:rPr>
          <w:rFonts w:ascii="宋体" w:hAnsi="宋体"/>
          <w:color w:val="auto"/>
          <w:kern w:val="0"/>
          <w:szCs w:val="21"/>
          <w:highlight w:val="none"/>
        </w:rPr>
      </w:pPr>
      <w:r>
        <w:rPr>
          <w:rFonts w:hint="eastAsia" w:ascii="宋体" w:hAnsi="宋体"/>
          <w:color w:val="auto"/>
          <w:kern w:val="0"/>
          <w:szCs w:val="21"/>
          <w:highlight w:val="none"/>
        </w:rPr>
        <w:t>19. 投标文件的密封和标记</w:t>
      </w:r>
    </w:p>
    <w:p>
      <w:pPr>
        <w:autoSpaceDE w:val="0"/>
        <w:autoSpaceDN w:val="0"/>
        <w:adjustRightInd w:val="0"/>
        <w:spacing w:line="360" w:lineRule="auto"/>
        <w:ind w:left="473" w:right="32" w:hanging="472" w:hangingChars="225"/>
        <w:rPr>
          <w:rFonts w:ascii="宋体" w:hAnsi="宋体"/>
          <w:color w:val="auto"/>
          <w:kern w:val="0"/>
          <w:szCs w:val="21"/>
          <w:highlight w:val="none"/>
        </w:rPr>
      </w:pPr>
      <w:r>
        <w:rPr>
          <w:rFonts w:hint="eastAsia" w:ascii="宋体" w:hAnsi="宋体"/>
          <w:color w:val="auto"/>
          <w:kern w:val="0"/>
          <w:szCs w:val="21"/>
          <w:highlight w:val="none"/>
        </w:rPr>
        <w:t>19.1 投标人应将唱标信封单独密封包装，并在外包装上清晰标明“唱标信封”。投标文件正本和副本可以一起密封包装，分别详见《投标须知前附表》</w:t>
      </w:r>
    </w:p>
    <w:p>
      <w:pPr>
        <w:autoSpaceDE w:val="0"/>
        <w:autoSpaceDN w:val="0"/>
        <w:adjustRightInd w:val="0"/>
        <w:spacing w:line="360" w:lineRule="auto"/>
        <w:ind w:left="473" w:right="32" w:hanging="472" w:hangingChars="225"/>
        <w:rPr>
          <w:rFonts w:ascii="宋体" w:hAnsi="宋体"/>
          <w:color w:val="auto"/>
          <w:kern w:val="0"/>
          <w:szCs w:val="21"/>
          <w:highlight w:val="none"/>
        </w:rPr>
      </w:pPr>
      <w:r>
        <w:rPr>
          <w:rFonts w:hint="eastAsia" w:ascii="宋体" w:hAnsi="宋体"/>
          <w:color w:val="auto"/>
          <w:kern w:val="0"/>
          <w:szCs w:val="21"/>
          <w:highlight w:val="none"/>
        </w:rPr>
        <w:t>19.2 信封或外包装上应当注明项目名称、项目编号和“在</w:t>
      </w:r>
      <w:r>
        <w:rPr>
          <w:rFonts w:hint="eastAsia" w:ascii="宋体" w:hAnsi="宋体"/>
          <w:b/>
          <w:bCs/>
          <w:color w:val="auto"/>
          <w:kern w:val="0"/>
          <w:szCs w:val="21"/>
          <w:highlight w:val="none"/>
        </w:rPr>
        <w:t>（招标公告中规定的</w:t>
      </w:r>
      <w:r>
        <w:rPr>
          <w:rFonts w:hint="eastAsia" w:ascii="宋体" w:hAnsi="宋体"/>
          <w:b/>
          <w:bCs/>
          <w:iCs/>
          <w:color w:val="auto"/>
          <w:kern w:val="0"/>
          <w:szCs w:val="21"/>
          <w:highlight w:val="none"/>
        </w:rPr>
        <w:t>开标日期和时点）</w:t>
      </w:r>
      <w:r>
        <w:rPr>
          <w:rFonts w:hint="eastAsia" w:ascii="宋体" w:hAnsi="宋体"/>
          <w:color w:val="auto"/>
          <w:kern w:val="0"/>
          <w:szCs w:val="21"/>
          <w:highlight w:val="none"/>
        </w:rPr>
        <w:t>之前不得启封”的字样，</w:t>
      </w:r>
      <w:r>
        <w:rPr>
          <w:rFonts w:hint="eastAsia" w:ascii="宋体" w:hAnsi="宋体"/>
          <w:color w:val="auto"/>
          <w:szCs w:val="21"/>
          <w:highlight w:val="none"/>
        </w:rPr>
        <w:t>封口处加盖投标人印章</w:t>
      </w:r>
      <w:r>
        <w:rPr>
          <w:rFonts w:hint="eastAsia" w:ascii="宋体" w:hAnsi="宋体"/>
          <w:color w:val="auto"/>
          <w:kern w:val="0"/>
          <w:szCs w:val="21"/>
          <w:highlight w:val="none"/>
        </w:rPr>
        <w:t>。</w:t>
      </w:r>
    </w:p>
    <w:p>
      <w:pPr>
        <w:pStyle w:val="32"/>
        <w:adjustRightInd w:val="0"/>
        <w:spacing w:line="360" w:lineRule="auto"/>
        <w:ind w:right="32"/>
        <w:rPr>
          <w:rFonts w:hAnsi="宋体" w:cs="Times New Roman"/>
          <w:color w:val="auto"/>
          <w:kern w:val="0"/>
          <w:highlight w:val="none"/>
        </w:rPr>
      </w:pPr>
      <w:r>
        <w:rPr>
          <w:rFonts w:hint="eastAsia" w:hAnsi="宋体" w:cs="Times New Roman"/>
          <w:color w:val="auto"/>
          <w:kern w:val="0"/>
          <w:highlight w:val="none"/>
        </w:rPr>
        <w:t>20. 投标文件的递交</w:t>
      </w:r>
    </w:p>
    <w:p>
      <w:pPr>
        <w:pStyle w:val="32"/>
        <w:adjustRightInd w:val="0"/>
        <w:spacing w:line="360" w:lineRule="auto"/>
        <w:ind w:right="32"/>
        <w:rPr>
          <w:rFonts w:hAnsi="宋体" w:cs="Times New Roman"/>
          <w:color w:val="auto"/>
          <w:kern w:val="0"/>
          <w:highlight w:val="none"/>
        </w:rPr>
      </w:pPr>
      <w:r>
        <w:rPr>
          <w:rFonts w:hint="eastAsia" w:hAnsi="宋体" w:cs="Times New Roman"/>
          <w:color w:val="auto"/>
          <w:kern w:val="0"/>
          <w:highlight w:val="none"/>
        </w:rPr>
        <w:t>20.1 投标人应当在招标文件要求提交投标文件的截止时间前，将投标文件密封送达投标地点。采购人</w:t>
      </w:r>
      <w:r>
        <w:rPr>
          <w:rFonts w:hint="eastAsia" w:hAnsi="宋体" w:cs="Times New Roman"/>
          <w:color w:val="auto"/>
          <w:kern w:val="0"/>
          <w:highlight w:val="none"/>
        </w:rPr>
        <w:tab/>
      </w:r>
      <w:r>
        <w:rPr>
          <w:rFonts w:hint="eastAsia" w:hAnsi="宋体" w:cs="Times New Roman"/>
          <w:color w:val="auto"/>
          <w:kern w:val="0"/>
          <w:highlight w:val="none"/>
        </w:rPr>
        <w:t>或者采购代理机构收到投标文件后，应当如实记载投标文件的送达时间和密封情况，签收保存，</w:t>
      </w:r>
      <w:r>
        <w:rPr>
          <w:rFonts w:hint="eastAsia" w:hAnsi="宋体" w:cs="Times New Roman"/>
          <w:color w:val="auto"/>
          <w:kern w:val="0"/>
          <w:highlight w:val="none"/>
        </w:rPr>
        <w:tab/>
      </w:r>
      <w:r>
        <w:rPr>
          <w:rFonts w:hint="eastAsia" w:hAnsi="宋体" w:cs="Times New Roman"/>
          <w:color w:val="auto"/>
          <w:kern w:val="0"/>
          <w:highlight w:val="none"/>
        </w:rPr>
        <w:t>并向投标人出具签收回执。任何单位和个人不得在开标前开启投标文件。</w:t>
      </w:r>
    </w:p>
    <w:p>
      <w:pPr>
        <w:pStyle w:val="32"/>
        <w:adjustRightInd w:val="0"/>
        <w:spacing w:line="360" w:lineRule="auto"/>
        <w:ind w:right="32"/>
        <w:rPr>
          <w:rFonts w:hAnsi="宋体" w:cs="Times New Roman"/>
          <w:color w:val="auto"/>
          <w:kern w:val="0"/>
          <w:highlight w:val="none"/>
        </w:rPr>
      </w:pPr>
      <w:r>
        <w:rPr>
          <w:rFonts w:hint="eastAsia" w:hAnsi="宋体" w:cs="Times New Roman"/>
          <w:color w:val="auto"/>
          <w:kern w:val="0"/>
          <w:highlight w:val="none"/>
        </w:rPr>
        <w:t>20.2 逾期送达或者未按照招标文件要求密封的投标文件，采购人、采购代理机构应当拒收。</w:t>
      </w:r>
    </w:p>
    <w:p>
      <w:pPr>
        <w:pStyle w:val="32"/>
        <w:adjustRightInd w:val="0"/>
        <w:spacing w:line="360" w:lineRule="auto"/>
        <w:ind w:right="32"/>
        <w:rPr>
          <w:rFonts w:hAnsi="宋体" w:cs="Times New Roman"/>
          <w:color w:val="auto"/>
          <w:kern w:val="0"/>
          <w:highlight w:val="none"/>
        </w:rPr>
      </w:pPr>
      <w:r>
        <w:rPr>
          <w:rFonts w:hint="eastAsia" w:hAnsi="宋体" w:cs="Times New Roman"/>
          <w:color w:val="auto"/>
          <w:kern w:val="0"/>
          <w:highlight w:val="none"/>
        </w:rPr>
        <w:t>21. 投标文件的修改和撤回</w:t>
      </w:r>
    </w:p>
    <w:p>
      <w:pPr>
        <w:autoSpaceDE w:val="0"/>
        <w:autoSpaceDN w:val="0"/>
        <w:adjustRightInd w:val="0"/>
        <w:spacing w:line="360" w:lineRule="auto"/>
        <w:ind w:left="473" w:right="32" w:hanging="472" w:hangingChars="225"/>
        <w:rPr>
          <w:rFonts w:ascii="宋体" w:hAnsi="宋体"/>
          <w:color w:val="auto"/>
          <w:kern w:val="0"/>
          <w:szCs w:val="21"/>
          <w:highlight w:val="none"/>
        </w:rPr>
      </w:pPr>
      <w:r>
        <w:rPr>
          <w:rFonts w:hint="eastAsia" w:ascii="宋体" w:hAnsi="宋体"/>
          <w:color w:val="auto"/>
          <w:kern w:val="0"/>
          <w:szCs w:val="21"/>
          <w:highlight w:val="none"/>
        </w:rPr>
        <w:t>21.1 投标人在投标截止时间前，可以对所递交的投标文件进行补充、修改或者撤回，并书面通知采购人或者采购代理机构。补充、修改的内容应当按照招标文件要求签署、盖章、密封后，作为投标文件的组成部分。</w:t>
      </w:r>
    </w:p>
    <w:p>
      <w:pPr>
        <w:autoSpaceDE w:val="0"/>
        <w:autoSpaceDN w:val="0"/>
        <w:adjustRightInd w:val="0"/>
        <w:spacing w:line="360" w:lineRule="auto"/>
        <w:ind w:left="473" w:right="32" w:hanging="472" w:hangingChars="225"/>
        <w:rPr>
          <w:rFonts w:ascii="宋体" w:hAnsi="宋体"/>
          <w:color w:val="auto"/>
          <w:kern w:val="0"/>
          <w:szCs w:val="21"/>
          <w:highlight w:val="none"/>
        </w:rPr>
      </w:pPr>
      <w:r>
        <w:rPr>
          <w:rFonts w:hint="eastAsia" w:ascii="宋体" w:hAnsi="宋体"/>
          <w:color w:val="auto"/>
          <w:kern w:val="0"/>
          <w:szCs w:val="21"/>
          <w:highlight w:val="none"/>
        </w:rPr>
        <w:t>21.2 投标人所提交的投标文件在评标结束后，无论中标与否都不退还。</w:t>
      </w:r>
    </w:p>
    <w:p>
      <w:pPr>
        <w:autoSpaceDE w:val="0"/>
        <w:autoSpaceDN w:val="0"/>
        <w:adjustRightInd w:val="0"/>
        <w:spacing w:line="360" w:lineRule="auto"/>
        <w:ind w:left="473" w:right="32" w:hanging="472" w:hangingChars="225"/>
        <w:rPr>
          <w:rFonts w:ascii="宋体" w:hAnsi="宋体"/>
          <w:color w:val="auto"/>
          <w:kern w:val="0"/>
          <w:szCs w:val="21"/>
          <w:highlight w:val="none"/>
        </w:rPr>
      </w:pPr>
    </w:p>
    <w:p>
      <w:pPr>
        <w:pStyle w:val="32"/>
        <w:adjustRightInd w:val="0"/>
        <w:spacing w:line="360" w:lineRule="auto"/>
        <w:outlineLvl w:val="1"/>
        <w:rPr>
          <w:rFonts w:hAnsi="宋体" w:cs="Times New Roman"/>
          <w:b/>
          <w:color w:val="auto"/>
          <w:highlight w:val="none"/>
        </w:rPr>
      </w:pPr>
      <w:bookmarkStart w:id="29" w:name="_Toc61"/>
      <w:r>
        <w:rPr>
          <w:rFonts w:hint="eastAsia" w:hAnsi="宋体" w:cs="Times New Roman"/>
          <w:b/>
          <w:color w:val="auto"/>
          <w:highlight w:val="none"/>
        </w:rPr>
        <w:t>五、开标、定标</w:t>
      </w:r>
      <w:bookmarkEnd w:id="29"/>
    </w:p>
    <w:p>
      <w:pPr>
        <w:pStyle w:val="32"/>
        <w:adjustRightInd w:val="0"/>
        <w:spacing w:line="360" w:lineRule="auto"/>
        <w:ind w:left="420" w:hanging="420" w:hangingChars="200"/>
        <w:rPr>
          <w:rFonts w:hAnsi="宋体" w:cs="Times New Roman"/>
          <w:color w:val="auto"/>
          <w:highlight w:val="none"/>
        </w:rPr>
      </w:pPr>
      <w:r>
        <w:rPr>
          <w:rFonts w:hint="eastAsia" w:hAnsi="宋体" w:cs="Times New Roman"/>
          <w:color w:val="auto"/>
          <w:highlight w:val="none"/>
        </w:rPr>
        <w:t>22. 开标</w:t>
      </w:r>
    </w:p>
    <w:p>
      <w:pPr>
        <w:tabs>
          <w:tab w:val="left" w:pos="840"/>
        </w:tabs>
        <w:adjustRightInd w:val="0"/>
        <w:spacing w:line="360" w:lineRule="auto"/>
        <w:ind w:left="473" w:hanging="472" w:hangingChars="225"/>
        <w:rPr>
          <w:rFonts w:ascii="宋体" w:hAnsi="宋体"/>
          <w:color w:val="auto"/>
          <w:szCs w:val="21"/>
          <w:highlight w:val="none"/>
        </w:rPr>
      </w:pPr>
      <w:r>
        <w:rPr>
          <w:rFonts w:hint="eastAsia" w:ascii="宋体" w:hAnsi="宋体"/>
          <w:color w:val="auto"/>
          <w:szCs w:val="21"/>
          <w:highlight w:val="none"/>
        </w:rPr>
        <w:t>22.1 开标应当在招标文件确定的提交投标文件截止时间的同一时间进行。开标地点应当为招标文件中预先确定的地点。详见《第一部分 招标公告》。</w:t>
      </w:r>
    </w:p>
    <w:p>
      <w:pPr>
        <w:tabs>
          <w:tab w:val="left" w:pos="840"/>
        </w:tabs>
        <w:adjustRightInd w:val="0"/>
        <w:spacing w:line="360" w:lineRule="auto"/>
        <w:ind w:left="473" w:hanging="472" w:hangingChars="225"/>
        <w:rPr>
          <w:rFonts w:ascii="宋体" w:hAnsi="宋体"/>
          <w:color w:val="auto"/>
          <w:szCs w:val="21"/>
          <w:highlight w:val="none"/>
        </w:rPr>
      </w:pPr>
      <w:r>
        <w:rPr>
          <w:rFonts w:hint="eastAsia" w:ascii="宋体" w:hAnsi="宋体"/>
          <w:color w:val="auto"/>
          <w:szCs w:val="21"/>
          <w:highlight w:val="none"/>
        </w:rPr>
        <w:t>22.2 采购人或者采购代理机构应当对开标、评标现场活动进行全程录音录像。录音录像应当清晰可辨，音像资料作为采购文件一并存档。</w:t>
      </w:r>
    </w:p>
    <w:p>
      <w:pPr>
        <w:tabs>
          <w:tab w:val="left" w:pos="1666"/>
        </w:tabs>
        <w:adjustRightInd w:val="0"/>
        <w:spacing w:line="360" w:lineRule="auto"/>
        <w:ind w:left="473" w:hanging="472" w:hangingChars="225"/>
        <w:rPr>
          <w:rFonts w:ascii="宋体" w:hAnsi="宋体"/>
          <w:color w:val="auto"/>
          <w:szCs w:val="21"/>
          <w:highlight w:val="none"/>
        </w:rPr>
      </w:pPr>
      <w:r>
        <w:rPr>
          <w:rFonts w:hint="eastAsia" w:ascii="宋体" w:hAnsi="宋体"/>
          <w:color w:val="auto"/>
          <w:szCs w:val="21"/>
          <w:highlight w:val="none"/>
        </w:rPr>
        <w:t>22.3</w:t>
      </w:r>
      <w:r>
        <w:rPr>
          <w:rFonts w:hint="eastAsia" w:ascii="宋体" w:hAnsi="宋体"/>
          <w:color w:val="auto"/>
          <w:szCs w:val="21"/>
          <w:highlight w:val="none"/>
        </w:rPr>
        <w:tab/>
      </w:r>
      <w:r>
        <w:rPr>
          <w:rFonts w:hint="eastAsia" w:ascii="宋体" w:hAnsi="宋体"/>
          <w:color w:val="auto"/>
          <w:szCs w:val="21"/>
          <w:highlight w:val="none"/>
        </w:rPr>
        <w:t xml:space="preserve"> 开标由采购人或者采购代理机构主持，邀请投标人参加。评标委员会成员不得参加开标活动。</w:t>
      </w:r>
    </w:p>
    <w:p>
      <w:pPr>
        <w:tabs>
          <w:tab w:val="left" w:pos="1666"/>
        </w:tabs>
        <w:adjustRightInd w:val="0"/>
        <w:spacing w:line="360" w:lineRule="auto"/>
        <w:ind w:left="473" w:hanging="472" w:hangingChars="225"/>
        <w:rPr>
          <w:rFonts w:ascii="宋体" w:hAnsi="宋体"/>
          <w:color w:val="auto"/>
          <w:szCs w:val="21"/>
          <w:highlight w:val="none"/>
        </w:rPr>
      </w:pPr>
      <w:r>
        <w:rPr>
          <w:rFonts w:hint="eastAsia" w:ascii="宋体" w:hAnsi="宋体"/>
          <w:color w:val="auto"/>
          <w:szCs w:val="21"/>
          <w:highlight w:val="none"/>
        </w:rPr>
        <w:t>22.4 开标时，应当由投标人或者其推选的代表检查投标文件的密封情况；经确认无误后，由采购人或者采购代理机构工作人员当众拆封，宣布投标人名称、投标价格和招标文件规定的需要宣布的其他内容。</w:t>
      </w:r>
    </w:p>
    <w:p>
      <w:pPr>
        <w:pStyle w:val="32"/>
        <w:adjustRightInd w:val="0"/>
        <w:spacing w:line="360" w:lineRule="auto"/>
        <w:ind w:left="474" w:leftChars="1" w:hanging="472" w:hangingChars="225"/>
        <w:rPr>
          <w:rFonts w:hAnsi="宋体" w:cs="Times New Roman"/>
          <w:color w:val="auto"/>
          <w:highlight w:val="none"/>
        </w:rPr>
      </w:pPr>
      <w:r>
        <w:rPr>
          <w:rFonts w:hint="eastAsia" w:hAnsi="宋体" w:cs="Times New Roman"/>
          <w:color w:val="auto"/>
          <w:highlight w:val="none"/>
        </w:rPr>
        <w:t>22.5 投标人不足3家的，不得开标。</w:t>
      </w:r>
    </w:p>
    <w:p>
      <w:pPr>
        <w:pStyle w:val="32"/>
        <w:adjustRightInd w:val="0"/>
        <w:spacing w:line="360" w:lineRule="auto"/>
        <w:ind w:left="474" w:leftChars="1" w:hanging="472" w:hangingChars="225"/>
        <w:rPr>
          <w:rFonts w:hAnsi="宋体" w:cs="Times New Roman"/>
          <w:color w:val="auto"/>
          <w:highlight w:val="none"/>
        </w:rPr>
      </w:pPr>
      <w:r>
        <w:rPr>
          <w:rFonts w:hint="eastAsia" w:hAnsi="宋体" w:cs="Times New Roman"/>
          <w:color w:val="auto"/>
          <w:highlight w:val="none"/>
        </w:rPr>
        <w:t>22.6 开标过程应当由采购人或者采购代理机构负责记录，由参加开标的各投标人代表和相关工作人员签字确认后随采购文件一并存档。</w:t>
      </w:r>
    </w:p>
    <w:p>
      <w:pPr>
        <w:pStyle w:val="32"/>
        <w:adjustRightInd w:val="0"/>
        <w:spacing w:line="360" w:lineRule="auto"/>
        <w:ind w:left="474" w:leftChars="1" w:hanging="472" w:hangingChars="225"/>
        <w:rPr>
          <w:rFonts w:hAnsi="宋体" w:cs="Times New Roman"/>
          <w:color w:val="auto"/>
          <w:highlight w:val="none"/>
        </w:rPr>
      </w:pPr>
      <w:r>
        <w:rPr>
          <w:rFonts w:hint="eastAsia" w:hAnsi="宋体" w:cs="Times New Roman"/>
          <w:color w:val="auto"/>
          <w:highlight w:val="none"/>
        </w:rPr>
        <w:t>22.7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2"/>
        <w:adjustRightInd w:val="0"/>
        <w:spacing w:line="360" w:lineRule="auto"/>
        <w:ind w:left="474" w:leftChars="1" w:hanging="472" w:hangingChars="225"/>
        <w:rPr>
          <w:rFonts w:hAnsi="宋体"/>
          <w:color w:val="auto"/>
          <w:kern w:val="0"/>
          <w:highlight w:val="none"/>
        </w:rPr>
      </w:pPr>
      <w:r>
        <w:rPr>
          <w:rFonts w:hint="eastAsia" w:hAnsi="宋体" w:cs="Times New Roman"/>
          <w:color w:val="auto"/>
          <w:highlight w:val="none"/>
        </w:rPr>
        <w:t>22.8 投标人未参加开标的，视同认可开标结果。</w:t>
      </w:r>
    </w:p>
    <w:p>
      <w:pPr>
        <w:autoSpaceDE w:val="0"/>
        <w:autoSpaceDN w:val="0"/>
        <w:adjustRightInd w:val="0"/>
        <w:spacing w:line="360" w:lineRule="auto"/>
        <w:ind w:left="473" w:right="32" w:hanging="472" w:hangingChars="225"/>
        <w:rPr>
          <w:rFonts w:ascii="宋体" w:hAnsi="宋体"/>
          <w:color w:val="auto"/>
          <w:kern w:val="0"/>
          <w:szCs w:val="21"/>
          <w:highlight w:val="none"/>
        </w:rPr>
      </w:pPr>
      <w:r>
        <w:rPr>
          <w:rFonts w:hint="eastAsia" w:ascii="宋体" w:hAnsi="宋体"/>
          <w:color w:val="auto"/>
          <w:kern w:val="0"/>
          <w:szCs w:val="21"/>
          <w:highlight w:val="none"/>
        </w:rPr>
        <w:t>23. 定标</w:t>
      </w:r>
    </w:p>
    <w:p>
      <w:pPr>
        <w:autoSpaceDE w:val="0"/>
        <w:autoSpaceDN w:val="0"/>
        <w:adjustRightInd w:val="0"/>
        <w:spacing w:line="360" w:lineRule="auto"/>
        <w:ind w:left="473" w:right="34" w:hanging="472" w:hangingChars="225"/>
        <w:rPr>
          <w:rFonts w:ascii="宋体" w:hAnsi="宋体"/>
          <w:color w:val="auto"/>
          <w:kern w:val="0"/>
          <w:szCs w:val="21"/>
          <w:highlight w:val="none"/>
        </w:rPr>
      </w:pPr>
      <w:r>
        <w:rPr>
          <w:rFonts w:hint="eastAsia" w:ascii="宋体" w:hAnsi="宋体"/>
          <w:color w:val="auto"/>
          <w:kern w:val="0"/>
          <w:szCs w:val="21"/>
          <w:highlight w:val="none"/>
        </w:rPr>
        <w:t>23.1 评标委员会按照招标文件确定的评标方法、步骤、标准，对投标文件进行评审，提出书面评标报告，向采购人推荐中标候选人，中标候选人人数详见</w:t>
      </w:r>
      <w:r>
        <w:rPr>
          <w:rFonts w:hint="eastAsia" w:ascii="宋体" w:hAnsi="宋体"/>
          <w:color w:val="auto"/>
          <w:szCs w:val="21"/>
          <w:highlight w:val="none"/>
        </w:rPr>
        <w:t>《投标须知前附表》</w:t>
      </w:r>
      <w:r>
        <w:rPr>
          <w:rFonts w:hint="eastAsia" w:ascii="宋体" w:hAnsi="宋体"/>
          <w:color w:val="auto"/>
          <w:kern w:val="0"/>
          <w:szCs w:val="21"/>
          <w:highlight w:val="none"/>
        </w:rPr>
        <w:t>。</w:t>
      </w:r>
    </w:p>
    <w:p>
      <w:pPr>
        <w:autoSpaceDE w:val="0"/>
        <w:autoSpaceDN w:val="0"/>
        <w:adjustRightInd w:val="0"/>
        <w:spacing w:line="360" w:lineRule="auto"/>
        <w:ind w:left="473" w:right="34" w:hanging="472" w:hangingChars="225"/>
        <w:rPr>
          <w:rFonts w:ascii="宋体" w:hAnsi="宋体"/>
          <w:color w:val="auto"/>
          <w:kern w:val="0"/>
          <w:szCs w:val="21"/>
          <w:highlight w:val="none"/>
        </w:rPr>
      </w:pPr>
      <w:r>
        <w:rPr>
          <w:rFonts w:hint="eastAsia" w:ascii="宋体" w:hAnsi="宋体"/>
          <w:color w:val="auto"/>
          <w:kern w:val="0"/>
          <w:szCs w:val="21"/>
          <w:highlight w:val="none"/>
        </w:rPr>
        <w:t>23.2 采购代理机构应当在评标结束后2个工作日内将评标报告送采购人。</w:t>
      </w:r>
    </w:p>
    <w:p>
      <w:pPr>
        <w:autoSpaceDE w:val="0"/>
        <w:autoSpaceDN w:val="0"/>
        <w:adjustRightInd w:val="0"/>
        <w:spacing w:line="360" w:lineRule="auto"/>
        <w:ind w:left="473" w:right="34" w:hanging="472" w:hangingChars="225"/>
        <w:rPr>
          <w:rFonts w:ascii="宋体" w:hAnsi="宋体" w:cs="宋体"/>
          <w:color w:val="auto"/>
          <w:sz w:val="28"/>
          <w:szCs w:val="28"/>
          <w:highlight w:val="none"/>
        </w:rPr>
      </w:pPr>
      <w:r>
        <w:rPr>
          <w:rFonts w:hint="eastAsia" w:ascii="宋体" w:hAnsi="宋体"/>
          <w:color w:val="auto"/>
          <w:kern w:val="0"/>
          <w:szCs w:val="21"/>
          <w:highlight w:val="none"/>
        </w:rPr>
        <w:t>23.3 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ascii="宋体" w:hAnsi="宋体" w:cs="宋体"/>
          <w:color w:val="auto"/>
          <w:sz w:val="28"/>
          <w:szCs w:val="28"/>
          <w:highlight w:val="none"/>
        </w:rPr>
        <w:t>。</w:t>
      </w:r>
    </w:p>
    <w:p>
      <w:pPr>
        <w:autoSpaceDE w:val="0"/>
        <w:autoSpaceDN w:val="0"/>
        <w:adjustRightInd w:val="0"/>
        <w:spacing w:line="360" w:lineRule="auto"/>
        <w:ind w:left="473" w:right="34" w:hanging="472" w:hangingChars="225"/>
        <w:rPr>
          <w:rFonts w:ascii="宋体" w:hAnsi="宋体"/>
          <w:color w:val="auto"/>
          <w:kern w:val="0"/>
          <w:szCs w:val="21"/>
          <w:highlight w:val="none"/>
        </w:rPr>
      </w:pPr>
      <w:r>
        <w:rPr>
          <w:rFonts w:hint="eastAsia" w:ascii="宋体" w:hAnsi="宋体"/>
          <w:color w:val="auto"/>
          <w:kern w:val="0"/>
          <w:szCs w:val="21"/>
          <w:highlight w:val="none"/>
        </w:rPr>
        <w:t>23.4 采购人在收到评标报告5个工作日内未按评标报告推荐的中标候选人顺序确定中标人，又不能说明合法理由的，视同按评标报告推荐的顺序确定排名第一的中标候选人为中标人。</w:t>
      </w:r>
    </w:p>
    <w:p>
      <w:pPr>
        <w:autoSpaceDE w:val="0"/>
        <w:autoSpaceDN w:val="0"/>
        <w:adjustRightInd w:val="0"/>
        <w:spacing w:line="360" w:lineRule="auto"/>
        <w:ind w:left="473" w:right="32" w:hanging="472" w:hangingChars="225"/>
        <w:rPr>
          <w:rFonts w:ascii="宋体" w:hAnsi="宋体"/>
          <w:color w:val="auto"/>
          <w:kern w:val="0"/>
          <w:szCs w:val="21"/>
          <w:highlight w:val="none"/>
        </w:rPr>
      </w:pPr>
      <w:r>
        <w:rPr>
          <w:rFonts w:hint="eastAsia" w:ascii="宋体" w:hAnsi="宋体"/>
          <w:color w:val="auto"/>
          <w:kern w:val="0"/>
          <w:szCs w:val="21"/>
          <w:highlight w:val="none"/>
        </w:rPr>
        <w:t>23.5 中标人确定后，采购代理机构在信息发布媒体上发布中标公告，中标公告期限为1个工作日。详见</w:t>
      </w:r>
      <w:r>
        <w:rPr>
          <w:rFonts w:hint="eastAsia" w:ascii="宋体" w:hAnsi="宋体"/>
          <w:color w:val="auto"/>
          <w:szCs w:val="21"/>
          <w:highlight w:val="none"/>
        </w:rPr>
        <w:t>《投标须知前附表》</w:t>
      </w:r>
      <w:r>
        <w:rPr>
          <w:rFonts w:hint="eastAsia" w:ascii="宋体" w:hAnsi="宋体"/>
          <w:color w:val="auto"/>
          <w:kern w:val="0"/>
          <w:szCs w:val="21"/>
          <w:highlight w:val="none"/>
        </w:rPr>
        <w:t>。</w:t>
      </w:r>
    </w:p>
    <w:p>
      <w:pPr>
        <w:autoSpaceDE w:val="0"/>
        <w:autoSpaceDN w:val="0"/>
        <w:adjustRightInd w:val="0"/>
        <w:spacing w:line="360" w:lineRule="auto"/>
        <w:ind w:left="473" w:right="32" w:hanging="472" w:hangingChars="225"/>
        <w:rPr>
          <w:rFonts w:ascii="宋体" w:hAnsi="宋体"/>
          <w:color w:val="auto"/>
          <w:kern w:val="0"/>
          <w:szCs w:val="21"/>
          <w:highlight w:val="none"/>
        </w:rPr>
      </w:pPr>
      <w:r>
        <w:rPr>
          <w:rFonts w:hint="eastAsia" w:ascii="宋体" w:hAnsi="宋体"/>
          <w:color w:val="auto"/>
          <w:kern w:val="0"/>
          <w:szCs w:val="21"/>
          <w:highlight w:val="none"/>
        </w:rPr>
        <w:t>23.6 在公告中标结果的同时，采购人或者采购代理机构应当向中标人发出中标通知书；对未通过资格审查的投标人，应当告知其未通过的原因；采用综合评分法评审的，还应当告知未中标人本人的评审得分与排序。</w:t>
      </w:r>
    </w:p>
    <w:p>
      <w:pPr>
        <w:autoSpaceDE w:val="0"/>
        <w:autoSpaceDN w:val="0"/>
        <w:adjustRightInd w:val="0"/>
        <w:spacing w:line="360" w:lineRule="auto"/>
        <w:ind w:left="473" w:right="32" w:hanging="472" w:hangingChars="225"/>
        <w:rPr>
          <w:rFonts w:ascii="宋体" w:hAnsi="宋体"/>
          <w:color w:val="auto"/>
          <w:kern w:val="0"/>
          <w:szCs w:val="21"/>
          <w:highlight w:val="none"/>
        </w:rPr>
      </w:pPr>
      <w:r>
        <w:rPr>
          <w:rFonts w:hint="eastAsia" w:ascii="宋体" w:hAnsi="宋体"/>
          <w:color w:val="auto"/>
          <w:kern w:val="0"/>
          <w:szCs w:val="21"/>
          <w:highlight w:val="none"/>
        </w:rPr>
        <w:t>23.7 中标通知书发出后，采购人不得违法改变中标结果，中标人无正当理由不得放弃中标。</w:t>
      </w:r>
    </w:p>
    <w:p>
      <w:pPr>
        <w:autoSpaceDE w:val="0"/>
        <w:autoSpaceDN w:val="0"/>
        <w:adjustRightInd w:val="0"/>
        <w:spacing w:line="360" w:lineRule="auto"/>
        <w:ind w:left="473" w:right="32" w:hanging="472" w:hangingChars="225"/>
        <w:rPr>
          <w:rFonts w:ascii="宋体" w:hAnsi="宋体"/>
          <w:color w:val="auto"/>
          <w:kern w:val="0"/>
          <w:szCs w:val="21"/>
          <w:highlight w:val="none"/>
        </w:rPr>
      </w:pPr>
      <w:r>
        <w:rPr>
          <w:rFonts w:hint="eastAsia" w:ascii="宋体" w:hAnsi="宋体"/>
          <w:color w:val="auto"/>
          <w:kern w:val="0"/>
          <w:szCs w:val="21"/>
          <w:highlight w:val="none"/>
        </w:rPr>
        <w:t>23.8 中标通知书对采购人和中标人均具有法律效力。中标通知书发出后，采购人改变中标结果的，或者中标人放弃中标、成交项目的，应当依法承担法律责任。</w:t>
      </w:r>
    </w:p>
    <w:p>
      <w:pPr>
        <w:tabs>
          <w:tab w:val="left" w:pos="0"/>
        </w:tabs>
        <w:adjustRightInd w:val="0"/>
        <w:spacing w:line="360" w:lineRule="auto"/>
        <w:ind w:left="540" w:hanging="539" w:hangingChars="257"/>
        <w:rPr>
          <w:rFonts w:ascii="宋体" w:hAnsi="宋体"/>
          <w:color w:val="auto"/>
          <w:kern w:val="0"/>
          <w:szCs w:val="21"/>
          <w:highlight w:val="none"/>
        </w:rPr>
      </w:pPr>
      <w:r>
        <w:rPr>
          <w:rFonts w:hint="eastAsia" w:ascii="宋体" w:hAnsi="宋体"/>
          <w:color w:val="auto"/>
          <w:kern w:val="0"/>
          <w:szCs w:val="21"/>
          <w:highlight w:val="none"/>
        </w:rPr>
        <w:t>24. 废标</w:t>
      </w:r>
    </w:p>
    <w:p>
      <w:pPr>
        <w:spacing w:line="360" w:lineRule="auto"/>
        <w:rPr>
          <w:rFonts w:ascii="宋体" w:hAnsi="宋体"/>
          <w:color w:val="auto"/>
          <w:kern w:val="0"/>
          <w:szCs w:val="21"/>
          <w:highlight w:val="none"/>
        </w:rPr>
      </w:pPr>
      <w:r>
        <w:rPr>
          <w:rFonts w:hint="eastAsia" w:ascii="宋体" w:hAnsi="宋体"/>
          <w:color w:val="auto"/>
          <w:kern w:val="0"/>
          <w:szCs w:val="21"/>
          <w:highlight w:val="none"/>
        </w:rPr>
        <w:t>24.1 根据《</w:t>
      </w:r>
      <w:r>
        <w:rPr>
          <w:rFonts w:hint="eastAsia" w:ascii="宋体" w:hAnsi="宋体"/>
          <w:color w:val="auto"/>
          <w:szCs w:val="21"/>
          <w:highlight w:val="none"/>
        </w:rPr>
        <w:t>中华人民共和国政府采购法</w:t>
      </w:r>
      <w:r>
        <w:rPr>
          <w:rFonts w:hint="eastAsia" w:ascii="宋体" w:hAnsi="宋体"/>
          <w:color w:val="auto"/>
          <w:kern w:val="0"/>
          <w:szCs w:val="21"/>
          <w:highlight w:val="none"/>
        </w:rPr>
        <w:t>》第三十六条规定，下列情况出现将作废标处理：</w:t>
      </w:r>
    </w:p>
    <w:p>
      <w:pPr>
        <w:tabs>
          <w:tab w:val="left" w:pos="540"/>
        </w:tabs>
        <w:spacing w:line="360" w:lineRule="auto"/>
        <w:rPr>
          <w:rFonts w:ascii="宋体" w:hAnsi="宋体"/>
          <w:color w:val="auto"/>
          <w:kern w:val="0"/>
          <w:szCs w:val="21"/>
          <w:highlight w:val="none"/>
        </w:rPr>
      </w:pPr>
      <w:r>
        <w:rPr>
          <w:rFonts w:hint="eastAsia" w:ascii="宋体" w:hAnsi="宋体"/>
          <w:color w:val="auto"/>
          <w:kern w:val="0"/>
          <w:szCs w:val="21"/>
          <w:highlight w:val="none"/>
        </w:rPr>
        <w:t>（1）符合专业资格条件的投标人或者对招标文件作实质响应的有效投标人不足三家的；</w:t>
      </w:r>
    </w:p>
    <w:p>
      <w:pPr>
        <w:tabs>
          <w:tab w:val="left" w:pos="540"/>
        </w:tabs>
        <w:spacing w:line="360" w:lineRule="auto"/>
        <w:rPr>
          <w:rFonts w:ascii="宋体" w:hAnsi="宋体"/>
          <w:color w:val="auto"/>
          <w:kern w:val="0"/>
          <w:szCs w:val="21"/>
          <w:highlight w:val="none"/>
        </w:rPr>
      </w:pPr>
      <w:r>
        <w:rPr>
          <w:rFonts w:hint="eastAsia" w:ascii="宋体" w:hAnsi="宋体"/>
          <w:color w:val="auto"/>
          <w:kern w:val="0"/>
          <w:szCs w:val="21"/>
          <w:highlight w:val="none"/>
        </w:rPr>
        <w:t xml:space="preserve">（2）出现影响采购公正的违法、违规行为的； </w:t>
      </w:r>
    </w:p>
    <w:p>
      <w:pPr>
        <w:tabs>
          <w:tab w:val="left" w:pos="540"/>
        </w:tabs>
        <w:spacing w:line="360" w:lineRule="auto"/>
        <w:rPr>
          <w:rFonts w:ascii="宋体" w:hAnsi="宋体"/>
          <w:color w:val="auto"/>
          <w:kern w:val="0"/>
          <w:szCs w:val="21"/>
          <w:highlight w:val="none"/>
        </w:rPr>
      </w:pPr>
      <w:r>
        <w:rPr>
          <w:rFonts w:hint="eastAsia" w:ascii="宋体" w:hAnsi="宋体"/>
          <w:color w:val="auto"/>
          <w:kern w:val="0"/>
          <w:szCs w:val="21"/>
          <w:highlight w:val="none"/>
        </w:rPr>
        <w:t>（3）投标人的报价均超过了采购预算，采购人不能支付的；</w:t>
      </w:r>
    </w:p>
    <w:p>
      <w:pPr>
        <w:tabs>
          <w:tab w:val="left" w:pos="540"/>
        </w:tabs>
        <w:spacing w:line="360" w:lineRule="auto"/>
        <w:rPr>
          <w:rFonts w:ascii="宋体" w:hAnsi="宋体"/>
          <w:color w:val="auto"/>
          <w:kern w:val="0"/>
          <w:szCs w:val="21"/>
          <w:highlight w:val="none"/>
        </w:rPr>
      </w:pPr>
      <w:r>
        <w:rPr>
          <w:rFonts w:hint="eastAsia" w:ascii="宋体" w:hAnsi="宋体"/>
          <w:color w:val="auto"/>
          <w:kern w:val="0"/>
          <w:szCs w:val="21"/>
          <w:highlight w:val="none"/>
        </w:rPr>
        <w:t>（4）因重大变故，采购任务取消的。</w:t>
      </w:r>
    </w:p>
    <w:p>
      <w:pPr>
        <w:pStyle w:val="32"/>
        <w:adjustRightInd w:val="0"/>
        <w:spacing w:line="360" w:lineRule="auto"/>
        <w:rPr>
          <w:rFonts w:hAnsi="宋体" w:cs="Times New Roman"/>
          <w:b/>
          <w:color w:val="auto"/>
          <w:highlight w:val="none"/>
        </w:rPr>
      </w:pPr>
    </w:p>
    <w:p>
      <w:pPr>
        <w:pStyle w:val="32"/>
        <w:adjustRightInd w:val="0"/>
        <w:spacing w:line="360" w:lineRule="auto"/>
        <w:outlineLvl w:val="1"/>
        <w:rPr>
          <w:rFonts w:hAnsi="宋体" w:cs="Times New Roman"/>
          <w:b/>
          <w:color w:val="auto"/>
          <w:highlight w:val="none"/>
        </w:rPr>
      </w:pPr>
      <w:bookmarkStart w:id="30" w:name="_Toc25487"/>
      <w:r>
        <w:rPr>
          <w:rFonts w:hint="eastAsia" w:hAnsi="宋体" w:cs="Times New Roman"/>
          <w:b/>
          <w:color w:val="auto"/>
          <w:highlight w:val="none"/>
        </w:rPr>
        <w:t>六、中标服务费</w:t>
      </w:r>
      <w:bookmarkEnd w:id="30"/>
    </w:p>
    <w:p>
      <w:pPr>
        <w:spacing w:line="360" w:lineRule="auto"/>
        <w:rPr>
          <w:rFonts w:ascii="宋体" w:hAnsi="宋体"/>
          <w:color w:val="auto"/>
          <w:szCs w:val="21"/>
          <w:highlight w:val="none"/>
        </w:rPr>
      </w:pPr>
      <w:r>
        <w:rPr>
          <w:rFonts w:hint="eastAsia" w:ascii="宋体" w:hAnsi="宋体"/>
          <w:color w:val="auto"/>
          <w:szCs w:val="21"/>
          <w:highlight w:val="none"/>
        </w:rPr>
        <w:t>25. 中标服务费</w:t>
      </w:r>
    </w:p>
    <w:p>
      <w:pPr>
        <w:spacing w:line="360" w:lineRule="auto"/>
        <w:ind w:left="720" w:hanging="720"/>
        <w:rPr>
          <w:rFonts w:ascii="宋体" w:hAnsi="宋体"/>
          <w:color w:val="auto"/>
          <w:szCs w:val="21"/>
          <w:highlight w:val="none"/>
        </w:rPr>
      </w:pPr>
      <w:r>
        <w:rPr>
          <w:rFonts w:hint="eastAsia" w:ascii="宋体" w:hAnsi="宋体"/>
          <w:color w:val="auto"/>
          <w:szCs w:val="21"/>
          <w:highlight w:val="none"/>
        </w:rPr>
        <w:t>25.1 中标服务费的收取金额及方式，详见《投标须知前附表》。</w:t>
      </w:r>
    </w:p>
    <w:p>
      <w:pPr>
        <w:spacing w:line="360" w:lineRule="auto"/>
        <w:ind w:left="720" w:hanging="720"/>
        <w:rPr>
          <w:rFonts w:ascii="宋体" w:hAnsi="宋体"/>
          <w:color w:val="auto"/>
          <w:szCs w:val="21"/>
          <w:highlight w:val="none"/>
        </w:rPr>
      </w:pPr>
      <w:r>
        <w:rPr>
          <w:rFonts w:hint="eastAsia" w:ascii="宋体" w:hAnsi="宋体"/>
          <w:color w:val="auto"/>
          <w:szCs w:val="21"/>
          <w:highlight w:val="none"/>
        </w:rPr>
        <w:t>25.2 中标服务费币种与中标通知书中中标价的币种相同。</w:t>
      </w:r>
    </w:p>
    <w:p>
      <w:pPr>
        <w:spacing w:line="360" w:lineRule="auto"/>
        <w:ind w:left="718" w:leftChars="342"/>
        <w:rPr>
          <w:rFonts w:ascii="宋体" w:hAnsi="宋体"/>
          <w:color w:val="auto"/>
          <w:szCs w:val="21"/>
          <w:highlight w:val="none"/>
        </w:rPr>
      </w:pPr>
    </w:p>
    <w:p>
      <w:pPr>
        <w:pStyle w:val="32"/>
        <w:adjustRightInd w:val="0"/>
        <w:spacing w:line="360" w:lineRule="auto"/>
        <w:outlineLvl w:val="1"/>
        <w:rPr>
          <w:rFonts w:hAnsi="宋体" w:cs="Times New Roman"/>
          <w:b/>
          <w:color w:val="auto"/>
          <w:highlight w:val="none"/>
        </w:rPr>
      </w:pPr>
      <w:bookmarkStart w:id="31" w:name="_Toc23675"/>
      <w:r>
        <w:rPr>
          <w:rFonts w:hint="eastAsia" w:hAnsi="宋体" w:cs="Times New Roman"/>
          <w:b/>
          <w:color w:val="auto"/>
          <w:highlight w:val="none"/>
        </w:rPr>
        <w:t>七、合同的订立和履行</w:t>
      </w:r>
      <w:bookmarkEnd w:id="31"/>
    </w:p>
    <w:p>
      <w:pPr>
        <w:spacing w:line="360" w:lineRule="auto"/>
        <w:ind w:left="630" w:hanging="630" w:hangingChars="300"/>
        <w:rPr>
          <w:rFonts w:ascii="宋体" w:hAnsi="宋体"/>
          <w:color w:val="auto"/>
          <w:szCs w:val="21"/>
          <w:highlight w:val="none"/>
        </w:rPr>
      </w:pPr>
      <w:r>
        <w:rPr>
          <w:rFonts w:hint="eastAsia" w:ascii="宋体" w:hAnsi="宋体"/>
          <w:color w:val="auto"/>
          <w:szCs w:val="21"/>
          <w:highlight w:val="none"/>
        </w:rPr>
        <w:t>26. 合同的订立</w:t>
      </w:r>
    </w:p>
    <w:p>
      <w:pPr>
        <w:autoSpaceDE w:val="0"/>
        <w:autoSpaceDN w:val="0"/>
        <w:adjustRightInd w:val="0"/>
        <w:spacing w:line="360" w:lineRule="auto"/>
        <w:ind w:left="473" w:right="32" w:hanging="472" w:hangingChars="225"/>
        <w:rPr>
          <w:rFonts w:ascii="宋体" w:hAnsi="宋体"/>
          <w:color w:val="auto"/>
          <w:kern w:val="0"/>
          <w:szCs w:val="21"/>
          <w:highlight w:val="none"/>
        </w:rPr>
      </w:pPr>
      <w:r>
        <w:rPr>
          <w:rFonts w:hint="eastAsia" w:ascii="宋体" w:hAnsi="宋体"/>
          <w:color w:val="auto"/>
          <w:szCs w:val="21"/>
          <w:highlight w:val="none"/>
        </w:rPr>
        <w:t xml:space="preserve">26.1 </w:t>
      </w:r>
      <w:r>
        <w:rPr>
          <w:rFonts w:hint="eastAsia" w:ascii="宋体" w:hAnsi="宋体"/>
          <w:color w:val="auto"/>
          <w:kern w:val="0"/>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utoSpaceDE w:val="0"/>
        <w:autoSpaceDN w:val="0"/>
        <w:adjustRightInd w:val="0"/>
        <w:spacing w:line="360" w:lineRule="auto"/>
        <w:ind w:left="473" w:right="32" w:hanging="472" w:hangingChars="225"/>
        <w:rPr>
          <w:rFonts w:ascii="宋体" w:hAnsi="宋体"/>
          <w:color w:val="auto"/>
          <w:kern w:val="0"/>
          <w:szCs w:val="21"/>
          <w:highlight w:val="none"/>
        </w:rPr>
      </w:pPr>
      <w:r>
        <w:rPr>
          <w:rFonts w:hint="eastAsia" w:ascii="宋体" w:hAnsi="宋体"/>
          <w:color w:val="auto"/>
          <w:kern w:val="0"/>
          <w:szCs w:val="21"/>
          <w:highlight w:val="none"/>
        </w:rPr>
        <w:t>26.2 中标人拒绝与采购人签订合同的，采购人可以按照评审报告推荐的中标候选人名单排序，确定下一候选人为中标供应商，也可以重新开展政府采购活动。</w:t>
      </w:r>
    </w:p>
    <w:p>
      <w:pPr>
        <w:autoSpaceDE w:val="0"/>
        <w:autoSpaceDN w:val="0"/>
        <w:adjustRightInd w:val="0"/>
        <w:spacing w:line="360" w:lineRule="auto"/>
        <w:ind w:left="473" w:right="32" w:hanging="472" w:hangingChars="225"/>
        <w:rPr>
          <w:rFonts w:ascii="宋体" w:hAnsi="宋体"/>
          <w:color w:val="auto"/>
          <w:kern w:val="0"/>
          <w:szCs w:val="21"/>
          <w:highlight w:val="none"/>
        </w:rPr>
      </w:pPr>
      <w:r>
        <w:rPr>
          <w:rFonts w:hint="eastAsia" w:ascii="宋体" w:hAnsi="宋体"/>
          <w:color w:val="auto"/>
          <w:kern w:val="0"/>
          <w:szCs w:val="21"/>
          <w:highlight w:val="none"/>
        </w:rPr>
        <w:t>26.3 采购人应当自政府采购合同签订之日起2个工作日内，将政府采购合同在中国政府采购网上公告，但政府采购合同中涉及国家秘密、商业秘密的内容除外。</w:t>
      </w:r>
    </w:p>
    <w:p>
      <w:pPr>
        <w:spacing w:line="360" w:lineRule="auto"/>
        <w:rPr>
          <w:rFonts w:ascii="宋体" w:hAnsi="宋体"/>
          <w:color w:val="auto"/>
          <w:szCs w:val="21"/>
          <w:highlight w:val="none"/>
        </w:rPr>
      </w:pPr>
      <w:r>
        <w:rPr>
          <w:rFonts w:hint="eastAsia" w:ascii="宋体" w:hAnsi="宋体"/>
          <w:color w:val="auto"/>
          <w:szCs w:val="21"/>
          <w:highlight w:val="none"/>
        </w:rPr>
        <w:t>27. 履约保证金</w:t>
      </w:r>
    </w:p>
    <w:p>
      <w:pPr>
        <w:tabs>
          <w:tab w:val="left" w:pos="540"/>
        </w:tabs>
        <w:spacing w:line="360" w:lineRule="auto"/>
        <w:rPr>
          <w:rFonts w:ascii="宋体" w:hAnsi="宋体"/>
          <w:color w:val="auto"/>
          <w:kern w:val="0"/>
          <w:szCs w:val="21"/>
          <w:highlight w:val="none"/>
        </w:rPr>
      </w:pPr>
      <w:r>
        <w:rPr>
          <w:rFonts w:hint="eastAsia" w:ascii="宋体" w:hAnsi="宋体"/>
          <w:color w:val="auto"/>
          <w:szCs w:val="21"/>
          <w:highlight w:val="none"/>
        </w:rPr>
        <w:t>27.1 招标文件要求中标或者成交供应商提交履约保证金的，供应商应当以支票、汇票、本票或者金融</w:t>
      </w:r>
      <w:r>
        <w:rPr>
          <w:rFonts w:hint="eastAsia" w:ascii="宋体" w:hAnsi="宋体"/>
          <w:color w:val="auto"/>
          <w:szCs w:val="21"/>
          <w:highlight w:val="none"/>
        </w:rPr>
        <w:tab/>
      </w:r>
      <w:r>
        <w:rPr>
          <w:rFonts w:hint="eastAsia" w:ascii="宋体" w:hAnsi="宋体"/>
          <w:color w:val="auto"/>
          <w:szCs w:val="21"/>
          <w:highlight w:val="none"/>
        </w:rPr>
        <w:t>机构、担保机构出具的保函等非现金形式提交。</w:t>
      </w:r>
      <w:r>
        <w:rPr>
          <w:rFonts w:hint="eastAsia" w:ascii="宋体" w:hAnsi="宋体"/>
          <w:color w:val="auto"/>
          <w:kern w:val="0"/>
          <w:szCs w:val="21"/>
          <w:highlight w:val="none"/>
        </w:rPr>
        <w:t>详见</w:t>
      </w:r>
      <w:r>
        <w:rPr>
          <w:rFonts w:hint="eastAsia" w:ascii="宋体" w:hAnsi="宋体"/>
          <w:color w:val="auto"/>
          <w:szCs w:val="21"/>
          <w:highlight w:val="none"/>
        </w:rPr>
        <w:t>《投标须知前附表》</w:t>
      </w:r>
      <w:r>
        <w:rPr>
          <w:rFonts w:hint="eastAsia" w:ascii="宋体" w:hAnsi="宋体"/>
          <w:color w:val="auto"/>
          <w:kern w:val="0"/>
          <w:szCs w:val="21"/>
          <w:highlight w:val="none"/>
        </w:rPr>
        <w:t>。</w:t>
      </w:r>
    </w:p>
    <w:p>
      <w:pPr>
        <w:spacing w:line="360" w:lineRule="auto"/>
        <w:ind w:left="630" w:hanging="630" w:hangingChars="300"/>
        <w:rPr>
          <w:rFonts w:ascii="宋体" w:hAnsi="宋体"/>
          <w:color w:val="auto"/>
          <w:szCs w:val="21"/>
          <w:highlight w:val="none"/>
        </w:rPr>
      </w:pPr>
      <w:r>
        <w:rPr>
          <w:rFonts w:hint="eastAsia" w:ascii="宋体" w:hAnsi="宋体"/>
          <w:color w:val="auto"/>
          <w:szCs w:val="21"/>
          <w:highlight w:val="none"/>
        </w:rPr>
        <w:t>28. 合同的履行</w:t>
      </w:r>
    </w:p>
    <w:p>
      <w:pPr>
        <w:tabs>
          <w:tab w:val="left" w:pos="540"/>
        </w:tabs>
        <w:spacing w:line="360" w:lineRule="auto"/>
        <w:rPr>
          <w:rFonts w:ascii="宋体" w:hAnsi="宋体"/>
          <w:color w:val="auto"/>
          <w:szCs w:val="21"/>
          <w:highlight w:val="none"/>
        </w:rPr>
      </w:pPr>
      <w:r>
        <w:rPr>
          <w:rFonts w:hint="eastAsia" w:ascii="宋体" w:hAnsi="宋体"/>
          <w:color w:val="auto"/>
          <w:szCs w:val="21"/>
          <w:highlight w:val="none"/>
        </w:rPr>
        <w:t>28.1 政府采购合同的双方当事人不得擅自变更、中止或者终止合同。政府采购合同继续履行将损害国</w:t>
      </w:r>
      <w:r>
        <w:rPr>
          <w:rFonts w:hint="eastAsia" w:ascii="宋体" w:hAnsi="宋体"/>
          <w:color w:val="auto"/>
          <w:szCs w:val="21"/>
          <w:highlight w:val="none"/>
        </w:rPr>
        <w:tab/>
      </w:r>
      <w:r>
        <w:rPr>
          <w:rFonts w:hint="eastAsia" w:ascii="宋体" w:hAnsi="宋体"/>
          <w:color w:val="auto"/>
          <w:szCs w:val="21"/>
          <w:highlight w:val="none"/>
        </w:rPr>
        <w:t>家利益和社会公共利益的，双方当事人应当变更、中止或者终止合同。有过错的一方应当承担赔偿</w:t>
      </w:r>
      <w:r>
        <w:rPr>
          <w:rFonts w:hint="eastAsia" w:ascii="宋体" w:hAnsi="宋体"/>
          <w:color w:val="auto"/>
          <w:szCs w:val="21"/>
          <w:highlight w:val="none"/>
        </w:rPr>
        <w:tab/>
      </w:r>
      <w:r>
        <w:rPr>
          <w:rFonts w:hint="eastAsia" w:ascii="宋体" w:hAnsi="宋体"/>
          <w:color w:val="auto"/>
          <w:szCs w:val="21"/>
          <w:highlight w:val="none"/>
        </w:rPr>
        <w:t>责任，双方都有过错的，各自承担相应的责任。</w:t>
      </w:r>
    </w:p>
    <w:p>
      <w:pPr>
        <w:tabs>
          <w:tab w:val="left" w:pos="540"/>
        </w:tabs>
        <w:spacing w:line="360" w:lineRule="auto"/>
        <w:rPr>
          <w:rFonts w:ascii="宋体" w:hAnsi="宋体"/>
          <w:color w:val="auto"/>
          <w:szCs w:val="21"/>
          <w:highlight w:val="none"/>
        </w:rPr>
      </w:pPr>
      <w:r>
        <w:rPr>
          <w:rFonts w:hint="eastAsia" w:ascii="宋体" w:hAnsi="宋体"/>
          <w:color w:val="auto"/>
          <w:szCs w:val="21"/>
          <w:highlight w:val="none"/>
        </w:rPr>
        <w:t>28.2 政府采购合同履行中，采购人需追加与合同标的相同的货物、工程或者服务的，在不改变合同其他</w:t>
      </w:r>
      <w:r>
        <w:rPr>
          <w:rFonts w:hint="eastAsia" w:ascii="宋体" w:hAnsi="宋体"/>
          <w:color w:val="auto"/>
          <w:szCs w:val="21"/>
          <w:highlight w:val="none"/>
        </w:rPr>
        <w:tab/>
      </w:r>
      <w:r>
        <w:rPr>
          <w:rFonts w:hint="eastAsia" w:ascii="宋体" w:hAnsi="宋体"/>
          <w:color w:val="auto"/>
          <w:szCs w:val="21"/>
          <w:highlight w:val="none"/>
        </w:rPr>
        <w:t>条款的前提下，可以与供应商协商签订补充合同，但所有补充合同的采购金额不得超过原合同采购</w:t>
      </w:r>
      <w:r>
        <w:rPr>
          <w:rFonts w:hint="eastAsia" w:ascii="宋体" w:hAnsi="宋体"/>
          <w:color w:val="auto"/>
          <w:szCs w:val="21"/>
          <w:highlight w:val="none"/>
        </w:rPr>
        <w:tab/>
      </w:r>
      <w:r>
        <w:rPr>
          <w:rFonts w:hint="eastAsia" w:ascii="宋体" w:hAnsi="宋体"/>
          <w:color w:val="auto"/>
          <w:szCs w:val="21"/>
          <w:highlight w:val="none"/>
        </w:rPr>
        <w:t>金额的百分之十。</w:t>
      </w:r>
    </w:p>
    <w:p>
      <w:pPr>
        <w:tabs>
          <w:tab w:val="left" w:pos="540"/>
        </w:tabs>
        <w:spacing w:line="360" w:lineRule="auto"/>
        <w:rPr>
          <w:rFonts w:ascii="宋体" w:hAnsi="宋体"/>
          <w:color w:val="auto"/>
          <w:szCs w:val="21"/>
          <w:highlight w:val="none"/>
        </w:rPr>
      </w:pPr>
      <w:r>
        <w:rPr>
          <w:rFonts w:hint="eastAsia" w:ascii="宋体" w:hAnsi="宋体"/>
          <w:color w:val="auto"/>
          <w:szCs w:val="21"/>
          <w:highlight w:val="none"/>
        </w:rPr>
        <w:t>28.3 政府采购合同应当包括采购人与中标人的名称和住所、标的、数量、质量、价款或者报酬、履行</w:t>
      </w:r>
      <w:r>
        <w:rPr>
          <w:rFonts w:hint="eastAsia" w:ascii="宋体" w:hAnsi="宋体"/>
          <w:color w:val="auto"/>
          <w:szCs w:val="21"/>
          <w:highlight w:val="none"/>
        </w:rPr>
        <w:tab/>
      </w:r>
      <w:r>
        <w:rPr>
          <w:rFonts w:hint="eastAsia" w:ascii="宋体" w:hAnsi="宋体"/>
          <w:color w:val="auto"/>
          <w:szCs w:val="21"/>
          <w:highlight w:val="none"/>
        </w:rPr>
        <w:t>期限及地点和方式、验收要求、违约责任、解决争议的方法等内容。</w:t>
      </w:r>
    </w:p>
    <w:p>
      <w:pPr>
        <w:tabs>
          <w:tab w:val="left" w:pos="540"/>
        </w:tabs>
        <w:spacing w:line="360" w:lineRule="auto"/>
        <w:rPr>
          <w:rFonts w:ascii="宋体" w:hAnsi="宋体"/>
          <w:color w:val="auto"/>
          <w:szCs w:val="21"/>
          <w:highlight w:val="none"/>
        </w:rPr>
      </w:pPr>
      <w:r>
        <w:rPr>
          <w:rFonts w:hint="eastAsia" w:ascii="宋体" w:hAnsi="宋体"/>
          <w:color w:val="auto"/>
          <w:szCs w:val="21"/>
          <w:highlight w:val="none"/>
        </w:rPr>
        <w:t>28.4采购人与中标人应当根据合同的约定依法履行合同义务。政府采购合同的履行、违约责任和解决争议</w:t>
      </w:r>
      <w:r>
        <w:rPr>
          <w:rFonts w:hint="eastAsia" w:ascii="宋体" w:hAnsi="宋体"/>
          <w:color w:val="auto"/>
          <w:szCs w:val="21"/>
          <w:highlight w:val="none"/>
        </w:rPr>
        <w:tab/>
      </w:r>
      <w:r>
        <w:rPr>
          <w:rFonts w:hint="eastAsia" w:ascii="宋体" w:hAnsi="宋体"/>
          <w:color w:val="auto"/>
          <w:szCs w:val="21"/>
          <w:highlight w:val="none"/>
        </w:rPr>
        <w:t>的方法等适用《中华人民共和国民法典》。</w:t>
      </w:r>
    </w:p>
    <w:p>
      <w:pPr>
        <w:tabs>
          <w:tab w:val="left" w:pos="540"/>
        </w:tabs>
        <w:spacing w:line="360" w:lineRule="auto"/>
        <w:rPr>
          <w:rFonts w:ascii="宋体" w:hAnsi="宋体"/>
          <w:color w:val="auto"/>
          <w:szCs w:val="21"/>
          <w:highlight w:val="none"/>
        </w:rPr>
      </w:pPr>
      <w:r>
        <w:rPr>
          <w:rFonts w:hint="eastAsia" w:ascii="宋体" w:hAnsi="宋体"/>
          <w:color w:val="auto"/>
          <w:szCs w:val="21"/>
          <w:highlight w:val="none"/>
        </w:rPr>
        <w:t>28.5 采购人应当及时对采购项目进行验收。采购人可以邀请参加本项目的其他投标人或者第三方机构参</w:t>
      </w:r>
      <w:r>
        <w:rPr>
          <w:rFonts w:hint="eastAsia" w:ascii="宋体" w:hAnsi="宋体"/>
          <w:color w:val="auto"/>
          <w:szCs w:val="21"/>
          <w:highlight w:val="none"/>
        </w:rPr>
        <w:tab/>
      </w:r>
      <w:r>
        <w:rPr>
          <w:rFonts w:hint="eastAsia" w:ascii="宋体" w:hAnsi="宋体"/>
          <w:color w:val="auto"/>
          <w:szCs w:val="21"/>
          <w:highlight w:val="none"/>
        </w:rPr>
        <w:t>与验收。参与验收的投标人或者第三方机构的意见作为验收书的参考资料一并存档。</w:t>
      </w:r>
    </w:p>
    <w:p>
      <w:pPr>
        <w:autoSpaceDE w:val="0"/>
        <w:autoSpaceDN w:val="0"/>
        <w:spacing w:line="360" w:lineRule="auto"/>
        <w:rPr>
          <w:rFonts w:ascii="宋体" w:hAnsi="宋体"/>
          <w:b/>
          <w:color w:val="auto"/>
          <w:highlight w:val="none"/>
        </w:rPr>
      </w:pPr>
    </w:p>
    <w:p>
      <w:pPr>
        <w:pStyle w:val="32"/>
        <w:spacing w:line="360" w:lineRule="auto"/>
        <w:outlineLvl w:val="1"/>
        <w:rPr>
          <w:rFonts w:hAnsi="宋体" w:cs="Times New Roman"/>
          <w:b/>
          <w:color w:val="auto"/>
          <w:highlight w:val="none"/>
        </w:rPr>
      </w:pPr>
      <w:bookmarkStart w:id="32" w:name="_Toc24446"/>
      <w:r>
        <w:rPr>
          <w:rFonts w:hint="eastAsia" w:hAnsi="宋体" w:cs="Times New Roman"/>
          <w:b/>
          <w:color w:val="auto"/>
          <w:highlight w:val="none"/>
        </w:rPr>
        <w:t>八、询问、质疑、投诉</w:t>
      </w:r>
      <w:bookmarkEnd w:id="32"/>
    </w:p>
    <w:p>
      <w:pPr>
        <w:autoSpaceDE w:val="0"/>
        <w:autoSpaceDN w:val="0"/>
        <w:adjustRightInd w:val="0"/>
        <w:spacing w:line="360" w:lineRule="auto"/>
        <w:rPr>
          <w:rFonts w:ascii="宋体" w:hAnsi="宋体" w:cs="黑体"/>
          <w:bCs/>
          <w:color w:val="auto"/>
          <w:szCs w:val="21"/>
          <w:highlight w:val="none"/>
        </w:rPr>
      </w:pPr>
      <w:r>
        <w:rPr>
          <w:rFonts w:hint="eastAsia" w:ascii="宋体" w:hAnsi="宋体"/>
          <w:color w:val="auto"/>
          <w:szCs w:val="21"/>
          <w:highlight w:val="none"/>
        </w:rPr>
        <w:t xml:space="preserve">29. </w:t>
      </w:r>
      <w:r>
        <w:rPr>
          <w:rFonts w:hint="eastAsia" w:ascii="宋体" w:hAnsi="宋体" w:cs="黑体"/>
          <w:color w:val="auto"/>
          <w:szCs w:val="21"/>
          <w:highlight w:val="none"/>
        </w:rPr>
        <w:t>询</w:t>
      </w:r>
      <w:r>
        <w:rPr>
          <w:rFonts w:hint="eastAsia" w:ascii="宋体" w:hAnsi="宋体" w:cs="黑体"/>
          <w:bCs/>
          <w:color w:val="auto"/>
          <w:szCs w:val="21"/>
          <w:highlight w:val="none"/>
        </w:rPr>
        <w:t>问</w:t>
      </w:r>
    </w:p>
    <w:p>
      <w:pPr>
        <w:autoSpaceDE w:val="0"/>
        <w:autoSpaceDN w:val="0"/>
        <w:adjustRightInd w:val="0"/>
        <w:spacing w:line="360" w:lineRule="auto"/>
        <w:rPr>
          <w:rFonts w:ascii="宋体" w:hAnsi="宋体" w:cs="黑体"/>
          <w:bCs/>
          <w:color w:val="auto"/>
          <w:szCs w:val="21"/>
          <w:highlight w:val="none"/>
        </w:rPr>
      </w:pPr>
      <w:r>
        <w:rPr>
          <w:rFonts w:hint="eastAsia" w:ascii="宋体" w:hAnsi="宋体" w:cs="黑体"/>
          <w:bCs/>
          <w:color w:val="auto"/>
          <w:szCs w:val="21"/>
          <w:highlight w:val="none"/>
        </w:rPr>
        <w:t>29.1 供应商对政府采购活动事项有疑问的，可以向</w:t>
      </w:r>
      <w:r>
        <w:rPr>
          <w:rFonts w:hint="eastAsia" w:ascii="宋体" w:hAnsi="宋体" w:cs="宋体"/>
          <w:color w:val="auto"/>
          <w:szCs w:val="21"/>
          <w:highlight w:val="none"/>
          <w:lang w:eastAsia="zh-TW"/>
        </w:rPr>
        <w:t>采购人或者采购代理机构</w:t>
      </w:r>
      <w:r>
        <w:rPr>
          <w:rFonts w:hint="eastAsia" w:ascii="宋体" w:hAnsi="宋体" w:cs="黑体"/>
          <w:bCs/>
          <w:color w:val="auto"/>
          <w:szCs w:val="21"/>
          <w:highlight w:val="none"/>
        </w:rPr>
        <w:t>提出询问，询问可以口头</w:t>
      </w:r>
      <w:r>
        <w:rPr>
          <w:rFonts w:hint="eastAsia" w:ascii="宋体" w:hAnsi="宋体" w:cs="黑体"/>
          <w:bCs/>
          <w:color w:val="auto"/>
          <w:szCs w:val="21"/>
          <w:highlight w:val="none"/>
        </w:rPr>
        <w:tab/>
      </w:r>
      <w:r>
        <w:rPr>
          <w:rFonts w:hint="eastAsia" w:ascii="宋体" w:hAnsi="宋体" w:cs="黑体"/>
          <w:bCs/>
          <w:color w:val="auto"/>
          <w:szCs w:val="21"/>
          <w:highlight w:val="none"/>
        </w:rPr>
        <w:t>方式提出，也可以书面形式提出。</w:t>
      </w:r>
    </w:p>
    <w:p>
      <w:pPr>
        <w:autoSpaceDE w:val="0"/>
        <w:autoSpaceDN w:val="0"/>
        <w:adjustRightInd w:val="0"/>
        <w:spacing w:line="360" w:lineRule="auto"/>
        <w:rPr>
          <w:rFonts w:ascii="宋体" w:hAnsi="宋体" w:cs="黑体"/>
          <w:bCs/>
          <w:color w:val="auto"/>
          <w:szCs w:val="21"/>
          <w:highlight w:val="none"/>
        </w:rPr>
      </w:pPr>
      <w:r>
        <w:rPr>
          <w:rFonts w:hint="eastAsia" w:ascii="宋体" w:hAnsi="宋体" w:cs="黑体"/>
          <w:bCs/>
          <w:color w:val="auto"/>
          <w:szCs w:val="21"/>
          <w:highlight w:val="none"/>
        </w:rPr>
        <w:t>29.2 如采用书面形式提出询问，供应商为自然人的，询问函应当由本人签字；供应商为法人或者其他</w:t>
      </w:r>
      <w:r>
        <w:rPr>
          <w:rFonts w:hint="eastAsia" w:ascii="宋体" w:hAnsi="宋体" w:cs="黑体"/>
          <w:bCs/>
          <w:color w:val="auto"/>
          <w:szCs w:val="21"/>
          <w:highlight w:val="none"/>
        </w:rPr>
        <w:tab/>
      </w:r>
      <w:r>
        <w:rPr>
          <w:rFonts w:hint="eastAsia" w:ascii="宋体" w:hAnsi="宋体" w:cs="黑体"/>
          <w:bCs/>
          <w:color w:val="auto"/>
          <w:szCs w:val="21"/>
          <w:highlight w:val="none"/>
        </w:rPr>
        <w:t>组织的，应当由法定代表人、主要负责人或授权代表签字或者盖章，并加盖供应商公章。询问供</w:t>
      </w:r>
      <w:r>
        <w:rPr>
          <w:rFonts w:hint="eastAsia" w:ascii="宋体" w:hAnsi="宋体" w:cs="黑体"/>
          <w:bCs/>
          <w:color w:val="auto"/>
          <w:szCs w:val="21"/>
          <w:highlight w:val="none"/>
        </w:rPr>
        <w:tab/>
      </w:r>
      <w:r>
        <w:rPr>
          <w:rFonts w:hint="eastAsia" w:ascii="宋体" w:hAnsi="宋体" w:cs="黑体"/>
          <w:bCs/>
          <w:color w:val="auto"/>
          <w:szCs w:val="21"/>
          <w:highlight w:val="none"/>
        </w:rPr>
        <w:t>应商若委托代理人提出询问的，询问函应按要求列明“授权代表”的有关内容，并提交由供应商</w:t>
      </w:r>
      <w:r>
        <w:rPr>
          <w:rFonts w:hint="eastAsia" w:ascii="宋体" w:hAnsi="宋体" w:cs="黑体"/>
          <w:bCs/>
          <w:color w:val="auto"/>
          <w:szCs w:val="21"/>
          <w:highlight w:val="none"/>
        </w:rPr>
        <w:tab/>
      </w:r>
      <w:r>
        <w:rPr>
          <w:rFonts w:hint="eastAsia" w:ascii="宋体" w:hAnsi="宋体" w:cs="黑体"/>
          <w:bCs/>
          <w:color w:val="auto"/>
          <w:szCs w:val="21"/>
          <w:highlight w:val="none"/>
        </w:rPr>
        <w:t>签署的授权委托书及代理人身份证复印件，并加盖供应商公章。授权委托书应载明代理人的姓名</w:t>
      </w:r>
      <w:r>
        <w:rPr>
          <w:rFonts w:hint="eastAsia" w:ascii="宋体" w:hAnsi="宋体" w:cs="黑体"/>
          <w:bCs/>
          <w:color w:val="auto"/>
          <w:szCs w:val="21"/>
          <w:highlight w:val="none"/>
        </w:rPr>
        <w:tab/>
      </w:r>
      <w:r>
        <w:rPr>
          <w:rFonts w:hint="eastAsia" w:ascii="宋体" w:hAnsi="宋体" w:cs="黑体"/>
          <w:bCs/>
          <w:color w:val="auto"/>
          <w:szCs w:val="21"/>
          <w:highlight w:val="none"/>
        </w:rPr>
        <w:t>或者名称、代理事项、具体权限、期限和相关事项。</w:t>
      </w:r>
    </w:p>
    <w:p>
      <w:pPr>
        <w:autoSpaceDE w:val="0"/>
        <w:autoSpaceDN w:val="0"/>
        <w:adjustRightInd w:val="0"/>
        <w:spacing w:line="360" w:lineRule="auto"/>
        <w:rPr>
          <w:rFonts w:ascii="宋体" w:hAnsi="宋体"/>
          <w:b/>
          <w:bCs/>
          <w:color w:val="auto"/>
          <w:szCs w:val="21"/>
          <w:highlight w:val="none"/>
        </w:rPr>
      </w:pPr>
      <w:r>
        <w:rPr>
          <w:rFonts w:hint="eastAsia" w:ascii="宋体" w:hAnsi="宋体" w:cs="宋体"/>
          <w:color w:val="auto"/>
          <w:szCs w:val="21"/>
          <w:highlight w:val="none"/>
        </w:rPr>
        <w:t xml:space="preserve">29.3 </w:t>
      </w:r>
      <w:r>
        <w:rPr>
          <w:rFonts w:hint="eastAsia" w:ascii="宋体" w:hAnsi="宋体" w:cs="宋体"/>
          <w:color w:val="auto"/>
          <w:szCs w:val="21"/>
          <w:highlight w:val="none"/>
          <w:lang w:eastAsia="zh-TW"/>
        </w:rPr>
        <w:t>采购人或者采购代理机构</w:t>
      </w:r>
      <w:r>
        <w:rPr>
          <w:rFonts w:hint="eastAsia" w:ascii="宋体" w:hAnsi="宋体" w:cs="黑体"/>
          <w:bCs/>
          <w:color w:val="auto"/>
          <w:szCs w:val="21"/>
          <w:highlight w:val="none"/>
        </w:rPr>
        <w:t>在三个工作日内对供应商依法提出的询问作出答复。</w:t>
      </w:r>
    </w:p>
    <w:p>
      <w:pPr>
        <w:autoSpaceDE w:val="0"/>
        <w:autoSpaceDN w:val="0"/>
        <w:adjustRightInd w:val="0"/>
        <w:spacing w:line="360" w:lineRule="auto"/>
        <w:rPr>
          <w:rFonts w:ascii="宋体" w:hAnsi="宋体" w:cs="黑体"/>
          <w:bCs/>
          <w:color w:val="auto"/>
          <w:szCs w:val="21"/>
          <w:highlight w:val="none"/>
        </w:rPr>
      </w:pPr>
      <w:r>
        <w:rPr>
          <w:rFonts w:hint="eastAsia" w:ascii="宋体" w:hAnsi="宋体" w:cs="黑体"/>
          <w:bCs/>
          <w:color w:val="auto"/>
          <w:szCs w:val="21"/>
          <w:highlight w:val="none"/>
        </w:rPr>
        <w:t>30. 质疑</w:t>
      </w:r>
    </w:p>
    <w:p>
      <w:pPr>
        <w:autoSpaceDE w:val="0"/>
        <w:autoSpaceDN w:val="0"/>
        <w:adjustRightInd w:val="0"/>
        <w:spacing w:line="360" w:lineRule="auto"/>
        <w:rPr>
          <w:rFonts w:ascii="宋体" w:hAnsi="宋体" w:cs="黑体"/>
          <w:bCs/>
          <w:color w:val="auto"/>
          <w:szCs w:val="21"/>
          <w:highlight w:val="none"/>
        </w:rPr>
      </w:pPr>
      <w:r>
        <w:rPr>
          <w:rFonts w:hint="eastAsia" w:ascii="宋体" w:hAnsi="宋体" w:cs="黑体"/>
          <w:bCs/>
          <w:color w:val="auto"/>
          <w:szCs w:val="21"/>
          <w:highlight w:val="none"/>
        </w:rPr>
        <w:t>30.1 提出质疑的供应商（以下简称质疑供应商）应当是参与所质疑项目采购活动的供应商。</w:t>
      </w:r>
    </w:p>
    <w:p>
      <w:pPr>
        <w:autoSpaceDE w:val="0"/>
        <w:autoSpaceDN w:val="0"/>
        <w:adjustRightInd w:val="0"/>
        <w:spacing w:line="360" w:lineRule="auto"/>
        <w:rPr>
          <w:rFonts w:ascii="宋体" w:hAnsi="宋体" w:cs="黑体"/>
          <w:bCs/>
          <w:color w:val="auto"/>
          <w:szCs w:val="21"/>
          <w:highlight w:val="none"/>
        </w:rPr>
      </w:pPr>
      <w:r>
        <w:rPr>
          <w:rFonts w:hint="eastAsia" w:ascii="宋体" w:hAnsi="宋体" w:cs="黑体"/>
          <w:bCs/>
          <w:color w:val="auto"/>
          <w:szCs w:val="21"/>
          <w:highlight w:val="none"/>
        </w:rPr>
        <w:t>30.2 质疑期限：</w:t>
      </w:r>
    </w:p>
    <w:p>
      <w:pPr>
        <w:autoSpaceDE w:val="0"/>
        <w:autoSpaceDN w:val="0"/>
        <w:adjustRightInd w:val="0"/>
        <w:spacing w:line="360" w:lineRule="auto"/>
        <w:ind w:firstLine="420"/>
        <w:rPr>
          <w:rFonts w:ascii="宋体" w:hAnsi="宋体" w:cs="黑体"/>
          <w:bCs/>
          <w:color w:val="auto"/>
          <w:szCs w:val="21"/>
          <w:highlight w:val="none"/>
        </w:rPr>
      </w:pPr>
      <w:r>
        <w:rPr>
          <w:rFonts w:hint="eastAsia" w:ascii="宋体" w:hAnsi="宋体" w:cs="黑体"/>
          <w:bCs/>
          <w:color w:val="auto"/>
          <w:szCs w:val="21"/>
          <w:highlight w:val="none"/>
        </w:rPr>
        <w:t>（1）供应商认为招标文件的内容损害其权益的，应当在领购招标文件之日或者招标文件公告期届</w:t>
      </w:r>
      <w:r>
        <w:rPr>
          <w:rFonts w:hint="eastAsia" w:ascii="宋体" w:hAnsi="宋体" w:cs="黑体"/>
          <w:bCs/>
          <w:color w:val="auto"/>
          <w:szCs w:val="21"/>
          <w:highlight w:val="none"/>
        </w:rPr>
        <w:tab/>
      </w:r>
      <w:r>
        <w:rPr>
          <w:rFonts w:hint="eastAsia" w:ascii="宋体" w:hAnsi="宋体" w:cs="黑体"/>
          <w:bCs/>
          <w:color w:val="auto"/>
          <w:szCs w:val="21"/>
          <w:highlight w:val="none"/>
        </w:rPr>
        <w:t>满之日起七个工作日内。（</w:t>
      </w:r>
      <w:r>
        <w:rPr>
          <w:rFonts w:hint="eastAsia" w:ascii="宋体" w:hAnsi="宋体" w:cs="黑体"/>
          <w:b/>
          <w:color w:val="auto"/>
          <w:szCs w:val="21"/>
          <w:highlight w:val="none"/>
        </w:rPr>
        <w:t>注：供应商领购招标文件之日早于招标文件公告期限届满之日的，则</w:t>
      </w:r>
      <w:r>
        <w:rPr>
          <w:rFonts w:hint="eastAsia" w:ascii="宋体" w:hAnsi="宋体" w:cs="黑体"/>
          <w:b/>
          <w:color w:val="auto"/>
          <w:szCs w:val="21"/>
          <w:highlight w:val="none"/>
        </w:rPr>
        <w:tab/>
      </w:r>
      <w:r>
        <w:rPr>
          <w:rFonts w:hint="eastAsia" w:ascii="宋体" w:hAnsi="宋体" w:cs="黑体"/>
          <w:b/>
          <w:color w:val="auto"/>
          <w:szCs w:val="21"/>
          <w:highlight w:val="none"/>
        </w:rPr>
        <w:t>以供应商领购招标文件之日为质疑时效期间的起算日期；否则，以招标文件公告期限届满之日为</w:t>
      </w:r>
      <w:r>
        <w:rPr>
          <w:rFonts w:hint="eastAsia" w:ascii="宋体" w:hAnsi="宋体" w:cs="黑体"/>
          <w:b/>
          <w:color w:val="auto"/>
          <w:szCs w:val="21"/>
          <w:highlight w:val="none"/>
        </w:rPr>
        <w:tab/>
      </w:r>
      <w:r>
        <w:rPr>
          <w:rFonts w:hint="eastAsia" w:ascii="宋体" w:hAnsi="宋体" w:cs="黑体"/>
          <w:b/>
          <w:color w:val="auto"/>
          <w:szCs w:val="21"/>
          <w:highlight w:val="none"/>
        </w:rPr>
        <w:t>质疑时效期间的起算日期</w:t>
      </w:r>
      <w:r>
        <w:rPr>
          <w:rFonts w:hint="eastAsia" w:ascii="宋体" w:hAnsi="宋体" w:cs="黑体"/>
          <w:bCs/>
          <w:color w:val="auto"/>
          <w:szCs w:val="21"/>
          <w:highlight w:val="none"/>
        </w:rPr>
        <w:t>）</w:t>
      </w:r>
    </w:p>
    <w:p>
      <w:pPr>
        <w:autoSpaceDE w:val="0"/>
        <w:autoSpaceDN w:val="0"/>
        <w:adjustRightInd w:val="0"/>
        <w:spacing w:line="360" w:lineRule="auto"/>
        <w:ind w:firstLine="420"/>
        <w:rPr>
          <w:rFonts w:ascii="宋体" w:hAnsi="宋体" w:cs="黑体"/>
          <w:bCs/>
          <w:color w:val="auto"/>
          <w:szCs w:val="21"/>
          <w:highlight w:val="none"/>
        </w:rPr>
      </w:pPr>
      <w:r>
        <w:rPr>
          <w:rFonts w:hint="eastAsia" w:ascii="宋体" w:hAnsi="宋体" w:cs="黑体"/>
          <w:bCs/>
          <w:color w:val="auto"/>
          <w:szCs w:val="21"/>
          <w:highlight w:val="none"/>
        </w:rPr>
        <w:t>（2）供应商认为采购过程损害其权益的，应在各采购程序环节结束之日起七个工作日内。</w:t>
      </w:r>
    </w:p>
    <w:p>
      <w:pPr>
        <w:autoSpaceDE w:val="0"/>
        <w:autoSpaceDN w:val="0"/>
        <w:adjustRightInd w:val="0"/>
        <w:spacing w:line="360" w:lineRule="auto"/>
        <w:ind w:firstLine="420"/>
        <w:rPr>
          <w:rFonts w:ascii="宋体" w:hAnsi="宋体" w:cs="黑体"/>
          <w:bCs/>
          <w:color w:val="auto"/>
          <w:szCs w:val="21"/>
          <w:highlight w:val="none"/>
        </w:rPr>
      </w:pPr>
      <w:r>
        <w:rPr>
          <w:rFonts w:hint="eastAsia" w:ascii="宋体" w:hAnsi="宋体" w:cs="黑体"/>
          <w:bCs/>
          <w:color w:val="auto"/>
          <w:szCs w:val="21"/>
          <w:highlight w:val="none"/>
        </w:rPr>
        <w:t>（3）供应商认为中标或者成交结果损害其权益的，应在中标或者成交结果公告期限届满之日起七</w:t>
      </w:r>
      <w:r>
        <w:rPr>
          <w:rFonts w:hint="eastAsia" w:ascii="宋体" w:hAnsi="宋体" w:cs="黑体"/>
          <w:bCs/>
          <w:color w:val="auto"/>
          <w:szCs w:val="21"/>
          <w:highlight w:val="none"/>
        </w:rPr>
        <w:tab/>
      </w:r>
      <w:r>
        <w:rPr>
          <w:rFonts w:hint="eastAsia" w:ascii="宋体" w:hAnsi="宋体" w:cs="黑体"/>
          <w:bCs/>
          <w:color w:val="auto"/>
          <w:szCs w:val="21"/>
          <w:highlight w:val="none"/>
        </w:rPr>
        <w:t>个工作日内。</w:t>
      </w:r>
    </w:p>
    <w:p>
      <w:pPr>
        <w:autoSpaceDE w:val="0"/>
        <w:autoSpaceDN w:val="0"/>
        <w:adjustRightInd w:val="0"/>
        <w:spacing w:line="360" w:lineRule="auto"/>
        <w:ind w:firstLine="420" w:firstLineChars="200"/>
        <w:rPr>
          <w:rFonts w:ascii="宋体" w:hAnsi="宋体" w:cs="黑体"/>
          <w:bCs/>
          <w:color w:val="auto"/>
          <w:szCs w:val="21"/>
          <w:highlight w:val="none"/>
        </w:rPr>
      </w:pPr>
      <w:r>
        <w:rPr>
          <w:rFonts w:hint="eastAsia" w:ascii="宋体" w:hAnsi="宋体" w:cs="黑体"/>
          <w:bCs/>
          <w:color w:val="auto"/>
          <w:szCs w:val="21"/>
          <w:highlight w:val="none"/>
        </w:rPr>
        <w:t>（说明：超出法定质疑期限的质疑函，采购人或者采购代理机构将依法不予接收。）</w:t>
      </w:r>
    </w:p>
    <w:p>
      <w:pPr>
        <w:autoSpaceDE w:val="0"/>
        <w:autoSpaceDN w:val="0"/>
        <w:adjustRightInd w:val="0"/>
        <w:spacing w:line="360" w:lineRule="auto"/>
        <w:rPr>
          <w:rFonts w:ascii="宋体" w:hAnsi="宋体" w:cs="黑体"/>
          <w:bCs/>
          <w:color w:val="auto"/>
          <w:szCs w:val="21"/>
          <w:highlight w:val="none"/>
        </w:rPr>
      </w:pPr>
      <w:r>
        <w:rPr>
          <w:rFonts w:hint="eastAsia" w:ascii="宋体" w:hAnsi="宋体" w:cs="黑体"/>
          <w:bCs/>
          <w:color w:val="auto"/>
          <w:szCs w:val="21"/>
          <w:highlight w:val="none"/>
        </w:rPr>
        <w:t>30.3 提交要求：</w:t>
      </w:r>
    </w:p>
    <w:p>
      <w:pPr>
        <w:autoSpaceDE w:val="0"/>
        <w:autoSpaceDN w:val="0"/>
        <w:adjustRightInd w:val="0"/>
        <w:spacing w:line="360" w:lineRule="auto"/>
        <w:rPr>
          <w:rFonts w:ascii="宋体" w:hAnsi="宋体"/>
          <w:color w:val="auto"/>
          <w:szCs w:val="21"/>
          <w:highlight w:val="none"/>
        </w:rPr>
      </w:pPr>
      <w:r>
        <w:rPr>
          <w:rFonts w:hint="eastAsia" w:ascii="宋体" w:hAnsi="宋体"/>
          <w:color w:val="auto"/>
          <w:szCs w:val="21"/>
          <w:highlight w:val="none"/>
        </w:rPr>
        <w:t>（1）以书面形式（指加盖供应商公章的原件）向采购人或者采购代理机构一次性提出针对同一采购程</w:t>
      </w:r>
      <w:r>
        <w:rPr>
          <w:rFonts w:hint="eastAsia" w:ascii="宋体" w:hAnsi="宋体"/>
          <w:color w:val="auto"/>
          <w:szCs w:val="21"/>
          <w:highlight w:val="none"/>
        </w:rPr>
        <w:tab/>
      </w:r>
      <w:r>
        <w:rPr>
          <w:rFonts w:hint="eastAsia" w:ascii="宋体" w:hAnsi="宋体"/>
          <w:color w:val="auto"/>
          <w:szCs w:val="21"/>
          <w:highlight w:val="none"/>
        </w:rPr>
        <w:t>序环节的质疑。若对项目的某一包组进行质疑的，质疑函中应列明具体包组号（如有）。</w:t>
      </w:r>
    </w:p>
    <w:p>
      <w:pPr>
        <w:autoSpaceDE w:val="0"/>
        <w:autoSpaceDN w:val="0"/>
        <w:adjustRightInd w:val="0"/>
        <w:spacing w:line="360" w:lineRule="auto"/>
        <w:rPr>
          <w:rFonts w:ascii="宋体" w:hAnsi="宋体" w:cs="黑体"/>
          <w:bCs/>
          <w:color w:val="auto"/>
          <w:szCs w:val="21"/>
          <w:highlight w:val="none"/>
        </w:rPr>
      </w:pPr>
      <w:r>
        <w:rPr>
          <w:rFonts w:hint="eastAsia" w:ascii="宋体" w:hAnsi="宋体" w:cs="黑体"/>
          <w:bCs/>
          <w:color w:val="auto"/>
          <w:szCs w:val="21"/>
          <w:highlight w:val="none"/>
        </w:rPr>
        <w:t>（2）质疑函应当包括下列内容：</w:t>
      </w:r>
    </w:p>
    <w:p>
      <w:pPr>
        <w:pStyle w:val="127"/>
        <w:numPr>
          <w:ilvl w:val="0"/>
          <w:numId w:val="10"/>
        </w:numPr>
        <w:tabs>
          <w:tab w:val="left" w:pos="425"/>
          <w:tab w:val="left" w:pos="851"/>
        </w:tabs>
        <w:autoSpaceDE w:val="0"/>
        <w:autoSpaceDN w:val="0"/>
        <w:adjustRightInd w:val="0"/>
        <w:spacing w:line="360" w:lineRule="auto"/>
        <w:rPr>
          <w:rFonts w:ascii="宋体" w:hAnsi="宋体" w:cs="黑体"/>
          <w:bCs/>
          <w:color w:val="auto"/>
          <w:szCs w:val="21"/>
          <w:highlight w:val="none"/>
        </w:rPr>
      </w:pPr>
      <w:r>
        <w:rPr>
          <w:rFonts w:hint="eastAsia" w:ascii="宋体" w:hAnsi="宋体" w:cs="黑体"/>
          <w:bCs/>
          <w:color w:val="auto"/>
          <w:szCs w:val="21"/>
          <w:highlight w:val="none"/>
        </w:rPr>
        <w:t>供应商的姓名或者名称、地址、邮编、联系人及联系电话；</w:t>
      </w:r>
    </w:p>
    <w:p>
      <w:pPr>
        <w:pStyle w:val="127"/>
        <w:numPr>
          <w:ilvl w:val="0"/>
          <w:numId w:val="10"/>
        </w:numPr>
        <w:tabs>
          <w:tab w:val="left" w:pos="425"/>
          <w:tab w:val="left" w:pos="851"/>
        </w:tabs>
        <w:autoSpaceDE w:val="0"/>
        <w:autoSpaceDN w:val="0"/>
        <w:adjustRightInd w:val="0"/>
        <w:spacing w:line="360" w:lineRule="auto"/>
        <w:rPr>
          <w:rFonts w:ascii="宋体" w:hAnsi="宋体" w:cs="黑体"/>
          <w:bCs/>
          <w:color w:val="auto"/>
          <w:szCs w:val="21"/>
          <w:highlight w:val="none"/>
        </w:rPr>
      </w:pPr>
      <w:r>
        <w:rPr>
          <w:rFonts w:hint="eastAsia" w:ascii="宋体" w:hAnsi="宋体" w:cs="黑体"/>
          <w:bCs/>
          <w:color w:val="auto"/>
          <w:szCs w:val="21"/>
          <w:highlight w:val="none"/>
        </w:rPr>
        <w:t>质疑项目的名称和项目编号，若对项目的某一分包进行质疑，应列明具体的包组号；</w:t>
      </w:r>
    </w:p>
    <w:p>
      <w:pPr>
        <w:pStyle w:val="127"/>
        <w:numPr>
          <w:ilvl w:val="0"/>
          <w:numId w:val="10"/>
        </w:numPr>
        <w:tabs>
          <w:tab w:val="left" w:pos="425"/>
          <w:tab w:val="left" w:pos="851"/>
        </w:tabs>
        <w:autoSpaceDE w:val="0"/>
        <w:autoSpaceDN w:val="0"/>
        <w:adjustRightInd w:val="0"/>
        <w:spacing w:line="360" w:lineRule="auto"/>
        <w:rPr>
          <w:rFonts w:ascii="宋体" w:hAnsi="宋体" w:cs="黑体"/>
          <w:bCs/>
          <w:color w:val="auto"/>
          <w:szCs w:val="21"/>
          <w:highlight w:val="none"/>
        </w:rPr>
      </w:pPr>
      <w:r>
        <w:rPr>
          <w:rFonts w:hint="eastAsia" w:ascii="宋体" w:hAnsi="宋体" w:cs="黑体"/>
          <w:bCs/>
          <w:color w:val="auto"/>
          <w:szCs w:val="21"/>
          <w:highlight w:val="none"/>
        </w:rPr>
        <w:t>具体、明确的质疑事项和与质疑事项相关的请求；</w:t>
      </w:r>
    </w:p>
    <w:p>
      <w:pPr>
        <w:pStyle w:val="127"/>
        <w:numPr>
          <w:ilvl w:val="0"/>
          <w:numId w:val="10"/>
        </w:numPr>
        <w:tabs>
          <w:tab w:val="left" w:pos="425"/>
          <w:tab w:val="left" w:pos="851"/>
        </w:tabs>
        <w:autoSpaceDE w:val="0"/>
        <w:autoSpaceDN w:val="0"/>
        <w:adjustRightInd w:val="0"/>
        <w:spacing w:line="360" w:lineRule="auto"/>
        <w:rPr>
          <w:rFonts w:ascii="宋体" w:hAnsi="宋体" w:cs="黑体"/>
          <w:bCs/>
          <w:color w:val="auto"/>
          <w:szCs w:val="21"/>
          <w:highlight w:val="none"/>
        </w:rPr>
      </w:pPr>
      <w:r>
        <w:rPr>
          <w:rFonts w:hint="eastAsia" w:ascii="宋体" w:hAnsi="宋体" w:cs="黑体"/>
          <w:bCs/>
          <w:color w:val="auto"/>
          <w:szCs w:val="21"/>
          <w:highlight w:val="none"/>
        </w:rPr>
        <w:t>事实依据；</w:t>
      </w:r>
    </w:p>
    <w:p>
      <w:pPr>
        <w:pStyle w:val="127"/>
        <w:numPr>
          <w:ilvl w:val="0"/>
          <w:numId w:val="10"/>
        </w:numPr>
        <w:tabs>
          <w:tab w:val="left" w:pos="425"/>
          <w:tab w:val="left" w:pos="851"/>
        </w:tabs>
        <w:autoSpaceDE w:val="0"/>
        <w:autoSpaceDN w:val="0"/>
        <w:adjustRightInd w:val="0"/>
        <w:spacing w:line="360" w:lineRule="auto"/>
        <w:rPr>
          <w:rFonts w:ascii="宋体" w:hAnsi="宋体" w:cs="黑体"/>
          <w:bCs/>
          <w:color w:val="auto"/>
          <w:szCs w:val="21"/>
          <w:highlight w:val="none"/>
        </w:rPr>
      </w:pPr>
      <w:r>
        <w:rPr>
          <w:rFonts w:hint="eastAsia" w:ascii="宋体" w:hAnsi="宋体" w:cs="黑体"/>
          <w:bCs/>
          <w:color w:val="auto"/>
          <w:szCs w:val="21"/>
          <w:highlight w:val="none"/>
        </w:rPr>
        <w:t>必要的法律依据；</w:t>
      </w:r>
    </w:p>
    <w:p>
      <w:pPr>
        <w:pStyle w:val="127"/>
        <w:numPr>
          <w:ilvl w:val="0"/>
          <w:numId w:val="10"/>
        </w:numPr>
        <w:tabs>
          <w:tab w:val="left" w:pos="425"/>
          <w:tab w:val="left" w:pos="851"/>
        </w:tabs>
        <w:autoSpaceDE w:val="0"/>
        <w:autoSpaceDN w:val="0"/>
        <w:adjustRightInd w:val="0"/>
        <w:spacing w:line="360" w:lineRule="auto"/>
        <w:rPr>
          <w:rFonts w:ascii="宋体" w:hAnsi="宋体" w:cs="黑体"/>
          <w:bCs/>
          <w:color w:val="auto"/>
          <w:szCs w:val="21"/>
          <w:highlight w:val="none"/>
        </w:rPr>
      </w:pPr>
      <w:r>
        <w:rPr>
          <w:rFonts w:hint="eastAsia" w:ascii="宋体" w:hAnsi="宋体" w:cs="黑体"/>
          <w:bCs/>
          <w:color w:val="auto"/>
          <w:szCs w:val="21"/>
          <w:highlight w:val="none"/>
        </w:rPr>
        <w:t>提出质疑的日期。</w:t>
      </w:r>
    </w:p>
    <w:p>
      <w:pPr>
        <w:autoSpaceDE w:val="0"/>
        <w:autoSpaceDN w:val="0"/>
        <w:adjustRightInd w:val="0"/>
        <w:spacing w:line="360" w:lineRule="auto"/>
        <w:rPr>
          <w:rFonts w:ascii="宋体" w:hAnsi="宋体" w:cs="黑体"/>
          <w:bCs/>
          <w:color w:val="auto"/>
          <w:szCs w:val="21"/>
          <w:highlight w:val="none"/>
        </w:rPr>
      </w:pPr>
      <w:r>
        <w:rPr>
          <w:rFonts w:hint="eastAsia" w:ascii="宋体" w:hAnsi="宋体" w:cs="黑体"/>
          <w:bCs/>
          <w:color w:val="auto"/>
          <w:szCs w:val="21"/>
          <w:highlight w:val="none"/>
        </w:rPr>
        <w:t>（3）供应商为自然人的，应当由本人签字；供应商为法人或者其他组织的，应当由法定代表人、主要</w:t>
      </w:r>
      <w:r>
        <w:rPr>
          <w:rFonts w:hint="eastAsia" w:ascii="宋体" w:hAnsi="宋体" w:cs="黑体"/>
          <w:bCs/>
          <w:color w:val="auto"/>
          <w:szCs w:val="21"/>
          <w:highlight w:val="none"/>
        </w:rPr>
        <w:tab/>
      </w:r>
      <w:r>
        <w:rPr>
          <w:rFonts w:hint="eastAsia" w:ascii="宋体" w:hAnsi="宋体" w:cs="黑体"/>
          <w:bCs/>
          <w:color w:val="auto"/>
          <w:szCs w:val="21"/>
          <w:highlight w:val="none"/>
        </w:rPr>
        <w:t>负责人或授权代表签字或者盖章，并加盖供应商公章；质疑供应商若委托代理人进行质疑的，质</w:t>
      </w:r>
      <w:r>
        <w:rPr>
          <w:rFonts w:hint="eastAsia" w:ascii="宋体" w:hAnsi="宋体" w:cs="黑体"/>
          <w:bCs/>
          <w:color w:val="auto"/>
          <w:szCs w:val="21"/>
          <w:highlight w:val="none"/>
        </w:rPr>
        <w:tab/>
      </w:r>
      <w:r>
        <w:rPr>
          <w:rFonts w:hint="eastAsia" w:ascii="宋体" w:hAnsi="宋体" w:cs="黑体"/>
          <w:bCs/>
          <w:color w:val="auto"/>
          <w:szCs w:val="21"/>
          <w:highlight w:val="none"/>
        </w:rPr>
        <w:t>疑函应按要求列明“授权代表”的有关内容，并提交由供应商签署的授权委托书及代理人身份证</w:t>
      </w:r>
      <w:r>
        <w:rPr>
          <w:rFonts w:hint="eastAsia" w:ascii="宋体" w:hAnsi="宋体" w:cs="黑体"/>
          <w:bCs/>
          <w:color w:val="auto"/>
          <w:szCs w:val="21"/>
          <w:highlight w:val="none"/>
        </w:rPr>
        <w:tab/>
      </w:r>
      <w:r>
        <w:rPr>
          <w:rFonts w:hint="eastAsia" w:ascii="宋体" w:hAnsi="宋体" w:cs="黑体"/>
          <w:bCs/>
          <w:color w:val="auto"/>
          <w:szCs w:val="21"/>
          <w:highlight w:val="none"/>
        </w:rPr>
        <w:t>复印件，并加盖供应商公章。授权委托书应载明代理人的姓名或者名称、代理事项、具体权限、</w:t>
      </w:r>
      <w:r>
        <w:rPr>
          <w:rFonts w:hint="eastAsia" w:ascii="宋体" w:hAnsi="宋体" w:cs="黑体"/>
          <w:bCs/>
          <w:color w:val="auto"/>
          <w:szCs w:val="21"/>
          <w:highlight w:val="none"/>
        </w:rPr>
        <w:tab/>
      </w:r>
      <w:r>
        <w:rPr>
          <w:rFonts w:hint="eastAsia" w:ascii="宋体" w:hAnsi="宋体" w:cs="黑体"/>
          <w:bCs/>
          <w:color w:val="auto"/>
          <w:szCs w:val="21"/>
          <w:highlight w:val="none"/>
        </w:rPr>
        <w:t>期限和相关事项。</w:t>
      </w:r>
    </w:p>
    <w:p>
      <w:pPr>
        <w:autoSpaceDE w:val="0"/>
        <w:autoSpaceDN w:val="0"/>
        <w:adjustRightInd w:val="0"/>
        <w:spacing w:line="360" w:lineRule="auto"/>
        <w:rPr>
          <w:rFonts w:ascii="宋体" w:hAnsi="宋体" w:cs="黑体"/>
          <w:bCs/>
          <w:color w:val="auto"/>
          <w:szCs w:val="21"/>
          <w:highlight w:val="none"/>
        </w:rPr>
      </w:pPr>
      <w:r>
        <w:rPr>
          <w:rFonts w:hint="eastAsia" w:ascii="宋体" w:hAnsi="宋体" w:cs="黑体"/>
          <w:bCs/>
          <w:color w:val="auto"/>
          <w:szCs w:val="21"/>
          <w:highlight w:val="none"/>
        </w:rPr>
        <w:t>（4）以联合体形式参加政府采购活动的，其质疑应当由组成联合体的所有供应商共同提出。</w:t>
      </w:r>
    </w:p>
    <w:p>
      <w:pPr>
        <w:autoSpaceDE w:val="0"/>
        <w:autoSpaceDN w:val="0"/>
        <w:adjustRightInd w:val="0"/>
        <w:spacing w:line="360" w:lineRule="auto"/>
        <w:rPr>
          <w:rFonts w:ascii="宋体" w:hAnsi="宋体"/>
          <w:snapToGrid w:val="0"/>
          <w:color w:val="auto"/>
          <w:szCs w:val="21"/>
          <w:highlight w:val="none"/>
        </w:rPr>
      </w:pPr>
      <w:r>
        <w:rPr>
          <w:rFonts w:hint="eastAsia" w:ascii="宋体" w:hAnsi="宋体"/>
          <w:color w:val="auto"/>
          <w:szCs w:val="21"/>
          <w:highlight w:val="none"/>
        </w:rPr>
        <w:t>（5）供应商捏造事实、提供虚假材料或者以非法手段取得证明材料不能作为质疑的证明材料</w:t>
      </w:r>
      <w:r>
        <w:rPr>
          <w:rFonts w:hint="eastAsia" w:ascii="宋体" w:hAnsi="宋体"/>
          <w:snapToGrid w:val="0"/>
          <w:color w:val="auto"/>
          <w:szCs w:val="21"/>
          <w:highlight w:val="none"/>
        </w:rPr>
        <w:t>。</w:t>
      </w:r>
    </w:p>
    <w:p>
      <w:pPr>
        <w:autoSpaceDE w:val="0"/>
        <w:autoSpaceDN w:val="0"/>
        <w:adjustRightInd w:val="0"/>
        <w:spacing w:line="360" w:lineRule="auto"/>
        <w:rPr>
          <w:rFonts w:ascii="宋体" w:hAnsi="宋体" w:cs="黑体"/>
          <w:bCs/>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eastAsia="zh-TW"/>
        </w:rPr>
        <w:t>采购人或者采购代理机构</w:t>
      </w:r>
      <w:r>
        <w:rPr>
          <w:rFonts w:hint="eastAsia" w:ascii="宋体" w:hAnsi="宋体"/>
          <w:color w:val="auto"/>
          <w:szCs w:val="21"/>
          <w:highlight w:val="none"/>
        </w:rPr>
        <w:t>在收到质疑函后7个工作日内作出答复，并以书面形式通知质疑供应商</w:t>
      </w:r>
      <w:r>
        <w:rPr>
          <w:rFonts w:hint="eastAsia" w:ascii="宋体" w:hAnsi="宋体"/>
          <w:color w:val="auto"/>
          <w:szCs w:val="21"/>
          <w:highlight w:val="none"/>
        </w:rPr>
        <w:tab/>
      </w:r>
      <w:r>
        <w:rPr>
          <w:rFonts w:hint="eastAsia" w:ascii="宋体" w:hAnsi="宋体"/>
          <w:color w:val="auto"/>
          <w:szCs w:val="21"/>
          <w:highlight w:val="none"/>
        </w:rPr>
        <w:t>和其他有关供应商，但答复内容不涉及商业秘密。</w:t>
      </w:r>
    </w:p>
    <w:p>
      <w:pPr>
        <w:autoSpaceDE w:val="0"/>
        <w:autoSpaceDN w:val="0"/>
        <w:adjustRightInd w:val="0"/>
        <w:spacing w:line="360" w:lineRule="auto"/>
        <w:rPr>
          <w:rFonts w:ascii="宋体" w:hAnsi="宋体"/>
          <w:b/>
          <w:bCs/>
          <w:color w:val="auto"/>
          <w:szCs w:val="21"/>
          <w:highlight w:val="none"/>
        </w:rPr>
      </w:pPr>
      <w:r>
        <w:rPr>
          <w:rFonts w:hint="eastAsia" w:ascii="宋体" w:hAnsi="宋体"/>
          <w:color w:val="auto"/>
          <w:szCs w:val="21"/>
          <w:highlight w:val="none"/>
        </w:rPr>
        <w:t>30.4 质疑的期间开始之日，不计算在期间内。期间届满的最后一日是节假日的，以节假日后的第一日</w:t>
      </w:r>
      <w:r>
        <w:rPr>
          <w:rFonts w:hint="eastAsia" w:ascii="宋体" w:hAnsi="宋体"/>
          <w:color w:val="auto"/>
          <w:szCs w:val="21"/>
          <w:highlight w:val="none"/>
        </w:rPr>
        <w:tab/>
      </w:r>
      <w:r>
        <w:rPr>
          <w:rFonts w:hint="eastAsia" w:ascii="宋体" w:hAnsi="宋体"/>
          <w:color w:val="auto"/>
          <w:szCs w:val="21"/>
          <w:highlight w:val="none"/>
        </w:rPr>
        <w:t>为期间届满的日期。期间不包括在途时间，询问和质疑文书在期满前交邮的，不算过期。</w:t>
      </w:r>
    </w:p>
    <w:p>
      <w:pPr>
        <w:autoSpaceDE w:val="0"/>
        <w:autoSpaceDN w:val="0"/>
        <w:adjustRightInd w:val="0"/>
        <w:spacing w:line="360" w:lineRule="auto"/>
        <w:rPr>
          <w:rFonts w:ascii="宋体" w:hAnsi="宋体"/>
          <w:color w:val="auto"/>
          <w:szCs w:val="21"/>
          <w:highlight w:val="none"/>
        </w:rPr>
      </w:pPr>
      <w:r>
        <w:rPr>
          <w:rFonts w:hint="eastAsia" w:ascii="宋体" w:hAnsi="宋体"/>
          <w:color w:val="auto"/>
          <w:szCs w:val="21"/>
          <w:highlight w:val="none"/>
        </w:rPr>
        <w:t>30.5 采购代理机构接收质疑函的联系部门、联系电话和通讯地址等信息详见</w:t>
      </w:r>
      <w:r>
        <w:rPr>
          <w:rFonts w:hint="eastAsia" w:ascii="宋体" w:hAnsi="宋体"/>
          <w:color w:val="auto"/>
          <w:kern w:val="0"/>
          <w:szCs w:val="21"/>
          <w:highlight w:val="none"/>
        </w:rPr>
        <w:t>《投标须知前附表》</w:t>
      </w:r>
      <w:r>
        <w:rPr>
          <w:rFonts w:hint="eastAsia" w:ascii="宋体" w:hAnsi="宋体"/>
          <w:color w:val="auto"/>
          <w:szCs w:val="21"/>
          <w:highlight w:val="none"/>
        </w:rPr>
        <w:t>。</w:t>
      </w:r>
    </w:p>
    <w:p>
      <w:pPr>
        <w:autoSpaceDE w:val="0"/>
        <w:autoSpaceDN w:val="0"/>
        <w:adjustRightInd w:val="0"/>
        <w:spacing w:line="360" w:lineRule="auto"/>
        <w:rPr>
          <w:rFonts w:ascii="宋体" w:hAnsi="宋体"/>
          <w:color w:val="auto"/>
          <w:szCs w:val="21"/>
          <w:highlight w:val="none"/>
        </w:rPr>
      </w:pPr>
      <w:r>
        <w:rPr>
          <w:rFonts w:hint="eastAsia" w:ascii="宋体" w:hAnsi="宋体"/>
          <w:color w:val="auto"/>
          <w:szCs w:val="21"/>
          <w:highlight w:val="none"/>
        </w:rPr>
        <w:t>30.6 具体询问、质疑函的格式详见《第六部分 投标文件格式》。</w:t>
      </w:r>
    </w:p>
    <w:p>
      <w:pPr>
        <w:autoSpaceDE w:val="0"/>
        <w:autoSpaceDN w:val="0"/>
        <w:adjustRightInd w:val="0"/>
        <w:spacing w:line="360" w:lineRule="auto"/>
        <w:rPr>
          <w:rFonts w:ascii="宋体" w:hAnsi="宋体" w:cs="黑体"/>
          <w:bCs/>
          <w:color w:val="auto"/>
          <w:szCs w:val="21"/>
          <w:highlight w:val="none"/>
        </w:rPr>
      </w:pPr>
      <w:r>
        <w:rPr>
          <w:rFonts w:hint="eastAsia" w:ascii="宋体" w:hAnsi="宋体"/>
          <w:color w:val="auto"/>
          <w:szCs w:val="21"/>
          <w:highlight w:val="none"/>
        </w:rPr>
        <w:t>31. 投诉</w:t>
      </w:r>
    </w:p>
    <w:p>
      <w:pPr>
        <w:autoSpaceDE w:val="0"/>
        <w:autoSpaceDN w:val="0"/>
        <w:adjustRightInd w:val="0"/>
        <w:spacing w:line="360" w:lineRule="auto"/>
        <w:rPr>
          <w:rFonts w:ascii="宋体" w:hAnsi="宋体"/>
          <w:color w:val="auto"/>
          <w:szCs w:val="21"/>
          <w:highlight w:val="none"/>
        </w:rPr>
      </w:pPr>
      <w:r>
        <w:rPr>
          <w:rFonts w:hint="eastAsia" w:ascii="宋体" w:hAnsi="宋体"/>
          <w:color w:val="auto"/>
          <w:szCs w:val="21"/>
          <w:highlight w:val="none"/>
        </w:rPr>
        <w:t>31.1 投标供应商对采购人或采购代理机构的质疑答复不满意或在规定时间内未得到答复的，可以在答复期满后15个工作日内，按如下联系方式向政府采购监督管理机构投诉。</w:t>
      </w:r>
    </w:p>
    <w:p>
      <w:pPr>
        <w:autoSpaceDE w:val="0"/>
        <w:autoSpaceDN w:val="0"/>
        <w:adjustRightInd w:val="0"/>
        <w:spacing w:line="360" w:lineRule="auto"/>
        <w:rPr>
          <w:rFonts w:ascii="宋体" w:hAnsi="宋体"/>
          <w:color w:val="auto"/>
          <w:szCs w:val="21"/>
          <w:highlight w:val="none"/>
        </w:rPr>
      </w:pPr>
      <w:r>
        <w:rPr>
          <w:rFonts w:hint="eastAsia" w:ascii="宋体" w:hAnsi="宋体"/>
          <w:color w:val="auto"/>
          <w:szCs w:val="21"/>
          <w:highlight w:val="none"/>
        </w:rPr>
        <w:t>31.2 政府采购监督管理机构名称：国家财政部国库司政府采购监督裁决处</w:t>
      </w:r>
    </w:p>
    <w:p>
      <w:pPr>
        <w:autoSpaceDE w:val="0"/>
        <w:autoSpaceDN w:val="0"/>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 址：北京市西城区月坛北小街13号中船宾馆北楼四层8401室、8403室</w:t>
      </w:r>
    </w:p>
    <w:p>
      <w:pPr>
        <w:autoSpaceDE w:val="0"/>
        <w:autoSpaceDN w:val="0"/>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电 话：010-68513070，68519967</w:t>
      </w:r>
    </w:p>
    <w:p>
      <w:pPr>
        <w:pStyle w:val="32"/>
        <w:adjustRightInd w:val="0"/>
        <w:spacing w:line="360" w:lineRule="auto"/>
        <w:outlineLvl w:val="1"/>
        <w:rPr>
          <w:rFonts w:hAnsi="宋体" w:cs="Times New Roman"/>
          <w:b/>
          <w:color w:val="auto"/>
          <w:highlight w:val="none"/>
        </w:rPr>
      </w:pPr>
      <w:bookmarkStart w:id="33" w:name="_Toc18894"/>
      <w:r>
        <w:rPr>
          <w:rFonts w:hint="eastAsia" w:hAnsi="宋体" w:cs="Times New Roman"/>
          <w:b/>
          <w:color w:val="auto"/>
          <w:highlight w:val="none"/>
        </w:rPr>
        <w:t>九、适用法律</w:t>
      </w:r>
      <w:bookmarkEnd w:id="33"/>
    </w:p>
    <w:p>
      <w:pPr>
        <w:spacing w:line="360" w:lineRule="auto"/>
        <w:rPr>
          <w:rFonts w:ascii="宋体" w:hAnsi="宋体"/>
          <w:color w:val="auto"/>
          <w:szCs w:val="21"/>
          <w:highlight w:val="none"/>
        </w:rPr>
      </w:pPr>
      <w:r>
        <w:rPr>
          <w:rFonts w:hint="eastAsia" w:ascii="宋体" w:hAnsi="宋体"/>
          <w:color w:val="auto"/>
          <w:szCs w:val="21"/>
          <w:highlight w:val="none"/>
        </w:rPr>
        <w:t>32. 采购人及投标人的一切招标投标活动均适用《中华人民共和国政府采购法》及其配套的法规、规章、</w:t>
      </w:r>
      <w:r>
        <w:rPr>
          <w:rFonts w:hint="eastAsia" w:ascii="宋体" w:hAnsi="宋体"/>
          <w:color w:val="auto"/>
          <w:szCs w:val="21"/>
          <w:highlight w:val="none"/>
        </w:rPr>
        <w:tab/>
      </w:r>
      <w:r>
        <w:rPr>
          <w:rFonts w:hint="eastAsia" w:ascii="宋体" w:hAnsi="宋体"/>
          <w:color w:val="auto"/>
          <w:szCs w:val="21"/>
          <w:highlight w:val="none"/>
        </w:rPr>
        <w:t>政策。</w:t>
      </w:r>
    </w:p>
    <w:p>
      <w:pPr>
        <w:spacing w:before="100" w:beforeAutospacing="1" w:after="100" w:afterAutospacing="1"/>
        <w:jc w:val="center"/>
        <w:outlineLvl w:val="0"/>
        <w:rPr>
          <w:rFonts w:ascii="宋体" w:hAnsi="宋体"/>
          <w:color w:val="auto"/>
          <w:sz w:val="36"/>
          <w:szCs w:val="36"/>
          <w:highlight w:val="none"/>
        </w:rPr>
      </w:pPr>
      <w:r>
        <w:rPr>
          <w:rFonts w:hint="eastAsia" w:ascii="宋体" w:hAnsi="宋体"/>
          <w:b/>
          <w:color w:val="auto"/>
          <w:highlight w:val="none"/>
        </w:rPr>
        <w:br w:type="page"/>
      </w:r>
      <w:bookmarkStart w:id="34" w:name="_Toc15041"/>
      <w:r>
        <w:rPr>
          <w:rFonts w:hint="eastAsia" w:ascii="宋体" w:hAnsi="宋体"/>
          <w:color w:val="auto"/>
          <w:sz w:val="36"/>
          <w:szCs w:val="36"/>
          <w:highlight w:val="none"/>
        </w:rPr>
        <w:t>第四部分　评标原则和方法</w:t>
      </w:r>
      <w:bookmarkEnd w:id="34"/>
    </w:p>
    <w:p>
      <w:pPr>
        <w:spacing w:line="360" w:lineRule="auto"/>
        <w:rPr>
          <w:rFonts w:ascii="宋体" w:hAnsi="宋体"/>
          <w:color w:val="auto"/>
          <w:szCs w:val="21"/>
          <w:highlight w:val="none"/>
        </w:rPr>
      </w:pPr>
      <w:r>
        <w:rPr>
          <w:rFonts w:hint="eastAsia" w:ascii="宋体" w:hAnsi="宋体"/>
          <w:color w:val="auto"/>
          <w:szCs w:val="21"/>
          <w:highlight w:val="none"/>
        </w:rPr>
        <w:t>1.根据《中华人民共和国政府采购法》 《中华人民共和国政府采购法实施条例》 《政府采购货物和服</w:t>
      </w:r>
      <w:r>
        <w:rPr>
          <w:rFonts w:hint="eastAsia" w:ascii="宋体" w:hAnsi="宋体"/>
          <w:color w:val="auto"/>
          <w:szCs w:val="21"/>
          <w:highlight w:val="none"/>
        </w:rPr>
        <w:tab/>
      </w:r>
      <w:r>
        <w:rPr>
          <w:rFonts w:hint="eastAsia" w:ascii="宋体" w:hAnsi="宋体"/>
          <w:color w:val="auto"/>
          <w:szCs w:val="21"/>
          <w:highlight w:val="none"/>
        </w:rPr>
        <w:t>务招标投标管理办法》（财政部令第87号）等有关招标评标的规定、方法，结合本项目招标文件要</w:t>
      </w:r>
      <w:r>
        <w:rPr>
          <w:rFonts w:hint="eastAsia" w:ascii="宋体" w:hAnsi="宋体"/>
          <w:color w:val="auto"/>
          <w:szCs w:val="21"/>
          <w:highlight w:val="none"/>
        </w:rPr>
        <w:tab/>
      </w:r>
      <w:r>
        <w:rPr>
          <w:rFonts w:hint="eastAsia" w:ascii="宋体" w:hAnsi="宋体"/>
          <w:color w:val="auto"/>
          <w:szCs w:val="21"/>
          <w:highlight w:val="none"/>
        </w:rPr>
        <w:t>求，遵循公平、公正、科学、择优的原则制订以下评标方法。</w:t>
      </w:r>
    </w:p>
    <w:p>
      <w:pPr>
        <w:pStyle w:val="32"/>
        <w:adjustRightInd w:val="0"/>
        <w:spacing w:line="360" w:lineRule="auto"/>
        <w:rPr>
          <w:rFonts w:hAnsi="宋体" w:cs="Times New Roman"/>
          <w:color w:val="auto"/>
          <w:highlight w:val="none"/>
        </w:rPr>
      </w:pPr>
      <w:r>
        <w:rPr>
          <w:rFonts w:hint="eastAsia" w:hAnsi="宋体"/>
          <w:color w:val="auto"/>
          <w:highlight w:val="none"/>
        </w:rPr>
        <w:t>2</w:t>
      </w:r>
      <w:r>
        <w:rPr>
          <w:rFonts w:hint="eastAsia" w:hAnsi="宋体" w:cs="Times New Roman"/>
          <w:color w:val="auto"/>
          <w:highlight w:val="none"/>
        </w:rPr>
        <w:t>. 评标委员会的组成</w:t>
      </w:r>
    </w:p>
    <w:p>
      <w:pPr>
        <w:autoSpaceDE w:val="0"/>
        <w:autoSpaceDN w:val="0"/>
        <w:adjustRightInd w:val="0"/>
        <w:spacing w:line="360" w:lineRule="auto"/>
        <w:ind w:left="473" w:right="32" w:hanging="472" w:hangingChars="225"/>
        <w:rPr>
          <w:rFonts w:ascii="宋体" w:hAnsi="宋体"/>
          <w:color w:val="auto"/>
          <w:kern w:val="0"/>
          <w:szCs w:val="21"/>
          <w:highlight w:val="none"/>
        </w:rPr>
      </w:pPr>
      <w:r>
        <w:rPr>
          <w:rFonts w:hint="eastAsia" w:ascii="宋体" w:hAnsi="宋体"/>
          <w:color w:val="auto"/>
          <w:szCs w:val="21"/>
          <w:highlight w:val="none"/>
        </w:rPr>
        <w:t>2.1 评标委员会成员人数应当为5人以上单数，其中评审专家不得少于成员总数的三分之二</w:t>
      </w:r>
      <w:r>
        <w:rPr>
          <w:rFonts w:hint="eastAsia" w:ascii="宋体" w:hAnsi="宋体"/>
          <w:color w:val="auto"/>
          <w:kern w:val="0"/>
          <w:szCs w:val="21"/>
          <w:highlight w:val="none"/>
        </w:rPr>
        <w:t>。</w:t>
      </w:r>
    </w:p>
    <w:p>
      <w:pPr>
        <w:autoSpaceDE w:val="0"/>
        <w:autoSpaceDN w:val="0"/>
        <w:adjustRightInd w:val="0"/>
        <w:spacing w:line="360" w:lineRule="auto"/>
        <w:ind w:left="473" w:right="32" w:hanging="472" w:hangingChars="225"/>
        <w:rPr>
          <w:rFonts w:ascii="宋体" w:hAnsi="宋体"/>
          <w:color w:val="auto"/>
          <w:kern w:val="0"/>
          <w:szCs w:val="21"/>
          <w:highlight w:val="none"/>
        </w:rPr>
      </w:pPr>
      <w:r>
        <w:rPr>
          <w:rFonts w:hint="eastAsia" w:ascii="宋体" w:hAnsi="宋体"/>
          <w:color w:val="auto"/>
          <w:kern w:val="0"/>
          <w:szCs w:val="21"/>
          <w:highlight w:val="none"/>
        </w:rPr>
        <w:t>2.2 评审专家对本单位的采购项目只能作为采购人代表参与评标，（对技术复杂、专业性强的采购项目，通过随机方式难以确定合适评审专家的，经主管预算单位同意，采购人可以自行选定相应专业领域的评审专家）。采购代理机构工作人员不得参加由本机构代理的政府采购项目的评标。</w:t>
      </w:r>
    </w:p>
    <w:p>
      <w:pPr>
        <w:autoSpaceDE w:val="0"/>
        <w:autoSpaceDN w:val="0"/>
        <w:adjustRightInd w:val="0"/>
        <w:spacing w:line="360" w:lineRule="auto"/>
        <w:ind w:left="473" w:right="32" w:hanging="472" w:hangingChars="225"/>
        <w:rPr>
          <w:rFonts w:ascii="宋体" w:hAnsi="宋体"/>
          <w:color w:val="auto"/>
          <w:kern w:val="0"/>
          <w:szCs w:val="21"/>
          <w:highlight w:val="none"/>
        </w:rPr>
      </w:pPr>
      <w:r>
        <w:rPr>
          <w:rFonts w:hint="eastAsia" w:ascii="宋体" w:hAnsi="宋体"/>
          <w:color w:val="auto"/>
          <w:kern w:val="0"/>
          <w:szCs w:val="21"/>
          <w:highlight w:val="none"/>
        </w:rPr>
        <w:t>2.3 评标委员会成员名单在评标结果公告前应当保密。</w:t>
      </w:r>
    </w:p>
    <w:p>
      <w:pPr>
        <w:autoSpaceDE w:val="0"/>
        <w:autoSpaceDN w:val="0"/>
        <w:adjustRightInd w:val="0"/>
        <w:spacing w:line="360" w:lineRule="auto"/>
        <w:ind w:left="473" w:right="32" w:hanging="472" w:hangingChars="225"/>
        <w:rPr>
          <w:rFonts w:ascii="宋体" w:hAnsi="宋体"/>
          <w:color w:val="auto"/>
          <w:kern w:val="0"/>
          <w:szCs w:val="21"/>
          <w:highlight w:val="none"/>
        </w:rPr>
      </w:pPr>
      <w:r>
        <w:rPr>
          <w:rFonts w:hint="eastAsia" w:ascii="宋体" w:hAnsi="宋体"/>
          <w:color w:val="auto"/>
          <w:kern w:val="0"/>
          <w:szCs w:val="21"/>
          <w:highlight w:val="none"/>
        </w:rPr>
        <w:t>2.4 采购人或者采购代理机构应当从相关评审专家库中，通过随机方式抽取评审专家。</w:t>
      </w:r>
    </w:p>
    <w:p>
      <w:pPr>
        <w:autoSpaceDE w:val="0"/>
        <w:autoSpaceDN w:val="0"/>
        <w:adjustRightInd w:val="0"/>
        <w:spacing w:line="360" w:lineRule="auto"/>
        <w:ind w:left="473" w:right="32" w:hanging="472" w:hangingChars="225"/>
        <w:rPr>
          <w:rFonts w:ascii="宋体" w:hAnsi="宋体"/>
          <w:color w:val="auto"/>
          <w:kern w:val="0"/>
          <w:szCs w:val="21"/>
          <w:highlight w:val="none"/>
        </w:rPr>
      </w:pPr>
      <w:r>
        <w:rPr>
          <w:rFonts w:hint="eastAsia" w:ascii="宋体" w:hAnsi="宋体"/>
          <w:color w:val="auto"/>
          <w:kern w:val="0"/>
          <w:szCs w:val="21"/>
          <w:highlight w:val="none"/>
        </w:rPr>
        <w:t>2.5 评标中因评标委员会成员缺席、回避或者健康等特殊原因导致评标委员会组成不符合法规规定的，采购人或者采购代理机构应当依法补足后继续评标。被更换的评标委员会成员所作出的评标意见无效。无法及时补足评标委员会成员的，采购人或者采购代理机构应当停止评标活动，封存所有投标文件和开标、评标资料，依法重新组建评标委员会进行评标。原评标委员会所作出的评标意见无效。采购人或者采购代理机构应当将变更、重新组建评标委员会的情况予以记录，并随采购文件一并存档。</w:t>
      </w:r>
    </w:p>
    <w:p>
      <w:pPr>
        <w:autoSpaceDE w:val="0"/>
        <w:autoSpaceDN w:val="0"/>
        <w:adjustRightInd w:val="0"/>
        <w:spacing w:line="360" w:lineRule="auto"/>
        <w:ind w:left="473" w:right="32" w:hanging="472" w:hangingChars="225"/>
        <w:rPr>
          <w:rFonts w:ascii="宋体" w:hAnsi="宋体"/>
          <w:color w:val="auto"/>
          <w:szCs w:val="21"/>
          <w:highlight w:val="none"/>
        </w:rPr>
      </w:pPr>
      <w:r>
        <w:rPr>
          <w:rFonts w:hint="eastAsia" w:ascii="宋体" w:hAnsi="宋体"/>
          <w:color w:val="auto"/>
          <w:kern w:val="0"/>
          <w:szCs w:val="21"/>
          <w:highlight w:val="none"/>
        </w:rPr>
        <w:t xml:space="preserve">2.6 </w:t>
      </w:r>
      <w:r>
        <w:rPr>
          <w:rFonts w:hint="eastAsia" w:ascii="宋体" w:hAnsi="宋体" w:cs="宋体"/>
          <w:color w:val="auto"/>
          <w:szCs w:val="21"/>
          <w:highlight w:val="none"/>
          <w:lang w:eastAsia="zh-TW"/>
        </w:rPr>
        <w:t>评审专家有下列情形之一的，受到邀请应主动提出回避，采购当事人也可以要求该评审专家回避：</w:t>
      </w:r>
    </w:p>
    <w:p>
      <w:pPr>
        <w:pStyle w:val="127"/>
        <w:widowControl/>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CN"/>
        </w:rPr>
        <w:t>（1）</w:t>
      </w:r>
      <w:r>
        <w:rPr>
          <w:rFonts w:hint="eastAsia" w:ascii="宋体" w:hAnsi="宋体" w:cs="宋体"/>
          <w:color w:val="auto"/>
          <w:szCs w:val="21"/>
          <w:highlight w:val="none"/>
          <w:lang w:eastAsia="zh-TW"/>
        </w:rPr>
        <w:t>参加采购活动前3年内与供应商存在劳动关系；</w:t>
      </w:r>
    </w:p>
    <w:p>
      <w:pPr>
        <w:pStyle w:val="127"/>
        <w:widowControl/>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CN"/>
        </w:rPr>
        <w:t>（2）</w:t>
      </w:r>
      <w:r>
        <w:rPr>
          <w:rFonts w:hint="eastAsia" w:ascii="宋体" w:hAnsi="宋体" w:cs="宋体"/>
          <w:color w:val="auto"/>
          <w:szCs w:val="21"/>
          <w:highlight w:val="none"/>
          <w:lang w:eastAsia="zh-TW"/>
        </w:rPr>
        <w:t>参加采购活动前3年内担任供应商的董事</w:t>
      </w:r>
      <w:r>
        <w:rPr>
          <w:rFonts w:hint="eastAsia" w:ascii="宋体" w:hAnsi="宋体" w:cs="宋体"/>
          <w:color w:val="auto"/>
          <w:szCs w:val="21"/>
          <w:highlight w:val="none"/>
        </w:rPr>
        <w:t>或</w:t>
      </w:r>
      <w:r>
        <w:rPr>
          <w:rFonts w:hint="eastAsia" w:ascii="宋体" w:hAnsi="宋体" w:cs="宋体"/>
          <w:color w:val="auto"/>
          <w:szCs w:val="21"/>
          <w:highlight w:val="none"/>
          <w:lang w:eastAsia="zh-TW"/>
        </w:rPr>
        <w:t>监事；</w:t>
      </w:r>
    </w:p>
    <w:p>
      <w:pPr>
        <w:pStyle w:val="127"/>
        <w:widowControl/>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CN"/>
        </w:rPr>
        <w:t>（3）</w:t>
      </w:r>
      <w:r>
        <w:rPr>
          <w:rFonts w:hint="eastAsia" w:ascii="宋体" w:hAnsi="宋体" w:cs="宋体"/>
          <w:color w:val="auto"/>
          <w:szCs w:val="21"/>
          <w:highlight w:val="none"/>
          <w:lang w:eastAsia="zh-TW"/>
        </w:rPr>
        <w:t>参加采购活动前3年内是供应商的控股股东或者实际控制人；</w:t>
      </w:r>
    </w:p>
    <w:p>
      <w:pPr>
        <w:pStyle w:val="127"/>
        <w:widowControl/>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CN"/>
        </w:rPr>
        <w:t>（4）</w:t>
      </w:r>
      <w:r>
        <w:rPr>
          <w:rFonts w:hint="eastAsia" w:ascii="宋体" w:hAnsi="宋体" w:cs="宋体"/>
          <w:color w:val="auto"/>
          <w:szCs w:val="21"/>
          <w:highlight w:val="none"/>
          <w:lang w:eastAsia="zh-TW"/>
        </w:rPr>
        <w:t>与供应商的法定代表人或者负责人有夫妻、直系血亲、三代以内旁系血亲或者近姻亲关系；</w:t>
      </w:r>
    </w:p>
    <w:p>
      <w:pPr>
        <w:pStyle w:val="127"/>
        <w:widowControl/>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CN"/>
        </w:rPr>
        <w:t>（5）</w:t>
      </w:r>
      <w:r>
        <w:rPr>
          <w:rFonts w:hint="eastAsia" w:ascii="宋体" w:hAnsi="宋体" w:cs="宋体"/>
          <w:color w:val="auto"/>
          <w:szCs w:val="21"/>
          <w:highlight w:val="none"/>
          <w:lang w:eastAsia="zh-TW"/>
        </w:rPr>
        <w:t>与供应商有其他可能影响政府采购活动公平、公正进行的关系。</w:t>
      </w:r>
    </w:p>
    <w:p>
      <w:pPr>
        <w:autoSpaceDE w:val="0"/>
        <w:autoSpaceDN w:val="0"/>
        <w:adjustRightInd w:val="0"/>
        <w:spacing w:line="360" w:lineRule="auto"/>
        <w:ind w:right="32"/>
        <w:rPr>
          <w:rFonts w:ascii="宋体" w:hAnsi="宋体"/>
          <w:color w:val="auto"/>
          <w:szCs w:val="21"/>
          <w:highlight w:val="none"/>
        </w:rPr>
      </w:pPr>
      <w:r>
        <w:rPr>
          <w:rFonts w:hint="eastAsia" w:ascii="宋体" w:hAnsi="宋体"/>
          <w:color w:val="auto"/>
          <w:szCs w:val="21"/>
          <w:highlight w:val="none"/>
        </w:rPr>
        <w:t>3. 评标</w:t>
      </w:r>
    </w:p>
    <w:p>
      <w:pPr>
        <w:autoSpaceDE w:val="0"/>
        <w:autoSpaceDN w:val="0"/>
        <w:adjustRightInd w:val="0"/>
        <w:spacing w:line="360" w:lineRule="auto"/>
        <w:ind w:right="32"/>
        <w:rPr>
          <w:rFonts w:ascii="宋体" w:hAnsi="宋体"/>
          <w:color w:val="auto"/>
          <w:szCs w:val="21"/>
          <w:highlight w:val="none"/>
        </w:rPr>
      </w:pPr>
      <w:r>
        <w:rPr>
          <w:rFonts w:hint="eastAsia" w:ascii="宋体" w:hAnsi="宋体"/>
          <w:color w:val="auto"/>
          <w:szCs w:val="21"/>
          <w:highlight w:val="none"/>
        </w:rPr>
        <w:t>3.1 评标委员会成员和参与评标的有关工作人员不得透露对投标文件的评审和比较、中标候选人的推</w:t>
      </w:r>
      <w:r>
        <w:rPr>
          <w:rFonts w:hint="eastAsia" w:ascii="宋体" w:hAnsi="宋体"/>
          <w:color w:val="auto"/>
          <w:szCs w:val="21"/>
          <w:highlight w:val="none"/>
        </w:rPr>
        <w:tab/>
      </w:r>
      <w:r>
        <w:rPr>
          <w:rFonts w:hint="eastAsia" w:ascii="宋体" w:hAnsi="宋体"/>
          <w:color w:val="auto"/>
          <w:szCs w:val="21"/>
          <w:highlight w:val="none"/>
        </w:rPr>
        <w:t>荐情况以及与评标有关的其他情况。</w:t>
      </w:r>
    </w:p>
    <w:p>
      <w:pPr>
        <w:autoSpaceDE w:val="0"/>
        <w:autoSpaceDN w:val="0"/>
        <w:adjustRightInd w:val="0"/>
        <w:spacing w:line="360" w:lineRule="auto"/>
        <w:ind w:right="32"/>
        <w:rPr>
          <w:rFonts w:ascii="宋体" w:hAnsi="宋体"/>
          <w:color w:val="auto"/>
          <w:szCs w:val="21"/>
          <w:highlight w:val="none"/>
        </w:rPr>
      </w:pPr>
      <w:r>
        <w:rPr>
          <w:rFonts w:hint="eastAsia" w:ascii="宋体" w:hAnsi="宋体"/>
          <w:color w:val="auto"/>
          <w:szCs w:val="21"/>
          <w:highlight w:val="none"/>
        </w:rPr>
        <w:t>3.2 评标委员会负责具体评标事务，并独立履行下列职责：</w:t>
      </w:r>
    </w:p>
    <w:p>
      <w:pPr>
        <w:autoSpaceDE w:val="0"/>
        <w:autoSpaceDN w:val="0"/>
        <w:adjustRightInd w:val="0"/>
        <w:spacing w:line="360" w:lineRule="auto"/>
        <w:ind w:right="32" w:firstLine="420"/>
        <w:rPr>
          <w:rFonts w:ascii="宋体" w:hAnsi="宋体"/>
          <w:color w:val="auto"/>
          <w:szCs w:val="21"/>
          <w:highlight w:val="none"/>
        </w:rPr>
      </w:pPr>
      <w:r>
        <w:rPr>
          <w:rFonts w:hint="eastAsia" w:ascii="宋体" w:hAnsi="宋体"/>
          <w:color w:val="auto"/>
          <w:szCs w:val="21"/>
          <w:highlight w:val="none"/>
        </w:rPr>
        <w:t>（1）审查、评价投标文件是否符合招标文件的商务、技术等实质性要求；</w:t>
      </w:r>
    </w:p>
    <w:p>
      <w:pPr>
        <w:autoSpaceDE w:val="0"/>
        <w:autoSpaceDN w:val="0"/>
        <w:adjustRightInd w:val="0"/>
        <w:spacing w:line="360" w:lineRule="auto"/>
        <w:ind w:right="32" w:firstLine="420"/>
        <w:rPr>
          <w:rFonts w:ascii="宋体" w:hAnsi="宋体"/>
          <w:color w:val="auto"/>
          <w:szCs w:val="21"/>
          <w:highlight w:val="none"/>
        </w:rPr>
      </w:pPr>
      <w:r>
        <w:rPr>
          <w:rFonts w:hint="eastAsia" w:ascii="宋体" w:hAnsi="宋体"/>
          <w:color w:val="auto"/>
          <w:szCs w:val="21"/>
          <w:highlight w:val="none"/>
        </w:rPr>
        <w:t>（2）要求投标人对投标文件有关事项作出澄清或者说明；</w:t>
      </w:r>
    </w:p>
    <w:p>
      <w:pPr>
        <w:autoSpaceDE w:val="0"/>
        <w:autoSpaceDN w:val="0"/>
        <w:adjustRightInd w:val="0"/>
        <w:spacing w:line="360" w:lineRule="auto"/>
        <w:ind w:right="32" w:firstLine="420"/>
        <w:rPr>
          <w:rFonts w:ascii="宋体" w:hAnsi="宋体"/>
          <w:color w:val="auto"/>
          <w:szCs w:val="21"/>
          <w:highlight w:val="none"/>
        </w:rPr>
      </w:pPr>
      <w:r>
        <w:rPr>
          <w:rFonts w:hint="eastAsia" w:ascii="宋体" w:hAnsi="宋体"/>
          <w:color w:val="auto"/>
          <w:szCs w:val="21"/>
          <w:highlight w:val="none"/>
        </w:rPr>
        <w:t>（3）对投标文件进行比较和评价；</w:t>
      </w:r>
    </w:p>
    <w:p>
      <w:pPr>
        <w:autoSpaceDE w:val="0"/>
        <w:autoSpaceDN w:val="0"/>
        <w:adjustRightInd w:val="0"/>
        <w:spacing w:line="360" w:lineRule="auto"/>
        <w:ind w:right="32" w:firstLine="420"/>
        <w:rPr>
          <w:rFonts w:ascii="宋体" w:hAnsi="宋体"/>
          <w:color w:val="auto"/>
          <w:szCs w:val="21"/>
          <w:highlight w:val="none"/>
        </w:rPr>
      </w:pPr>
      <w:r>
        <w:rPr>
          <w:rFonts w:hint="eastAsia" w:ascii="宋体" w:hAnsi="宋体"/>
          <w:color w:val="auto"/>
          <w:szCs w:val="21"/>
          <w:highlight w:val="none"/>
        </w:rPr>
        <w:t>（4）确定中标候选人名单，以及根据采购人委托直接确定中标人；</w:t>
      </w:r>
    </w:p>
    <w:p>
      <w:pPr>
        <w:autoSpaceDE w:val="0"/>
        <w:autoSpaceDN w:val="0"/>
        <w:adjustRightInd w:val="0"/>
        <w:spacing w:line="360" w:lineRule="auto"/>
        <w:ind w:right="32" w:firstLine="420"/>
        <w:rPr>
          <w:rFonts w:ascii="宋体" w:hAnsi="宋体"/>
          <w:color w:val="auto"/>
          <w:szCs w:val="21"/>
          <w:highlight w:val="none"/>
        </w:rPr>
      </w:pPr>
      <w:r>
        <w:rPr>
          <w:rFonts w:hint="eastAsia" w:ascii="宋体" w:hAnsi="宋体"/>
          <w:color w:val="auto"/>
          <w:szCs w:val="21"/>
          <w:highlight w:val="none"/>
        </w:rPr>
        <w:t>（5）向采购人、采购代理机构或者有关部门报告评标中发现的违法行为。</w:t>
      </w:r>
    </w:p>
    <w:p>
      <w:pPr>
        <w:autoSpaceDE w:val="0"/>
        <w:autoSpaceDN w:val="0"/>
        <w:adjustRightInd w:val="0"/>
        <w:spacing w:line="360" w:lineRule="auto"/>
        <w:ind w:left="473" w:right="32" w:hanging="472" w:hangingChars="225"/>
        <w:rPr>
          <w:rFonts w:ascii="宋体" w:hAnsi="宋体"/>
          <w:color w:val="auto"/>
          <w:szCs w:val="21"/>
          <w:highlight w:val="none"/>
        </w:rPr>
      </w:pPr>
      <w:r>
        <w:rPr>
          <w:rFonts w:hint="eastAsia" w:ascii="宋体" w:hAnsi="宋体"/>
          <w:color w:val="auto"/>
          <w:szCs w:val="21"/>
          <w:highlight w:val="none"/>
        </w:rPr>
        <w:t>3.3 对于投标文件中含义不明确、同类问题表述不一致或者有明显文字和计算错误的内容，评标委员会应当以书面形式要求投标人作出必要的澄清、说明或者补正。</w:t>
      </w:r>
    </w:p>
    <w:p>
      <w:pPr>
        <w:autoSpaceDE w:val="0"/>
        <w:autoSpaceDN w:val="0"/>
        <w:adjustRightInd w:val="0"/>
        <w:spacing w:line="360" w:lineRule="auto"/>
        <w:ind w:left="473" w:right="32" w:hanging="472" w:hangingChars="225"/>
        <w:rPr>
          <w:rFonts w:ascii="宋体" w:hAnsi="宋体"/>
          <w:color w:val="auto"/>
          <w:szCs w:val="21"/>
          <w:highlight w:val="none"/>
        </w:rPr>
      </w:pPr>
      <w:r>
        <w:rPr>
          <w:rFonts w:hint="eastAsia" w:ascii="宋体" w:hAnsi="宋体"/>
          <w:color w:val="auto"/>
          <w:szCs w:val="21"/>
          <w:highlight w:val="none"/>
        </w:rPr>
        <w:t>3.4 投标人的澄清、说明或者补正应当采用书面形式，并加盖公章，或者由法定代表人或其授权的代表签字。投标人的澄清、说明或者补正不得超出投标文件的范围或者改变投标文件的实质性内容。投标人的澄清文件是其投标文件的组成部分。</w:t>
      </w:r>
    </w:p>
    <w:p>
      <w:pPr>
        <w:autoSpaceDE w:val="0"/>
        <w:autoSpaceDN w:val="0"/>
        <w:adjustRightInd w:val="0"/>
        <w:spacing w:line="360" w:lineRule="auto"/>
        <w:ind w:left="473" w:right="32" w:hanging="472" w:hangingChars="225"/>
        <w:rPr>
          <w:rFonts w:ascii="宋体" w:hAnsi="宋体"/>
          <w:color w:val="auto"/>
          <w:szCs w:val="21"/>
          <w:highlight w:val="none"/>
        </w:rPr>
      </w:pPr>
      <w:r>
        <w:rPr>
          <w:rFonts w:hint="eastAsia" w:ascii="宋体" w:hAnsi="宋体"/>
          <w:color w:val="auto"/>
          <w:szCs w:val="21"/>
          <w:highlight w:val="none"/>
        </w:rPr>
        <w:t>3.5 投标文件报价出现前后不一致的，按照下列规定修正：</w:t>
      </w:r>
    </w:p>
    <w:p>
      <w:pPr>
        <w:autoSpaceDE w:val="0"/>
        <w:autoSpaceDN w:val="0"/>
        <w:adjustRightInd w:val="0"/>
        <w:spacing w:line="360" w:lineRule="auto"/>
        <w:ind w:left="473" w:right="32" w:hanging="472" w:hangingChars="225"/>
        <w:rPr>
          <w:rFonts w:ascii="宋体" w:hAnsi="宋体"/>
          <w:color w:val="auto"/>
          <w:szCs w:val="21"/>
          <w:highlight w:val="none"/>
        </w:rPr>
      </w:pPr>
      <w:r>
        <w:rPr>
          <w:rFonts w:hint="eastAsia" w:ascii="宋体" w:hAnsi="宋体"/>
          <w:color w:val="auto"/>
          <w:szCs w:val="21"/>
          <w:highlight w:val="none"/>
        </w:rPr>
        <w:t>（1）投标文件中开标一览表（报价表）内容与投标文件中相应内容不一致的，以开标一览表（报价表）为准；</w:t>
      </w:r>
    </w:p>
    <w:p>
      <w:pPr>
        <w:autoSpaceDE w:val="0"/>
        <w:autoSpaceDN w:val="0"/>
        <w:adjustRightInd w:val="0"/>
        <w:spacing w:line="360" w:lineRule="auto"/>
        <w:ind w:left="473" w:right="32" w:hanging="472" w:hangingChars="225"/>
        <w:rPr>
          <w:rFonts w:ascii="宋体" w:hAnsi="宋体"/>
          <w:color w:val="auto"/>
          <w:szCs w:val="21"/>
          <w:highlight w:val="none"/>
        </w:rPr>
      </w:pPr>
      <w:r>
        <w:rPr>
          <w:rFonts w:hint="eastAsia" w:ascii="宋体" w:hAnsi="宋体"/>
          <w:color w:val="auto"/>
          <w:szCs w:val="21"/>
          <w:highlight w:val="none"/>
        </w:rPr>
        <w:t>（2）大写金额和小写金额不一致的，以大写金额为准；</w:t>
      </w:r>
    </w:p>
    <w:p>
      <w:pPr>
        <w:autoSpaceDE w:val="0"/>
        <w:autoSpaceDN w:val="0"/>
        <w:adjustRightInd w:val="0"/>
        <w:spacing w:line="360" w:lineRule="auto"/>
        <w:ind w:left="473" w:right="32" w:hanging="472" w:hangingChars="225"/>
        <w:rPr>
          <w:rFonts w:ascii="宋体" w:hAnsi="宋体"/>
          <w:color w:val="auto"/>
          <w:szCs w:val="21"/>
          <w:highlight w:val="none"/>
        </w:rPr>
      </w:pPr>
      <w:r>
        <w:rPr>
          <w:rFonts w:hint="eastAsia" w:ascii="宋体" w:hAnsi="宋体"/>
          <w:color w:val="auto"/>
          <w:szCs w:val="21"/>
          <w:highlight w:val="none"/>
        </w:rPr>
        <w:t>（3）单价金额小数点或者百分比有明显错位的，以开标一览表的总价为准，并修改单价；</w:t>
      </w:r>
    </w:p>
    <w:p>
      <w:pPr>
        <w:autoSpaceDE w:val="0"/>
        <w:autoSpaceDN w:val="0"/>
        <w:adjustRightInd w:val="0"/>
        <w:spacing w:line="360" w:lineRule="auto"/>
        <w:ind w:left="473" w:right="32" w:hanging="472" w:hangingChars="225"/>
        <w:rPr>
          <w:rFonts w:ascii="宋体" w:hAnsi="宋体"/>
          <w:color w:val="auto"/>
          <w:szCs w:val="21"/>
          <w:highlight w:val="none"/>
        </w:rPr>
      </w:pPr>
      <w:r>
        <w:rPr>
          <w:rFonts w:hint="eastAsia" w:ascii="宋体" w:hAnsi="宋体"/>
          <w:color w:val="auto"/>
          <w:szCs w:val="21"/>
          <w:highlight w:val="none"/>
        </w:rPr>
        <w:t>（4）总价金额与按单价汇总金额不一致的，以单价金额计算结果为准。</w:t>
      </w:r>
    </w:p>
    <w:p>
      <w:pPr>
        <w:autoSpaceDE w:val="0"/>
        <w:autoSpaceDN w:val="0"/>
        <w:adjustRightInd w:val="0"/>
        <w:spacing w:line="360" w:lineRule="auto"/>
        <w:ind w:right="32"/>
        <w:rPr>
          <w:rFonts w:ascii="宋体" w:hAnsi="宋体"/>
          <w:color w:val="auto"/>
          <w:szCs w:val="21"/>
          <w:highlight w:val="none"/>
        </w:rPr>
      </w:pPr>
      <w:r>
        <w:rPr>
          <w:rFonts w:hint="eastAsia" w:ascii="宋体" w:hAnsi="宋体"/>
          <w:color w:val="auto"/>
          <w:szCs w:val="21"/>
          <w:highlight w:val="none"/>
        </w:rPr>
        <w:t>（5）同时出现上述四种中两种以上不一致的，按照上述规定的顺序修正。修正后的报价按照3.4条款规定</w:t>
      </w:r>
      <w:r>
        <w:rPr>
          <w:rFonts w:hint="eastAsia" w:ascii="宋体" w:hAnsi="宋体"/>
          <w:color w:val="auto"/>
          <w:szCs w:val="21"/>
          <w:highlight w:val="none"/>
        </w:rPr>
        <w:tab/>
      </w:r>
      <w:r>
        <w:rPr>
          <w:rFonts w:hint="eastAsia" w:ascii="宋体" w:hAnsi="宋体"/>
          <w:color w:val="auto"/>
          <w:szCs w:val="21"/>
          <w:highlight w:val="none"/>
        </w:rPr>
        <w:t>经投标人确认后产生约束力，投标人不确认的，其投标无效。</w:t>
      </w:r>
    </w:p>
    <w:p>
      <w:pPr>
        <w:autoSpaceDE w:val="0"/>
        <w:autoSpaceDN w:val="0"/>
        <w:adjustRightInd w:val="0"/>
        <w:spacing w:line="360" w:lineRule="auto"/>
        <w:ind w:left="473" w:right="32" w:hanging="472" w:hangingChars="225"/>
        <w:rPr>
          <w:rFonts w:ascii="宋体" w:hAnsi="宋体"/>
          <w:color w:val="auto"/>
          <w:szCs w:val="21"/>
          <w:highlight w:val="none"/>
        </w:rPr>
      </w:pPr>
      <w:r>
        <w:rPr>
          <w:rFonts w:hint="eastAsia" w:ascii="宋体" w:hAnsi="宋体"/>
          <w:color w:val="auto"/>
          <w:szCs w:val="21"/>
          <w:highlight w:val="none"/>
        </w:rPr>
        <w:t>3.6 评标委员会决定投标的响应性只根据投标文件中提供的材料内容，而不依据外部的材料证据。</w:t>
      </w:r>
    </w:p>
    <w:p>
      <w:pPr>
        <w:autoSpaceDE w:val="0"/>
        <w:autoSpaceDN w:val="0"/>
        <w:adjustRightInd w:val="0"/>
        <w:spacing w:line="360" w:lineRule="auto"/>
        <w:ind w:left="473" w:right="32" w:hanging="472" w:hangingChars="225"/>
        <w:rPr>
          <w:rFonts w:ascii="宋体" w:hAnsi="宋体"/>
          <w:color w:val="auto"/>
          <w:szCs w:val="21"/>
          <w:highlight w:val="none"/>
        </w:rPr>
      </w:pPr>
      <w:r>
        <w:rPr>
          <w:rFonts w:hint="eastAsia" w:ascii="宋体" w:hAnsi="宋体"/>
          <w:color w:val="auto"/>
          <w:szCs w:val="21"/>
          <w:highlight w:val="none"/>
        </w:rPr>
        <w:t>3.7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pacing w:line="360" w:lineRule="auto"/>
        <w:ind w:left="473" w:right="32" w:hanging="472" w:hangingChars="225"/>
        <w:rPr>
          <w:rFonts w:ascii="宋体" w:hAnsi="宋体"/>
          <w:color w:val="auto"/>
          <w:szCs w:val="21"/>
          <w:highlight w:val="none"/>
        </w:rPr>
      </w:pPr>
      <w:r>
        <w:rPr>
          <w:rFonts w:hint="eastAsia" w:ascii="宋体" w:hAnsi="宋体"/>
          <w:color w:val="auto"/>
          <w:szCs w:val="21"/>
          <w:highlight w:val="none"/>
        </w:rPr>
        <w:t>3.8 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adjustRightInd w:val="0"/>
        <w:spacing w:line="360" w:lineRule="auto"/>
        <w:ind w:left="473" w:right="32" w:hanging="472" w:hangingChars="225"/>
        <w:rPr>
          <w:rFonts w:ascii="宋体" w:hAnsi="宋体"/>
          <w:color w:val="auto"/>
          <w:szCs w:val="21"/>
          <w:highlight w:val="none"/>
        </w:rPr>
      </w:pPr>
      <w:r>
        <w:rPr>
          <w:rFonts w:hint="eastAsia" w:ascii="宋体" w:hAnsi="宋体"/>
          <w:color w:val="auto"/>
          <w:szCs w:val="21"/>
          <w:highlight w:val="none"/>
        </w:rPr>
        <w:t>3.9 评标委员会及其成员不得有下列行为：</w:t>
      </w:r>
    </w:p>
    <w:p>
      <w:pPr>
        <w:autoSpaceDE w:val="0"/>
        <w:autoSpaceDN w:val="0"/>
        <w:adjustRightInd w:val="0"/>
        <w:spacing w:line="360" w:lineRule="auto"/>
        <w:ind w:left="473" w:right="32"/>
        <w:rPr>
          <w:rFonts w:ascii="宋体" w:hAnsi="宋体"/>
          <w:color w:val="auto"/>
          <w:szCs w:val="21"/>
          <w:highlight w:val="none"/>
        </w:rPr>
      </w:pPr>
      <w:r>
        <w:rPr>
          <w:rFonts w:hint="eastAsia" w:ascii="宋体" w:hAnsi="宋体"/>
          <w:color w:val="auto"/>
          <w:szCs w:val="21"/>
          <w:highlight w:val="none"/>
        </w:rPr>
        <w:t>（1）确定参与评标至评标结束前私自接触投标人；</w:t>
      </w:r>
    </w:p>
    <w:p>
      <w:pPr>
        <w:autoSpaceDE w:val="0"/>
        <w:autoSpaceDN w:val="0"/>
        <w:adjustRightInd w:val="0"/>
        <w:spacing w:line="360" w:lineRule="auto"/>
        <w:ind w:left="473" w:right="32"/>
        <w:rPr>
          <w:rFonts w:ascii="宋体" w:hAnsi="宋体"/>
          <w:color w:val="auto"/>
          <w:szCs w:val="21"/>
          <w:highlight w:val="none"/>
        </w:rPr>
      </w:pPr>
      <w:r>
        <w:rPr>
          <w:rFonts w:hint="eastAsia" w:ascii="宋体" w:hAnsi="宋体"/>
          <w:color w:val="auto"/>
          <w:szCs w:val="21"/>
          <w:highlight w:val="none"/>
        </w:rPr>
        <w:t>（2）接受投标人提出的与投标文件不一致的澄清或者说明，3.3和3.4的情形除外；</w:t>
      </w:r>
    </w:p>
    <w:p>
      <w:pPr>
        <w:autoSpaceDE w:val="0"/>
        <w:autoSpaceDN w:val="0"/>
        <w:adjustRightInd w:val="0"/>
        <w:spacing w:line="360" w:lineRule="auto"/>
        <w:ind w:left="473" w:right="32"/>
        <w:rPr>
          <w:rFonts w:ascii="宋体" w:hAnsi="宋体"/>
          <w:color w:val="auto"/>
          <w:szCs w:val="21"/>
          <w:highlight w:val="none"/>
        </w:rPr>
      </w:pPr>
      <w:r>
        <w:rPr>
          <w:rFonts w:hint="eastAsia" w:ascii="宋体" w:hAnsi="宋体"/>
          <w:color w:val="auto"/>
          <w:szCs w:val="21"/>
          <w:highlight w:val="none"/>
        </w:rPr>
        <w:t>（3）违反评标纪律发表倾向性意见或者征询采购人的倾向性意见；</w:t>
      </w:r>
    </w:p>
    <w:p>
      <w:pPr>
        <w:autoSpaceDE w:val="0"/>
        <w:autoSpaceDN w:val="0"/>
        <w:adjustRightInd w:val="0"/>
        <w:spacing w:line="360" w:lineRule="auto"/>
        <w:ind w:left="473" w:right="32"/>
        <w:rPr>
          <w:rFonts w:ascii="宋体" w:hAnsi="宋体"/>
          <w:color w:val="auto"/>
          <w:szCs w:val="21"/>
          <w:highlight w:val="none"/>
        </w:rPr>
      </w:pPr>
      <w:r>
        <w:rPr>
          <w:rFonts w:hint="eastAsia" w:ascii="宋体" w:hAnsi="宋体"/>
          <w:color w:val="auto"/>
          <w:szCs w:val="21"/>
          <w:highlight w:val="none"/>
        </w:rPr>
        <w:t>（4）对需要专业判断的主观评审因素协商评分；</w:t>
      </w:r>
    </w:p>
    <w:p>
      <w:pPr>
        <w:autoSpaceDE w:val="0"/>
        <w:autoSpaceDN w:val="0"/>
        <w:adjustRightInd w:val="0"/>
        <w:spacing w:line="360" w:lineRule="auto"/>
        <w:ind w:left="473" w:right="32"/>
        <w:rPr>
          <w:rFonts w:ascii="宋体" w:hAnsi="宋体"/>
          <w:color w:val="auto"/>
          <w:szCs w:val="21"/>
          <w:highlight w:val="none"/>
        </w:rPr>
      </w:pPr>
      <w:r>
        <w:rPr>
          <w:rFonts w:hint="eastAsia" w:ascii="宋体" w:hAnsi="宋体"/>
          <w:color w:val="auto"/>
          <w:szCs w:val="21"/>
          <w:highlight w:val="none"/>
        </w:rPr>
        <w:t>（5）在评标过程中擅离职守，影响评标程序正常进行的；</w:t>
      </w:r>
    </w:p>
    <w:p>
      <w:pPr>
        <w:autoSpaceDE w:val="0"/>
        <w:autoSpaceDN w:val="0"/>
        <w:adjustRightInd w:val="0"/>
        <w:spacing w:line="360" w:lineRule="auto"/>
        <w:ind w:left="473" w:right="32"/>
        <w:rPr>
          <w:rFonts w:ascii="宋体" w:hAnsi="宋体"/>
          <w:color w:val="auto"/>
          <w:szCs w:val="21"/>
          <w:highlight w:val="none"/>
        </w:rPr>
      </w:pPr>
      <w:r>
        <w:rPr>
          <w:rFonts w:hint="eastAsia" w:ascii="宋体" w:hAnsi="宋体"/>
          <w:color w:val="auto"/>
          <w:szCs w:val="21"/>
          <w:highlight w:val="none"/>
        </w:rPr>
        <w:t>（6）记录、复制或者带走任何评标资料；</w:t>
      </w:r>
    </w:p>
    <w:p>
      <w:pPr>
        <w:autoSpaceDE w:val="0"/>
        <w:autoSpaceDN w:val="0"/>
        <w:adjustRightInd w:val="0"/>
        <w:spacing w:line="360" w:lineRule="auto"/>
        <w:ind w:left="473" w:right="32"/>
        <w:rPr>
          <w:rFonts w:ascii="宋体" w:hAnsi="宋体"/>
          <w:color w:val="auto"/>
          <w:szCs w:val="21"/>
          <w:highlight w:val="none"/>
        </w:rPr>
      </w:pPr>
      <w:r>
        <w:rPr>
          <w:rFonts w:hint="eastAsia" w:ascii="宋体" w:hAnsi="宋体"/>
          <w:color w:val="auto"/>
          <w:szCs w:val="21"/>
          <w:highlight w:val="none"/>
        </w:rPr>
        <w:t>（7）其他不遵守评标纪律的行为。</w:t>
      </w:r>
    </w:p>
    <w:p>
      <w:pPr>
        <w:autoSpaceDE w:val="0"/>
        <w:autoSpaceDN w:val="0"/>
        <w:adjustRightInd w:val="0"/>
        <w:spacing w:line="360" w:lineRule="auto"/>
        <w:ind w:left="473" w:right="32"/>
        <w:rPr>
          <w:rFonts w:ascii="宋体" w:hAnsi="宋体"/>
          <w:color w:val="auto"/>
          <w:szCs w:val="21"/>
          <w:highlight w:val="none"/>
        </w:rPr>
      </w:pPr>
      <w:r>
        <w:rPr>
          <w:rFonts w:hint="eastAsia" w:ascii="宋体" w:hAnsi="宋体"/>
          <w:color w:val="auto"/>
          <w:szCs w:val="21"/>
          <w:highlight w:val="none"/>
        </w:rPr>
        <w:t>（8）评标委员会成员有上述七种行为之一的，其评审意见无效，并不得获取评审劳务报酬和报销异地评审差旅费。</w:t>
      </w:r>
    </w:p>
    <w:p>
      <w:pPr>
        <w:spacing w:line="360" w:lineRule="auto"/>
        <w:rPr>
          <w:rFonts w:ascii="宋体" w:hAnsi="宋体"/>
          <w:color w:val="auto"/>
          <w:szCs w:val="21"/>
          <w:highlight w:val="none"/>
        </w:rPr>
      </w:pPr>
      <w:r>
        <w:rPr>
          <w:rFonts w:hint="eastAsia" w:ascii="宋体" w:hAnsi="宋体"/>
          <w:color w:val="auto"/>
          <w:szCs w:val="21"/>
          <w:highlight w:val="none"/>
        </w:rPr>
        <w:t>4.本项目采用综合评分法</w:t>
      </w:r>
      <w:r>
        <w:rPr>
          <w:rFonts w:hint="eastAsia" w:ascii="宋体" w:hAnsi="宋体"/>
          <w:i/>
          <w:color w:val="auto"/>
          <w:szCs w:val="21"/>
          <w:highlight w:val="none"/>
        </w:rPr>
        <w:t>。</w:t>
      </w:r>
      <w:r>
        <w:rPr>
          <w:rFonts w:hint="eastAsia" w:ascii="宋体" w:hAnsi="宋体"/>
          <w:color w:val="auto"/>
          <w:szCs w:val="21"/>
          <w:highlight w:val="none"/>
        </w:rPr>
        <w:t>商务、技术（服务）及价格评审权重及分值如下：</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2797"/>
        <w:gridCol w:w="3035"/>
        <w:gridCol w:w="2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adjustRightInd w:val="0"/>
              <w:snapToGrid w:val="0"/>
              <w:spacing w:beforeLines="20" w:afterLines="20"/>
              <w:jc w:val="center"/>
              <w:rPr>
                <w:rFonts w:ascii="宋体" w:hAnsi="宋体"/>
                <w:color w:val="auto"/>
                <w:szCs w:val="21"/>
                <w:highlight w:val="none"/>
              </w:rPr>
            </w:pPr>
            <w:r>
              <w:rPr>
                <w:rFonts w:hint="eastAsia" w:ascii="宋体" w:hAnsi="宋体" w:cs="宋体"/>
                <w:b/>
                <w:color w:val="auto"/>
                <w:kern w:val="0"/>
                <w:szCs w:val="21"/>
                <w:highlight w:val="none"/>
                <w:lang w:val="zh-CN"/>
              </w:rPr>
              <w:t>内容</w:t>
            </w:r>
          </w:p>
        </w:tc>
        <w:tc>
          <w:tcPr>
            <w:tcW w:w="2797" w:type="dxa"/>
            <w:vAlign w:val="center"/>
          </w:tcPr>
          <w:p>
            <w:pPr>
              <w:adjustRightInd w:val="0"/>
              <w:snapToGrid w:val="0"/>
              <w:spacing w:beforeLines="20" w:afterLines="20"/>
              <w:jc w:val="center"/>
              <w:rPr>
                <w:rFonts w:ascii="宋体" w:hAnsi="宋体"/>
                <w:color w:val="auto"/>
                <w:szCs w:val="21"/>
                <w:highlight w:val="none"/>
              </w:rPr>
            </w:pPr>
            <w:r>
              <w:rPr>
                <w:rFonts w:hint="eastAsia" w:ascii="宋体" w:hAnsi="宋体" w:cs="宋体"/>
                <w:b/>
                <w:color w:val="auto"/>
                <w:kern w:val="0"/>
                <w:szCs w:val="21"/>
                <w:highlight w:val="none"/>
                <w:lang w:val="zh-CN"/>
              </w:rPr>
              <w:t>商务部分</w:t>
            </w:r>
          </w:p>
        </w:tc>
        <w:tc>
          <w:tcPr>
            <w:tcW w:w="3035" w:type="dxa"/>
            <w:vAlign w:val="center"/>
          </w:tcPr>
          <w:p>
            <w:pPr>
              <w:adjustRightInd w:val="0"/>
              <w:snapToGrid w:val="0"/>
              <w:spacing w:beforeLines="20" w:afterLines="20"/>
              <w:jc w:val="center"/>
              <w:rPr>
                <w:rFonts w:ascii="宋体" w:hAnsi="宋体"/>
                <w:color w:val="auto"/>
                <w:szCs w:val="21"/>
                <w:highlight w:val="none"/>
              </w:rPr>
            </w:pPr>
            <w:r>
              <w:rPr>
                <w:rFonts w:hint="eastAsia" w:ascii="宋体" w:hAnsi="宋体" w:cs="宋体"/>
                <w:b/>
                <w:color w:val="auto"/>
                <w:kern w:val="0"/>
                <w:szCs w:val="21"/>
                <w:highlight w:val="none"/>
                <w:lang w:val="zh-CN"/>
              </w:rPr>
              <w:t>技术（服务）部分</w:t>
            </w:r>
          </w:p>
        </w:tc>
        <w:tc>
          <w:tcPr>
            <w:tcW w:w="2661" w:type="dxa"/>
            <w:vAlign w:val="center"/>
          </w:tcPr>
          <w:p>
            <w:pPr>
              <w:adjustRightInd w:val="0"/>
              <w:snapToGrid w:val="0"/>
              <w:spacing w:beforeLines="20" w:afterLines="20"/>
              <w:jc w:val="center"/>
              <w:rPr>
                <w:rFonts w:ascii="宋体" w:hAnsi="宋体"/>
                <w:color w:val="auto"/>
                <w:szCs w:val="21"/>
                <w:highlight w:val="none"/>
              </w:rPr>
            </w:pPr>
            <w:r>
              <w:rPr>
                <w:rFonts w:hint="eastAsia" w:ascii="宋体" w:hAnsi="宋体" w:cs="宋体"/>
                <w:b/>
                <w:color w:val="auto"/>
                <w:kern w:val="0"/>
                <w:szCs w:val="21"/>
                <w:highlight w:val="none"/>
                <w:lang w:val="zh-CN"/>
              </w:rPr>
              <w:t>价格部分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adjustRightInd w:val="0"/>
              <w:snapToGrid w:val="0"/>
              <w:spacing w:beforeLines="20" w:afterLines="20"/>
              <w:jc w:val="center"/>
              <w:rPr>
                <w:rFonts w:ascii="宋体" w:hAnsi="宋体"/>
                <w:color w:val="auto"/>
                <w:szCs w:val="21"/>
                <w:highlight w:val="none"/>
              </w:rPr>
            </w:pPr>
            <w:r>
              <w:rPr>
                <w:rFonts w:hint="eastAsia" w:ascii="宋体" w:hAnsi="宋体" w:cs="宋体"/>
                <w:color w:val="auto"/>
                <w:kern w:val="0"/>
                <w:szCs w:val="21"/>
                <w:highlight w:val="none"/>
                <w:lang w:val="zh-CN"/>
              </w:rPr>
              <w:t>权重</w:t>
            </w:r>
          </w:p>
        </w:tc>
        <w:tc>
          <w:tcPr>
            <w:tcW w:w="2797" w:type="dxa"/>
            <w:vAlign w:val="center"/>
          </w:tcPr>
          <w:p>
            <w:pPr>
              <w:autoSpaceDE w:val="0"/>
              <w:autoSpaceDN w:val="0"/>
              <w:adjustRightInd w:val="0"/>
              <w:snapToGrid w:val="0"/>
              <w:spacing w:beforeLines="20" w:afterLines="20"/>
              <w:jc w:val="center"/>
              <w:rPr>
                <w:rFonts w:ascii="宋体" w:hAnsi="宋体" w:cs="宋体"/>
                <w:color w:val="auto"/>
                <w:kern w:val="0"/>
                <w:szCs w:val="21"/>
                <w:highlight w:val="none"/>
                <w:lang w:val="zh-CN"/>
              </w:rPr>
            </w:pPr>
            <w:r>
              <w:rPr>
                <w:rFonts w:hint="eastAsia" w:ascii="宋体" w:hAnsi="宋体" w:cs="宋体"/>
                <w:color w:val="auto"/>
                <w:kern w:val="0"/>
                <w:szCs w:val="21"/>
                <w:highlight w:val="none"/>
              </w:rPr>
              <w:t>20</w:t>
            </w:r>
            <w:r>
              <w:rPr>
                <w:rFonts w:hint="eastAsia" w:ascii="宋体" w:hAnsi="宋体" w:cs="宋体"/>
                <w:color w:val="auto"/>
                <w:kern w:val="0"/>
                <w:szCs w:val="21"/>
                <w:highlight w:val="none"/>
                <w:lang w:val="zh-CN"/>
              </w:rPr>
              <w:t>%</w:t>
            </w:r>
          </w:p>
        </w:tc>
        <w:tc>
          <w:tcPr>
            <w:tcW w:w="3035" w:type="dxa"/>
            <w:vAlign w:val="center"/>
          </w:tcPr>
          <w:p>
            <w:pPr>
              <w:autoSpaceDE w:val="0"/>
              <w:autoSpaceDN w:val="0"/>
              <w:adjustRightInd w:val="0"/>
              <w:snapToGrid w:val="0"/>
              <w:spacing w:beforeLines="20" w:afterLines="20"/>
              <w:jc w:val="center"/>
              <w:rPr>
                <w:rFonts w:ascii="宋体" w:hAnsi="宋体" w:cs="宋体"/>
                <w:color w:val="auto"/>
                <w:kern w:val="0"/>
                <w:szCs w:val="21"/>
                <w:highlight w:val="none"/>
                <w:lang w:val="zh-CN"/>
              </w:rPr>
            </w:pPr>
            <w:r>
              <w:rPr>
                <w:rFonts w:hint="eastAsia" w:ascii="宋体" w:hAnsi="宋体" w:cs="宋体"/>
                <w:color w:val="auto"/>
                <w:kern w:val="0"/>
                <w:szCs w:val="21"/>
                <w:highlight w:val="none"/>
              </w:rPr>
              <w:t>70</w:t>
            </w:r>
            <w:r>
              <w:rPr>
                <w:rFonts w:hint="eastAsia" w:ascii="宋体" w:hAnsi="宋体" w:cs="宋体"/>
                <w:color w:val="auto"/>
                <w:kern w:val="0"/>
                <w:szCs w:val="21"/>
                <w:highlight w:val="none"/>
                <w:lang w:val="zh-CN"/>
              </w:rPr>
              <w:t>%</w:t>
            </w:r>
          </w:p>
        </w:tc>
        <w:tc>
          <w:tcPr>
            <w:tcW w:w="2661" w:type="dxa"/>
            <w:vAlign w:val="center"/>
          </w:tcPr>
          <w:p>
            <w:pPr>
              <w:autoSpaceDE w:val="0"/>
              <w:autoSpaceDN w:val="0"/>
              <w:adjustRightInd w:val="0"/>
              <w:snapToGrid w:val="0"/>
              <w:spacing w:beforeLines="20" w:afterLines="20"/>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vAlign w:val="center"/>
          </w:tcPr>
          <w:p>
            <w:pPr>
              <w:adjustRightInd w:val="0"/>
              <w:snapToGrid w:val="0"/>
              <w:spacing w:beforeLines="20" w:afterLines="20"/>
              <w:jc w:val="center"/>
              <w:rPr>
                <w:rFonts w:ascii="宋体" w:hAnsi="宋体"/>
                <w:color w:val="auto"/>
                <w:szCs w:val="21"/>
                <w:highlight w:val="none"/>
              </w:rPr>
            </w:pPr>
            <w:r>
              <w:rPr>
                <w:rFonts w:hint="eastAsia" w:ascii="宋体" w:hAnsi="宋体" w:cs="宋体"/>
                <w:color w:val="auto"/>
                <w:kern w:val="0"/>
                <w:szCs w:val="21"/>
                <w:highlight w:val="none"/>
                <w:lang w:val="zh-CN"/>
              </w:rPr>
              <w:t>分值</w:t>
            </w:r>
          </w:p>
        </w:tc>
        <w:tc>
          <w:tcPr>
            <w:tcW w:w="2797" w:type="dxa"/>
            <w:vAlign w:val="center"/>
          </w:tcPr>
          <w:p>
            <w:pPr>
              <w:adjustRightInd w:val="0"/>
              <w:snapToGrid w:val="0"/>
              <w:spacing w:beforeLines="20" w:afterLines="20"/>
              <w:jc w:val="center"/>
              <w:rPr>
                <w:rFonts w:ascii="宋体" w:hAnsi="宋体"/>
                <w:color w:val="auto"/>
                <w:szCs w:val="21"/>
                <w:highlight w:val="none"/>
              </w:rPr>
            </w:pPr>
            <w:r>
              <w:rPr>
                <w:rFonts w:hint="eastAsia" w:ascii="宋体" w:hAnsi="宋体"/>
                <w:color w:val="auto"/>
                <w:szCs w:val="21"/>
                <w:highlight w:val="none"/>
              </w:rPr>
              <w:t>20分</w:t>
            </w:r>
          </w:p>
        </w:tc>
        <w:tc>
          <w:tcPr>
            <w:tcW w:w="3035" w:type="dxa"/>
            <w:vAlign w:val="center"/>
          </w:tcPr>
          <w:p>
            <w:pPr>
              <w:adjustRightInd w:val="0"/>
              <w:snapToGrid w:val="0"/>
              <w:spacing w:beforeLines="20" w:afterLines="20"/>
              <w:jc w:val="center"/>
              <w:rPr>
                <w:rFonts w:ascii="宋体" w:hAnsi="宋体"/>
                <w:color w:val="auto"/>
                <w:szCs w:val="21"/>
                <w:highlight w:val="none"/>
              </w:rPr>
            </w:pPr>
            <w:r>
              <w:rPr>
                <w:rFonts w:hint="eastAsia" w:ascii="宋体" w:hAnsi="宋体"/>
                <w:color w:val="auto"/>
                <w:szCs w:val="21"/>
                <w:highlight w:val="none"/>
              </w:rPr>
              <w:t>70分</w:t>
            </w:r>
          </w:p>
        </w:tc>
        <w:tc>
          <w:tcPr>
            <w:tcW w:w="2661" w:type="dxa"/>
            <w:vAlign w:val="center"/>
          </w:tcPr>
          <w:p>
            <w:pPr>
              <w:adjustRightInd w:val="0"/>
              <w:snapToGrid w:val="0"/>
              <w:spacing w:beforeLines="20" w:afterLines="20"/>
              <w:jc w:val="center"/>
              <w:rPr>
                <w:rFonts w:ascii="宋体" w:hAnsi="宋体"/>
                <w:color w:val="auto"/>
                <w:szCs w:val="21"/>
                <w:highlight w:val="none"/>
              </w:rPr>
            </w:pPr>
            <w:r>
              <w:rPr>
                <w:rFonts w:hint="eastAsia" w:ascii="宋体" w:hAnsi="宋体"/>
                <w:color w:val="auto"/>
                <w:szCs w:val="21"/>
                <w:highlight w:val="none"/>
              </w:rPr>
              <w:t>10分</w:t>
            </w:r>
          </w:p>
        </w:tc>
      </w:tr>
    </w:tbl>
    <w:p>
      <w:pPr>
        <w:pStyle w:val="32"/>
        <w:adjustRightInd w:val="0"/>
        <w:spacing w:line="360" w:lineRule="auto"/>
        <w:rPr>
          <w:rFonts w:hAnsi="宋体"/>
          <w:color w:val="auto"/>
          <w:highlight w:val="none"/>
        </w:rPr>
      </w:pPr>
      <w:r>
        <w:rPr>
          <w:rFonts w:hint="eastAsia" w:hAnsi="宋体"/>
          <w:color w:val="auto"/>
          <w:highlight w:val="none"/>
        </w:rPr>
        <w:t>5.投标文件的资格性审查和符合性审查</w:t>
      </w:r>
    </w:p>
    <w:p>
      <w:pPr>
        <w:pStyle w:val="32"/>
        <w:adjustRightInd w:val="0"/>
        <w:spacing w:line="360" w:lineRule="auto"/>
        <w:ind w:left="474" w:leftChars="1" w:hanging="472" w:hangingChars="225"/>
        <w:rPr>
          <w:rFonts w:hAnsi="宋体" w:cs="Times New Roman"/>
          <w:color w:val="auto"/>
          <w:highlight w:val="none"/>
        </w:rPr>
      </w:pPr>
      <w:r>
        <w:rPr>
          <w:rFonts w:hint="eastAsia" w:hAnsi="宋体" w:cs="Times New Roman"/>
          <w:color w:val="auto"/>
          <w:highlight w:val="none"/>
        </w:rPr>
        <w:t>5.1 资格性审查</w:t>
      </w:r>
    </w:p>
    <w:p>
      <w:pPr>
        <w:pStyle w:val="32"/>
        <w:adjustRightInd w:val="0"/>
        <w:spacing w:line="360" w:lineRule="auto"/>
        <w:ind w:left="474" w:leftChars="1" w:hanging="472" w:hangingChars="225"/>
        <w:rPr>
          <w:rFonts w:hAnsi="宋体" w:cs="Times New Roman"/>
          <w:color w:val="auto"/>
          <w:highlight w:val="none"/>
        </w:rPr>
      </w:pPr>
      <w:r>
        <w:rPr>
          <w:rFonts w:hint="eastAsia" w:hAnsi="宋体" w:cs="Times New Roman"/>
          <w:color w:val="auto"/>
          <w:highlight w:val="none"/>
        </w:rPr>
        <w:t>5.1.1 公开招标采购项目开标结束后，采购人或者采购代理机构依法对投标人的资格进行审查，审查情况详见《附表一 资格性审查表》。</w:t>
      </w:r>
    </w:p>
    <w:p>
      <w:pPr>
        <w:pStyle w:val="32"/>
        <w:adjustRightInd w:val="0"/>
        <w:spacing w:line="360" w:lineRule="auto"/>
        <w:ind w:left="474" w:leftChars="1" w:hanging="472" w:hangingChars="225"/>
        <w:rPr>
          <w:rFonts w:hAnsi="宋体" w:cs="Times New Roman"/>
          <w:color w:val="auto"/>
          <w:highlight w:val="none"/>
        </w:rPr>
      </w:pPr>
      <w:r>
        <w:rPr>
          <w:rFonts w:hint="eastAsia" w:hAnsi="宋体" w:cs="Times New Roman"/>
          <w:color w:val="auto"/>
          <w:highlight w:val="none"/>
        </w:rPr>
        <w:t>5.1.2 合格投标人不足3家的，不得评标。</w:t>
      </w:r>
    </w:p>
    <w:p>
      <w:pPr>
        <w:pStyle w:val="32"/>
        <w:adjustRightInd w:val="0"/>
        <w:spacing w:line="360" w:lineRule="auto"/>
        <w:ind w:left="474" w:leftChars="1" w:hanging="472" w:hangingChars="225"/>
        <w:rPr>
          <w:rFonts w:hAnsi="宋体" w:cs="Times New Roman"/>
          <w:color w:val="auto"/>
          <w:highlight w:val="none"/>
        </w:rPr>
      </w:pPr>
      <w:r>
        <w:rPr>
          <w:rFonts w:hint="eastAsia" w:hAnsi="宋体" w:cs="Times New Roman"/>
          <w:color w:val="auto"/>
          <w:highlight w:val="none"/>
        </w:rPr>
        <w:t>5.1.3 对初步被认定为资格性审查不合格的，应当告知投标当事人，以让其核证。</w:t>
      </w:r>
    </w:p>
    <w:p>
      <w:pPr>
        <w:pStyle w:val="32"/>
        <w:adjustRightInd w:val="0"/>
        <w:spacing w:line="360" w:lineRule="auto"/>
        <w:ind w:left="474" w:leftChars="1" w:hanging="472" w:hangingChars="225"/>
        <w:rPr>
          <w:rFonts w:hAnsi="宋体" w:cs="Times New Roman"/>
          <w:color w:val="auto"/>
          <w:highlight w:val="none"/>
        </w:rPr>
      </w:pPr>
      <w:r>
        <w:rPr>
          <w:rFonts w:hint="eastAsia" w:hAnsi="宋体" w:cs="Times New Roman"/>
          <w:color w:val="auto"/>
          <w:highlight w:val="none"/>
        </w:rPr>
        <w:t>5.1.4 未通过资格性审查的投标人，不进入符合性审查。</w:t>
      </w:r>
    </w:p>
    <w:p>
      <w:pPr>
        <w:autoSpaceDE w:val="0"/>
        <w:autoSpaceDN w:val="0"/>
        <w:adjustRightInd w:val="0"/>
        <w:spacing w:line="360" w:lineRule="auto"/>
        <w:ind w:left="473" w:right="32" w:hanging="472" w:hangingChars="225"/>
        <w:rPr>
          <w:rFonts w:ascii="宋体" w:hAnsi="宋体"/>
          <w:color w:val="auto"/>
          <w:szCs w:val="21"/>
          <w:highlight w:val="none"/>
        </w:rPr>
      </w:pPr>
      <w:r>
        <w:rPr>
          <w:rFonts w:hint="eastAsia" w:ascii="宋体" w:hAnsi="宋体"/>
          <w:color w:val="auto"/>
          <w:szCs w:val="21"/>
          <w:highlight w:val="none"/>
        </w:rPr>
        <w:t xml:space="preserve">5.2 </w:t>
      </w:r>
      <w:r>
        <w:rPr>
          <w:rFonts w:hint="eastAsia" w:ascii="宋体" w:hAnsi="宋体"/>
          <w:color w:val="auto"/>
          <w:highlight w:val="none"/>
        </w:rPr>
        <w:t>符合性审查</w:t>
      </w:r>
    </w:p>
    <w:p>
      <w:pPr>
        <w:autoSpaceDE w:val="0"/>
        <w:autoSpaceDN w:val="0"/>
        <w:adjustRightInd w:val="0"/>
        <w:spacing w:line="360" w:lineRule="auto"/>
        <w:ind w:left="473" w:right="32" w:hanging="472" w:hangingChars="225"/>
        <w:rPr>
          <w:rFonts w:ascii="宋体" w:hAnsi="宋体"/>
          <w:color w:val="auto"/>
          <w:szCs w:val="21"/>
          <w:highlight w:val="none"/>
        </w:rPr>
      </w:pPr>
      <w:r>
        <w:rPr>
          <w:rFonts w:hint="eastAsia" w:ascii="宋体" w:hAnsi="宋体"/>
          <w:color w:val="auto"/>
          <w:szCs w:val="21"/>
          <w:highlight w:val="none"/>
        </w:rPr>
        <w:t>5.2</w:t>
      </w:r>
      <w:r>
        <w:rPr>
          <w:rFonts w:hint="eastAsia" w:ascii="宋体" w:hAnsi="宋体" w:cs="宋体"/>
          <w:color w:val="auto"/>
          <w:szCs w:val="21"/>
          <w:highlight w:val="none"/>
        </w:rPr>
        <w:t>.1 评标委员会应当对符合资格的投标人的投标文件进行符合性审查，以确定其是否满足招标文件的实质性要求，</w:t>
      </w:r>
      <w:r>
        <w:rPr>
          <w:rFonts w:hint="eastAsia" w:ascii="宋体" w:hAnsi="宋体"/>
          <w:color w:val="auto"/>
          <w:highlight w:val="none"/>
        </w:rPr>
        <w:t>审查情况</w:t>
      </w:r>
      <w:r>
        <w:rPr>
          <w:rFonts w:hint="eastAsia" w:ascii="宋体" w:hAnsi="宋体"/>
          <w:color w:val="auto"/>
          <w:szCs w:val="21"/>
          <w:highlight w:val="none"/>
        </w:rPr>
        <w:t xml:space="preserve">详见《附表二 </w:t>
      </w:r>
      <w:r>
        <w:rPr>
          <w:rFonts w:hint="eastAsia" w:ascii="宋体" w:hAnsi="宋体"/>
          <w:color w:val="auto"/>
          <w:highlight w:val="none"/>
        </w:rPr>
        <w:t>符合性审查表</w:t>
      </w:r>
      <w:r>
        <w:rPr>
          <w:rFonts w:hint="eastAsia" w:ascii="宋体" w:hAnsi="宋体"/>
          <w:color w:val="auto"/>
          <w:szCs w:val="21"/>
          <w:highlight w:val="none"/>
        </w:rPr>
        <w:t>》。</w:t>
      </w:r>
    </w:p>
    <w:p>
      <w:pPr>
        <w:autoSpaceDE w:val="0"/>
        <w:autoSpaceDN w:val="0"/>
        <w:adjustRightInd w:val="0"/>
        <w:spacing w:line="360" w:lineRule="auto"/>
        <w:ind w:left="473" w:right="32" w:hanging="472" w:hangingChars="225"/>
        <w:rPr>
          <w:rFonts w:ascii="宋体" w:hAnsi="宋体"/>
          <w:color w:val="auto"/>
          <w:kern w:val="0"/>
          <w:szCs w:val="21"/>
          <w:highlight w:val="none"/>
        </w:rPr>
      </w:pPr>
      <w:r>
        <w:rPr>
          <w:rFonts w:hint="eastAsia" w:ascii="宋体" w:hAnsi="宋体"/>
          <w:color w:val="auto"/>
          <w:szCs w:val="21"/>
          <w:highlight w:val="none"/>
        </w:rPr>
        <w:t>5.3 未通过符合性审查的投标人，不进入商务、技术（服务）和价格评审。</w:t>
      </w:r>
    </w:p>
    <w:p>
      <w:pPr>
        <w:autoSpaceDE w:val="0"/>
        <w:autoSpaceDN w:val="0"/>
        <w:adjustRightInd w:val="0"/>
        <w:spacing w:line="360" w:lineRule="auto"/>
        <w:ind w:left="473" w:right="32" w:hanging="472" w:hangingChars="225"/>
        <w:rPr>
          <w:rFonts w:ascii="宋体" w:hAnsi="宋体"/>
          <w:color w:val="auto"/>
          <w:kern w:val="0"/>
          <w:szCs w:val="21"/>
          <w:highlight w:val="none"/>
        </w:rPr>
      </w:pPr>
      <w:r>
        <w:rPr>
          <w:rFonts w:hint="eastAsia" w:ascii="宋体" w:hAnsi="宋体"/>
          <w:color w:val="auto"/>
          <w:kern w:val="0"/>
          <w:szCs w:val="21"/>
          <w:highlight w:val="none"/>
        </w:rPr>
        <w:t>5.4 在资格性审查、符合性检查时，如发现下列情形之一的，将确定为无效投标：</w:t>
      </w:r>
    </w:p>
    <w:p>
      <w:pPr>
        <w:numPr>
          <w:ilvl w:val="0"/>
          <w:numId w:val="9"/>
        </w:numPr>
        <w:autoSpaceDE w:val="0"/>
        <w:autoSpaceDN w:val="0"/>
        <w:adjustRightInd w:val="0"/>
        <w:spacing w:line="360" w:lineRule="auto"/>
        <w:ind w:left="845" w:right="32"/>
        <w:rPr>
          <w:rFonts w:ascii="宋体" w:hAnsi="宋体"/>
          <w:color w:val="auto"/>
          <w:szCs w:val="21"/>
          <w:highlight w:val="none"/>
        </w:rPr>
      </w:pPr>
      <w:r>
        <w:rPr>
          <w:rFonts w:hint="eastAsia" w:ascii="宋体" w:hAnsi="宋体"/>
          <w:color w:val="auto"/>
          <w:szCs w:val="21"/>
          <w:highlight w:val="none"/>
        </w:rPr>
        <w:t>不符合招标文件中规定资格要求的或资格证明文件不齐全；</w:t>
      </w:r>
    </w:p>
    <w:p>
      <w:pPr>
        <w:numPr>
          <w:ilvl w:val="0"/>
          <w:numId w:val="9"/>
        </w:numPr>
        <w:autoSpaceDE w:val="0"/>
        <w:autoSpaceDN w:val="0"/>
        <w:adjustRightInd w:val="0"/>
        <w:spacing w:line="360" w:lineRule="auto"/>
        <w:ind w:left="845" w:right="32"/>
        <w:rPr>
          <w:rFonts w:ascii="宋体" w:hAnsi="宋体"/>
          <w:color w:val="auto"/>
          <w:szCs w:val="21"/>
          <w:highlight w:val="none"/>
        </w:rPr>
      </w:pPr>
      <w:r>
        <w:rPr>
          <w:rFonts w:hint="eastAsia" w:ascii="宋体" w:hAnsi="宋体"/>
          <w:color w:val="auto"/>
          <w:szCs w:val="21"/>
          <w:highlight w:val="none"/>
        </w:rPr>
        <w:t>投标人资格声明函未提交或不符合招标文件要求的。</w:t>
      </w:r>
    </w:p>
    <w:p>
      <w:pPr>
        <w:numPr>
          <w:ilvl w:val="0"/>
          <w:numId w:val="9"/>
        </w:numPr>
        <w:autoSpaceDE w:val="0"/>
        <w:autoSpaceDN w:val="0"/>
        <w:adjustRightInd w:val="0"/>
        <w:spacing w:line="360" w:lineRule="auto"/>
        <w:ind w:left="845" w:right="32"/>
        <w:rPr>
          <w:rFonts w:ascii="宋体" w:hAnsi="宋体"/>
          <w:color w:val="auto"/>
          <w:szCs w:val="21"/>
          <w:highlight w:val="none"/>
        </w:rPr>
      </w:pPr>
      <w:r>
        <w:rPr>
          <w:rFonts w:hint="eastAsia" w:ascii="宋体" w:hAnsi="宋体"/>
          <w:color w:val="auto"/>
          <w:szCs w:val="21"/>
          <w:highlight w:val="none"/>
        </w:rPr>
        <w:t>未按照招标文件规定要求签署和盖章的；</w:t>
      </w:r>
    </w:p>
    <w:p>
      <w:pPr>
        <w:numPr>
          <w:ilvl w:val="0"/>
          <w:numId w:val="9"/>
        </w:numPr>
        <w:autoSpaceDE w:val="0"/>
        <w:autoSpaceDN w:val="0"/>
        <w:adjustRightInd w:val="0"/>
        <w:spacing w:line="360" w:lineRule="auto"/>
        <w:ind w:left="845" w:right="32"/>
        <w:rPr>
          <w:rFonts w:ascii="宋体" w:hAnsi="宋体"/>
          <w:color w:val="auto"/>
          <w:szCs w:val="21"/>
          <w:highlight w:val="none"/>
        </w:rPr>
      </w:pPr>
      <w:r>
        <w:rPr>
          <w:rFonts w:hint="eastAsia" w:ascii="宋体" w:hAnsi="宋体"/>
          <w:color w:val="auto"/>
          <w:szCs w:val="21"/>
          <w:highlight w:val="none"/>
        </w:rPr>
        <w:t>法定代表人资格证明书或及法定代表人授权委托书有效性不足；</w:t>
      </w:r>
    </w:p>
    <w:p>
      <w:pPr>
        <w:numPr>
          <w:ilvl w:val="0"/>
          <w:numId w:val="9"/>
        </w:numPr>
        <w:autoSpaceDE w:val="0"/>
        <w:autoSpaceDN w:val="0"/>
        <w:adjustRightInd w:val="0"/>
        <w:spacing w:line="360" w:lineRule="auto"/>
        <w:ind w:left="845" w:right="32"/>
        <w:rPr>
          <w:rFonts w:ascii="宋体" w:hAnsi="宋体"/>
          <w:color w:val="auto"/>
          <w:szCs w:val="21"/>
          <w:highlight w:val="none"/>
        </w:rPr>
      </w:pPr>
      <w:r>
        <w:rPr>
          <w:rFonts w:hint="eastAsia" w:ascii="宋体" w:hAnsi="宋体"/>
          <w:color w:val="auto"/>
          <w:szCs w:val="21"/>
          <w:highlight w:val="none"/>
        </w:rPr>
        <w:t>投标函未提交或不符合招标文件要求的，或投标有效期不满足招标文件要求的；</w:t>
      </w:r>
    </w:p>
    <w:p>
      <w:pPr>
        <w:numPr>
          <w:ilvl w:val="0"/>
          <w:numId w:val="9"/>
        </w:numPr>
        <w:autoSpaceDE w:val="0"/>
        <w:autoSpaceDN w:val="0"/>
        <w:adjustRightInd w:val="0"/>
        <w:spacing w:line="360" w:lineRule="auto"/>
        <w:ind w:left="845" w:right="32"/>
        <w:rPr>
          <w:rFonts w:ascii="宋体" w:hAnsi="宋体"/>
          <w:color w:val="auto"/>
          <w:szCs w:val="21"/>
          <w:highlight w:val="none"/>
        </w:rPr>
      </w:pPr>
      <w:r>
        <w:rPr>
          <w:rFonts w:hint="eastAsia" w:ascii="宋体" w:hAnsi="宋体" w:cs="宋体"/>
          <w:color w:val="auto"/>
          <w:highlight w:val="none"/>
        </w:rPr>
        <w:t>投标文件未满足对招标文件的实质性条款（即标注★号条款）或有负偏离的；</w:t>
      </w:r>
    </w:p>
    <w:p>
      <w:pPr>
        <w:numPr>
          <w:ilvl w:val="0"/>
          <w:numId w:val="9"/>
        </w:numPr>
        <w:autoSpaceDE w:val="0"/>
        <w:autoSpaceDN w:val="0"/>
        <w:adjustRightInd w:val="0"/>
        <w:spacing w:line="360" w:lineRule="auto"/>
        <w:ind w:left="845" w:right="32"/>
        <w:rPr>
          <w:rFonts w:ascii="宋体" w:hAnsi="宋体"/>
          <w:color w:val="auto"/>
          <w:szCs w:val="21"/>
          <w:highlight w:val="none"/>
        </w:rPr>
      </w:pPr>
      <w:r>
        <w:rPr>
          <w:rFonts w:hint="eastAsia" w:ascii="宋体" w:hAnsi="宋体"/>
          <w:color w:val="auto"/>
          <w:szCs w:val="21"/>
          <w:highlight w:val="none"/>
        </w:rPr>
        <w:t>投标人未按招标文件要求提交投标保证金的；</w:t>
      </w:r>
    </w:p>
    <w:p>
      <w:pPr>
        <w:numPr>
          <w:ilvl w:val="0"/>
          <w:numId w:val="9"/>
        </w:numPr>
        <w:autoSpaceDE w:val="0"/>
        <w:autoSpaceDN w:val="0"/>
        <w:adjustRightInd w:val="0"/>
        <w:spacing w:line="360" w:lineRule="auto"/>
        <w:ind w:left="845" w:right="32"/>
        <w:rPr>
          <w:rFonts w:ascii="宋体" w:hAnsi="宋体"/>
          <w:color w:val="auto"/>
          <w:szCs w:val="21"/>
          <w:highlight w:val="none"/>
        </w:rPr>
      </w:pPr>
      <w:r>
        <w:rPr>
          <w:rFonts w:hint="eastAsia" w:ascii="宋体" w:hAnsi="宋体"/>
          <w:color w:val="auto"/>
          <w:kern w:val="0"/>
          <w:szCs w:val="21"/>
          <w:highlight w:val="none"/>
        </w:rPr>
        <w:t>投标总报价超过本项目采购预算或者最高限价；</w:t>
      </w:r>
    </w:p>
    <w:p>
      <w:pPr>
        <w:numPr>
          <w:ilvl w:val="0"/>
          <w:numId w:val="9"/>
        </w:numPr>
        <w:autoSpaceDE w:val="0"/>
        <w:autoSpaceDN w:val="0"/>
        <w:adjustRightInd w:val="0"/>
        <w:spacing w:line="360" w:lineRule="auto"/>
        <w:ind w:left="845" w:right="32"/>
        <w:rPr>
          <w:rFonts w:ascii="宋体" w:hAnsi="宋体"/>
          <w:color w:val="auto"/>
          <w:szCs w:val="21"/>
          <w:highlight w:val="none"/>
        </w:rPr>
      </w:pPr>
      <w:r>
        <w:rPr>
          <w:rFonts w:hint="eastAsia" w:ascii="宋体" w:hAnsi="宋体"/>
          <w:color w:val="auto"/>
          <w:szCs w:val="21"/>
          <w:highlight w:val="none"/>
        </w:rPr>
        <w:t>投标文件有采购人不能接受的附加条件的；</w:t>
      </w:r>
    </w:p>
    <w:p>
      <w:pPr>
        <w:numPr>
          <w:ilvl w:val="0"/>
          <w:numId w:val="9"/>
        </w:numPr>
        <w:autoSpaceDE w:val="0"/>
        <w:autoSpaceDN w:val="0"/>
        <w:adjustRightInd w:val="0"/>
        <w:spacing w:line="360" w:lineRule="auto"/>
        <w:ind w:left="845" w:right="32"/>
        <w:rPr>
          <w:rFonts w:ascii="宋体" w:hAnsi="宋体"/>
          <w:color w:val="auto"/>
          <w:szCs w:val="21"/>
          <w:highlight w:val="none"/>
        </w:rPr>
      </w:pPr>
      <w:r>
        <w:rPr>
          <w:rFonts w:hint="eastAsia" w:ascii="宋体" w:hAnsi="宋体"/>
          <w:color w:val="auto"/>
          <w:szCs w:val="21"/>
          <w:highlight w:val="none"/>
        </w:rPr>
        <w:t>投标文件有出现串通投标情形的；</w:t>
      </w:r>
    </w:p>
    <w:p>
      <w:pPr>
        <w:numPr>
          <w:ilvl w:val="0"/>
          <w:numId w:val="9"/>
        </w:numPr>
        <w:autoSpaceDE w:val="0"/>
        <w:autoSpaceDN w:val="0"/>
        <w:adjustRightInd w:val="0"/>
        <w:spacing w:line="360" w:lineRule="auto"/>
        <w:ind w:left="845" w:right="32"/>
        <w:rPr>
          <w:rFonts w:ascii="宋体" w:hAnsi="宋体"/>
          <w:color w:val="auto"/>
          <w:szCs w:val="21"/>
          <w:highlight w:val="none"/>
        </w:rPr>
      </w:pPr>
      <w:r>
        <w:rPr>
          <w:rFonts w:hint="eastAsia" w:ascii="宋体" w:hAnsi="宋体"/>
          <w:color w:val="auto"/>
          <w:szCs w:val="21"/>
          <w:highlight w:val="none"/>
        </w:rPr>
        <w:t>投标文件有招标文件中规定的其他无效投标条款的；</w:t>
      </w:r>
    </w:p>
    <w:p>
      <w:pPr>
        <w:numPr>
          <w:ilvl w:val="0"/>
          <w:numId w:val="9"/>
        </w:numPr>
        <w:autoSpaceDE w:val="0"/>
        <w:autoSpaceDN w:val="0"/>
        <w:adjustRightInd w:val="0"/>
        <w:spacing w:line="360" w:lineRule="auto"/>
        <w:ind w:left="845" w:right="32"/>
        <w:rPr>
          <w:rFonts w:ascii="宋体" w:hAnsi="宋体"/>
          <w:color w:val="auto"/>
          <w:szCs w:val="21"/>
          <w:highlight w:val="none"/>
        </w:rPr>
      </w:pPr>
      <w:r>
        <w:rPr>
          <w:rFonts w:hint="eastAsia" w:ascii="宋体" w:hAnsi="宋体"/>
          <w:color w:val="auto"/>
          <w:szCs w:val="21"/>
          <w:highlight w:val="none"/>
        </w:rPr>
        <w:t>有法律、法规规定的其他无效情形。</w:t>
      </w:r>
    </w:p>
    <w:p>
      <w:pPr>
        <w:pStyle w:val="127"/>
        <w:widowControl/>
        <w:spacing w:line="360" w:lineRule="auto"/>
        <w:ind w:firstLine="0"/>
        <w:jc w:val="left"/>
        <w:rPr>
          <w:rFonts w:ascii="宋体" w:hAnsi="宋体"/>
          <w:color w:val="auto"/>
          <w:szCs w:val="21"/>
          <w:highlight w:val="none"/>
        </w:rPr>
      </w:pPr>
      <w:r>
        <w:rPr>
          <w:rFonts w:hint="eastAsia" w:ascii="宋体" w:hAnsi="宋体"/>
          <w:color w:val="auto"/>
          <w:szCs w:val="21"/>
          <w:highlight w:val="none"/>
          <w:lang w:eastAsia="zh-CN"/>
        </w:rPr>
        <w:t xml:space="preserve">5.5 </w:t>
      </w:r>
      <w:r>
        <w:rPr>
          <w:rFonts w:hint="eastAsia" w:ascii="宋体" w:hAnsi="宋体"/>
          <w:color w:val="auto"/>
          <w:szCs w:val="21"/>
          <w:highlight w:val="none"/>
        </w:rPr>
        <w:t>有下列情形之一的，视为投标人串通投标，其投标无效：</w:t>
      </w:r>
    </w:p>
    <w:p>
      <w:pPr>
        <w:pStyle w:val="127"/>
        <w:widowControl/>
        <w:spacing w:line="360" w:lineRule="auto"/>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rPr>
        <w:t>不同投标人的投标文件由同一单位或者个人编制；</w:t>
      </w:r>
    </w:p>
    <w:p>
      <w:pPr>
        <w:pStyle w:val="127"/>
        <w:widowControl/>
        <w:spacing w:line="360" w:lineRule="auto"/>
        <w:jc w:val="left"/>
        <w:rPr>
          <w:rFonts w:ascii="宋体" w:hAnsi="宋体"/>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不同投标人委托同一单位或者个人办理投标事宜；</w:t>
      </w:r>
    </w:p>
    <w:p>
      <w:pPr>
        <w:pStyle w:val="127"/>
        <w:widowControl/>
        <w:spacing w:line="360" w:lineRule="auto"/>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不同投标人的投标文件载明的项目管理成员或者联系人员为同一人；</w:t>
      </w:r>
    </w:p>
    <w:p>
      <w:pPr>
        <w:pStyle w:val="127"/>
        <w:widowControl/>
        <w:spacing w:line="360" w:lineRule="auto"/>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不同投标人的投标文件异常一致或者投标报价呈规律性差异；</w:t>
      </w:r>
    </w:p>
    <w:p>
      <w:pPr>
        <w:pStyle w:val="127"/>
        <w:widowControl/>
        <w:spacing w:line="360" w:lineRule="auto"/>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不同投标人的投标文件相互混装；</w:t>
      </w:r>
    </w:p>
    <w:p>
      <w:pPr>
        <w:pStyle w:val="127"/>
        <w:widowControl/>
        <w:tabs>
          <w:tab w:val="left" w:pos="420"/>
          <w:tab w:val="left" w:pos="630"/>
        </w:tabs>
        <w:spacing w:line="360" w:lineRule="auto"/>
        <w:ind w:firstLine="0"/>
        <w:jc w:val="left"/>
        <w:rPr>
          <w:rFonts w:ascii="宋体" w:hAnsi="宋体"/>
          <w:color w:val="auto"/>
          <w:szCs w:val="21"/>
          <w:highlight w:val="none"/>
        </w:rPr>
      </w:pPr>
      <w:r>
        <w:rPr>
          <w:rFonts w:hint="eastAsia" w:ascii="宋体" w:hAnsi="宋体"/>
          <w:color w:val="auto"/>
          <w:szCs w:val="21"/>
          <w:highlight w:val="none"/>
          <w:lang w:eastAsia="zh-CN"/>
        </w:rPr>
        <w:tab/>
      </w:r>
      <w:r>
        <w:rPr>
          <w:rFonts w:hint="eastAsia" w:ascii="宋体" w:hAnsi="宋体"/>
          <w:color w:val="auto"/>
          <w:szCs w:val="21"/>
          <w:highlight w:val="none"/>
          <w:lang w:eastAsia="zh-CN"/>
        </w:rPr>
        <w:t>（6）</w:t>
      </w:r>
      <w:r>
        <w:rPr>
          <w:rFonts w:hint="eastAsia" w:ascii="宋体" w:hAnsi="宋体"/>
          <w:color w:val="auto"/>
          <w:szCs w:val="21"/>
          <w:highlight w:val="none"/>
        </w:rPr>
        <w:t>不同投标人的投标保证金从同一单位或者个人的账户转出。</w:t>
      </w:r>
    </w:p>
    <w:p>
      <w:pPr>
        <w:autoSpaceDE w:val="0"/>
        <w:autoSpaceDN w:val="0"/>
        <w:adjustRightInd w:val="0"/>
        <w:spacing w:line="360" w:lineRule="auto"/>
        <w:ind w:right="32"/>
        <w:rPr>
          <w:rFonts w:ascii="宋体" w:hAnsi="宋体"/>
          <w:color w:val="auto"/>
          <w:szCs w:val="21"/>
          <w:highlight w:val="none"/>
        </w:rPr>
      </w:pPr>
      <w:r>
        <w:rPr>
          <w:rFonts w:hint="eastAsia" w:ascii="宋体" w:hAnsi="宋体"/>
          <w:color w:val="auto"/>
          <w:szCs w:val="21"/>
          <w:highlight w:val="none"/>
        </w:rPr>
        <w:t>6. 投标文件的详细评审</w:t>
      </w:r>
    </w:p>
    <w:p>
      <w:pPr>
        <w:autoSpaceDE w:val="0"/>
        <w:autoSpaceDN w:val="0"/>
        <w:adjustRightInd w:val="0"/>
        <w:spacing w:line="360" w:lineRule="auto"/>
        <w:ind w:right="32"/>
        <w:rPr>
          <w:rFonts w:ascii="宋体" w:hAnsi="宋体"/>
          <w:color w:val="auto"/>
          <w:kern w:val="0"/>
          <w:szCs w:val="21"/>
          <w:highlight w:val="none"/>
        </w:rPr>
      </w:pPr>
      <w:r>
        <w:rPr>
          <w:rFonts w:hint="eastAsia" w:ascii="宋体" w:hAnsi="宋体" w:cs="宋体"/>
          <w:color w:val="auto"/>
          <w:szCs w:val="21"/>
          <w:highlight w:val="none"/>
        </w:rPr>
        <w:t>6.1 评标委员会对符合性审查合格的投标文件进行商务、技术（服务）评审，综合比较与评价。</w:t>
      </w:r>
    </w:p>
    <w:p>
      <w:pPr>
        <w:tabs>
          <w:tab w:val="left" w:pos="567"/>
        </w:tabs>
        <w:spacing w:line="360" w:lineRule="auto"/>
        <w:ind w:left="500" w:leftChars="238"/>
        <w:rPr>
          <w:rFonts w:ascii="宋体" w:hAnsi="宋体"/>
          <w:color w:val="auto"/>
          <w:kern w:val="0"/>
          <w:szCs w:val="21"/>
          <w:highlight w:val="none"/>
        </w:rPr>
      </w:pPr>
      <w:r>
        <w:rPr>
          <w:rFonts w:hint="eastAsia" w:ascii="宋体" w:hAnsi="宋体"/>
          <w:color w:val="auto"/>
          <w:kern w:val="0"/>
          <w:szCs w:val="21"/>
          <w:highlight w:val="none"/>
        </w:rPr>
        <w:t>（1）商务评审：具体评分项明细及各单项所占权重详见《附表三 商务评分表》</w:t>
      </w:r>
    </w:p>
    <w:p>
      <w:pPr>
        <w:tabs>
          <w:tab w:val="left" w:pos="567"/>
        </w:tabs>
        <w:spacing w:line="360" w:lineRule="auto"/>
        <w:ind w:left="500" w:leftChars="238"/>
        <w:rPr>
          <w:rFonts w:ascii="宋体" w:hAnsi="宋体"/>
          <w:color w:val="auto"/>
          <w:kern w:val="0"/>
          <w:szCs w:val="21"/>
          <w:highlight w:val="none"/>
        </w:rPr>
      </w:pPr>
      <w:r>
        <w:rPr>
          <w:rFonts w:hint="eastAsia" w:ascii="宋体" w:hAnsi="宋体"/>
          <w:color w:val="auto"/>
          <w:kern w:val="0"/>
          <w:szCs w:val="21"/>
          <w:highlight w:val="none"/>
        </w:rPr>
        <w:t>（2）技术（服务）评审：具体评分项明细及各单项所占权重详见《附表四 技术（服务）评分表》</w:t>
      </w:r>
    </w:p>
    <w:p>
      <w:pPr>
        <w:tabs>
          <w:tab w:val="left" w:pos="567"/>
        </w:tabs>
        <w:spacing w:line="360" w:lineRule="auto"/>
        <w:ind w:left="500" w:leftChars="238"/>
        <w:rPr>
          <w:rFonts w:ascii="宋体" w:hAnsi="宋体"/>
          <w:color w:val="auto"/>
          <w:kern w:val="0"/>
          <w:szCs w:val="21"/>
          <w:highlight w:val="none"/>
        </w:rPr>
      </w:pPr>
      <w:r>
        <w:rPr>
          <w:rFonts w:hint="eastAsia" w:ascii="宋体" w:hAnsi="宋体"/>
          <w:color w:val="auto"/>
          <w:kern w:val="0"/>
          <w:szCs w:val="21"/>
          <w:highlight w:val="none"/>
        </w:rPr>
        <w:t>（3）价格评审：具体评审办法详见《附表五 价格评分表》。</w:t>
      </w:r>
    </w:p>
    <w:p>
      <w:pPr>
        <w:autoSpaceDE w:val="0"/>
        <w:autoSpaceDN w:val="0"/>
        <w:adjustRightInd w:val="0"/>
        <w:spacing w:line="360" w:lineRule="auto"/>
        <w:ind w:left="473" w:right="32"/>
        <w:rPr>
          <w:rFonts w:ascii="宋体" w:hAnsi="宋体"/>
          <w:color w:val="auto"/>
          <w:szCs w:val="21"/>
          <w:highlight w:val="none"/>
        </w:rPr>
      </w:pPr>
      <w:r>
        <w:rPr>
          <w:rFonts w:hint="eastAsia" w:ascii="宋体" w:hAnsi="宋体"/>
          <w:color w:val="auto"/>
          <w:szCs w:val="21"/>
          <w:highlight w:val="none"/>
        </w:rPr>
        <w:t>6.1.1政府采购政策性扶持（监狱企业、残疾人福利单位视同小型、微型企业）：</w:t>
      </w:r>
    </w:p>
    <w:p>
      <w:pPr>
        <w:autoSpaceDE w:val="0"/>
        <w:autoSpaceDN w:val="0"/>
        <w:adjustRightInd w:val="0"/>
        <w:spacing w:line="360" w:lineRule="auto"/>
        <w:ind w:left="473" w:right="32"/>
        <w:rPr>
          <w:rFonts w:ascii="宋体" w:hAnsi="宋体"/>
          <w:color w:val="auto"/>
          <w:szCs w:val="21"/>
          <w:highlight w:val="none"/>
        </w:rPr>
      </w:pPr>
      <w:r>
        <w:rPr>
          <w:rFonts w:hint="eastAsia" w:ascii="宋体" w:hAnsi="宋体"/>
          <w:color w:val="auto"/>
          <w:szCs w:val="21"/>
          <w:highlight w:val="none"/>
        </w:rPr>
        <w:t>（1） 承接本项目服务的为小型或微型企业（包括成员全部为小型或微型企业的联合体）时，报价给予 C 1 的价格扣除（C 1 的取值范围为 15%），即：评标价＝核实价×(1－C 1 ）；</w:t>
      </w:r>
    </w:p>
    <w:p>
      <w:pPr>
        <w:autoSpaceDE w:val="0"/>
        <w:autoSpaceDN w:val="0"/>
        <w:adjustRightInd w:val="0"/>
        <w:spacing w:line="360" w:lineRule="auto"/>
        <w:ind w:left="473" w:right="32"/>
        <w:rPr>
          <w:rFonts w:ascii="宋体" w:hAnsi="宋体"/>
          <w:color w:val="auto"/>
          <w:szCs w:val="21"/>
          <w:highlight w:val="none"/>
        </w:rPr>
      </w:pPr>
      <w:r>
        <w:rPr>
          <w:rFonts w:hint="eastAsia" w:ascii="宋体" w:hAnsi="宋体"/>
          <w:color w:val="auto"/>
          <w:szCs w:val="21"/>
          <w:highlight w:val="none"/>
        </w:rPr>
        <w:t>（2） 本条款所称小型或微型企业应当符合以下条件：符合小型或微型企业划分标准，并且提供本企业承担的服务；</w:t>
      </w:r>
    </w:p>
    <w:p>
      <w:pPr>
        <w:autoSpaceDE w:val="0"/>
        <w:autoSpaceDN w:val="0"/>
        <w:adjustRightInd w:val="0"/>
        <w:spacing w:line="360" w:lineRule="auto"/>
        <w:ind w:left="473" w:right="32"/>
        <w:rPr>
          <w:rFonts w:ascii="宋体" w:hAnsi="宋体"/>
          <w:color w:val="auto"/>
          <w:szCs w:val="21"/>
          <w:highlight w:val="none"/>
        </w:rPr>
      </w:pPr>
      <w:r>
        <w:rPr>
          <w:rFonts w:hint="eastAsia" w:ascii="宋体" w:hAnsi="宋体"/>
          <w:color w:val="auto"/>
          <w:szCs w:val="21"/>
          <w:highlight w:val="none"/>
        </w:rPr>
        <w:t>（3） 符合中小企业扶持政策的投标供应商应提交《中小企业声明函》，否则评审时不能享受相应的价格扣除。</w:t>
      </w:r>
    </w:p>
    <w:p>
      <w:pPr>
        <w:autoSpaceDE w:val="0"/>
        <w:autoSpaceDN w:val="0"/>
        <w:adjustRightInd w:val="0"/>
        <w:spacing w:line="360" w:lineRule="auto"/>
        <w:ind w:left="473" w:right="32"/>
        <w:rPr>
          <w:rFonts w:ascii="宋体" w:hAnsi="宋体"/>
          <w:color w:val="auto"/>
          <w:szCs w:val="21"/>
          <w:highlight w:val="none"/>
        </w:rPr>
      </w:pPr>
      <w:r>
        <w:rPr>
          <w:rFonts w:hint="eastAsia" w:ascii="宋体" w:hAnsi="宋体"/>
          <w:color w:val="auto"/>
          <w:szCs w:val="21"/>
          <w:highlight w:val="none"/>
        </w:rPr>
        <w:t>（4） 监狱企业视同小型、微型企业，享受评审中价格扣除的政府采购政策。监狱企业参加政府采购活动时，应当提供由省级以上监狱管理局、戒毒管理局(含新疆生产建设兵团)出具的属于监狱企业的证明文件；</w:t>
      </w:r>
    </w:p>
    <w:p>
      <w:pPr>
        <w:autoSpaceDE w:val="0"/>
        <w:autoSpaceDN w:val="0"/>
        <w:adjustRightInd w:val="0"/>
        <w:spacing w:line="360" w:lineRule="auto"/>
        <w:ind w:left="473" w:right="32"/>
        <w:rPr>
          <w:rFonts w:ascii="宋体" w:hAnsi="宋体"/>
          <w:color w:val="auto"/>
          <w:szCs w:val="21"/>
          <w:highlight w:val="none"/>
        </w:rPr>
      </w:pPr>
      <w:r>
        <w:rPr>
          <w:rFonts w:hint="eastAsia" w:ascii="宋体" w:hAnsi="宋体"/>
          <w:color w:val="auto"/>
          <w:szCs w:val="21"/>
          <w:highlight w:val="none"/>
        </w:rPr>
        <w:t>（5） 残疾人福利单位视同小型、微型企业，享受评审中价格扣除的政府采购政策。残疾人福利单位参加政府采购活动时，应当提供《残疾人福利性单位声明函》；</w:t>
      </w:r>
    </w:p>
    <w:p>
      <w:pPr>
        <w:autoSpaceDE w:val="0"/>
        <w:autoSpaceDN w:val="0"/>
        <w:adjustRightInd w:val="0"/>
        <w:spacing w:line="360" w:lineRule="auto"/>
        <w:ind w:left="473" w:right="32"/>
        <w:rPr>
          <w:rFonts w:ascii="宋体" w:hAnsi="宋体"/>
          <w:color w:val="auto"/>
          <w:szCs w:val="21"/>
          <w:highlight w:val="none"/>
        </w:rPr>
      </w:pPr>
      <w:r>
        <w:rPr>
          <w:rFonts w:hint="eastAsia" w:ascii="宋体" w:hAnsi="宋体"/>
          <w:color w:val="auto"/>
          <w:szCs w:val="21"/>
          <w:highlight w:val="none"/>
        </w:rPr>
        <w:t>（6） 符合中小企业划分标准的个体工商户，在政府采购活动中视同中小企业；</w:t>
      </w:r>
    </w:p>
    <w:p>
      <w:pPr>
        <w:autoSpaceDE w:val="0"/>
        <w:autoSpaceDN w:val="0"/>
        <w:adjustRightInd w:val="0"/>
        <w:spacing w:line="360" w:lineRule="auto"/>
        <w:ind w:left="473" w:right="32"/>
        <w:rPr>
          <w:rFonts w:ascii="宋体" w:hAnsi="宋体"/>
          <w:color w:val="auto"/>
          <w:szCs w:val="21"/>
          <w:highlight w:val="none"/>
        </w:rPr>
      </w:pPr>
      <w:r>
        <w:rPr>
          <w:rFonts w:hint="eastAsia" w:ascii="宋体" w:hAnsi="宋体"/>
          <w:color w:val="auto"/>
          <w:szCs w:val="21"/>
          <w:highlight w:val="none"/>
        </w:rPr>
        <w:t>（7） 本文件所称中小企业，是指在中华人民共和国境内依法设立，依据国务院批准的中小企业划分标准确定的中型企业、小型企业和微型企业。</w:t>
      </w:r>
    </w:p>
    <w:p>
      <w:pPr>
        <w:autoSpaceDE w:val="0"/>
        <w:autoSpaceDN w:val="0"/>
        <w:adjustRightInd w:val="0"/>
        <w:spacing w:line="360" w:lineRule="auto"/>
        <w:ind w:left="473" w:right="32"/>
        <w:rPr>
          <w:rFonts w:ascii="宋体" w:hAnsi="宋体"/>
          <w:color w:val="auto"/>
          <w:szCs w:val="21"/>
          <w:highlight w:val="none"/>
        </w:rPr>
      </w:pPr>
      <w:r>
        <w:rPr>
          <w:rFonts w:hint="eastAsia" w:ascii="宋体" w:hAnsi="宋体"/>
          <w:color w:val="auto"/>
          <w:szCs w:val="21"/>
          <w:highlight w:val="none"/>
        </w:rPr>
        <w:t>6.1.2 评标价的确定：按上述条款的原则校核修正后的价格为评标价。</w:t>
      </w:r>
    </w:p>
    <w:p>
      <w:pPr>
        <w:autoSpaceDE w:val="0"/>
        <w:autoSpaceDN w:val="0"/>
        <w:adjustRightInd w:val="0"/>
        <w:spacing w:line="360" w:lineRule="auto"/>
        <w:ind w:left="473" w:right="32"/>
        <w:rPr>
          <w:rFonts w:ascii="宋体" w:hAnsi="宋体"/>
          <w:color w:val="auto"/>
          <w:szCs w:val="21"/>
          <w:highlight w:val="none"/>
        </w:rPr>
      </w:pPr>
      <w:r>
        <w:rPr>
          <w:rFonts w:hint="eastAsia" w:ascii="宋体" w:hAnsi="宋体"/>
          <w:color w:val="auto"/>
          <w:szCs w:val="21"/>
          <w:highlight w:val="none"/>
        </w:rPr>
        <w:t>6.1.3 计算价格评分：各有效投标供应商的评标价中，取最低者作为基准价，各有效投标供应商的价格评分统一按照下列公式计算：价格评分＝（基准价÷评标价）×价格分值</w:t>
      </w:r>
    </w:p>
    <w:p>
      <w:pPr>
        <w:autoSpaceDE w:val="0"/>
        <w:autoSpaceDN w:val="0"/>
        <w:adjustRightInd w:val="0"/>
        <w:spacing w:line="360" w:lineRule="auto"/>
        <w:ind w:left="473" w:right="32"/>
        <w:rPr>
          <w:rFonts w:ascii="宋体" w:hAnsi="宋体"/>
          <w:color w:val="auto"/>
          <w:szCs w:val="21"/>
          <w:highlight w:val="none"/>
        </w:rPr>
      </w:pPr>
      <w:r>
        <w:rPr>
          <w:rFonts w:hint="eastAsia" w:ascii="宋体" w:hAnsi="宋体"/>
          <w:color w:val="auto"/>
          <w:szCs w:val="21"/>
          <w:highlight w:val="none"/>
        </w:rPr>
        <w:t>6.1.4评标总得分及统计：各评委的评分的算术平均值即为该投标供应商的技术评分或商务评分。然后，根据比价原则评出价格评分。将技术评分、商务评分和价格评分相加得出评标总得分（评标总得分分值按四舍五入原则精确到小数点后两位）。</w:t>
      </w:r>
    </w:p>
    <w:p>
      <w:pPr>
        <w:autoSpaceDE w:val="0"/>
        <w:autoSpaceDN w:val="0"/>
        <w:adjustRightInd w:val="0"/>
        <w:spacing w:line="360" w:lineRule="auto"/>
        <w:ind w:left="473" w:right="32"/>
        <w:rPr>
          <w:rFonts w:ascii="宋体" w:hAnsi="宋体"/>
          <w:color w:val="auto"/>
          <w:szCs w:val="21"/>
          <w:highlight w:val="none"/>
        </w:rPr>
      </w:pPr>
      <w:r>
        <w:rPr>
          <w:rFonts w:hint="eastAsia" w:ascii="宋体" w:hAnsi="宋体"/>
          <w:color w:val="auto"/>
          <w:szCs w:val="21"/>
          <w:highlight w:val="none"/>
        </w:rPr>
        <w:t>6.1.5评标结果汇总完成后，除下列情形外，任何人不得修改评标结果：</w:t>
      </w:r>
    </w:p>
    <w:p>
      <w:pPr>
        <w:autoSpaceDE w:val="0"/>
        <w:autoSpaceDN w:val="0"/>
        <w:adjustRightInd w:val="0"/>
        <w:spacing w:line="360" w:lineRule="auto"/>
        <w:ind w:left="473" w:right="32"/>
        <w:rPr>
          <w:rFonts w:ascii="宋体" w:hAnsi="宋体"/>
          <w:color w:val="auto"/>
          <w:szCs w:val="21"/>
          <w:highlight w:val="none"/>
        </w:rPr>
      </w:pPr>
      <w:r>
        <w:rPr>
          <w:rFonts w:hint="eastAsia" w:ascii="宋体" w:hAnsi="宋体"/>
          <w:color w:val="auto"/>
          <w:szCs w:val="21"/>
          <w:highlight w:val="none"/>
        </w:rPr>
        <w:t>（1） 分值汇总计算错误的；</w:t>
      </w:r>
    </w:p>
    <w:p>
      <w:pPr>
        <w:autoSpaceDE w:val="0"/>
        <w:autoSpaceDN w:val="0"/>
        <w:adjustRightInd w:val="0"/>
        <w:spacing w:line="360" w:lineRule="auto"/>
        <w:ind w:left="473" w:right="32"/>
        <w:rPr>
          <w:rFonts w:ascii="宋体" w:hAnsi="宋体"/>
          <w:color w:val="auto"/>
          <w:szCs w:val="21"/>
          <w:highlight w:val="none"/>
        </w:rPr>
      </w:pPr>
      <w:r>
        <w:rPr>
          <w:rFonts w:hint="eastAsia" w:ascii="宋体" w:hAnsi="宋体"/>
          <w:color w:val="auto"/>
          <w:szCs w:val="21"/>
          <w:highlight w:val="none"/>
        </w:rPr>
        <w:t>（2） 分项评分超出评分标准范围的；</w:t>
      </w:r>
    </w:p>
    <w:p>
      <w:pPr>
        <w:autoSpaceDE w:val="0"/>
        <w:autoSpaceDN w:val="0"/>
        <w:adjustRightInd w:val="0"/>
        <w:spacing w:line="360" w:lineRule="auto"/>
        <w:ind w:left="473" w:right="32"/>
        <w:rPr>
          <w:rFonts w:ascii="宋体" w:hAnsi="宋体"/>
          <w:color w:val="auto"/>
          <w:szCs w:val="21"/>
          <w:highlight w:val="none"/>
        </w:rPr>
      </w:pPr>
      <w:r>
        <w:rPr>
          <w:rFonts w:hint="eastAsia" w:ascii="宋体" w:hAnsi="宋体"/>
          <w:color w:val="auto"/>
          <w:szCs w:val="21"/>
          <w:highlight w:val="none"/>
        </w:rPr>
        <w:t>（3） 评标委员会成员对客观评审因素评分不一致的；</w:t>
      </w:r>
    </w:p>
    <w:p>
      <w:pPr>
        <w:autoSpaceDE w:val="0"/>
        <w:autoSpaceDN w:val="0"/>
        <w:adjustRightInd w:val="0"/>
        <w:spacing w:line="360" w:lineRule="auto"/>
        <w:ind w:left="473" w:right="32"/>
        <w:rPr>
          <w:rFonts w:ascii="宋体" w:hAnsi="宋体"/>
          <w:color w:val="auto"/>
          <w:szCs w:val="21"/>
          <w:highlight w:val="none"/>
        </w:rPr>
      </w:pPr>
      <w:r>
        <w:rPr>
          <w:rFonts w:hint="eastAsia" w:ascii="宋体" w:hAnsi="宋体"/>
          <w:color w:val="auto"/>
          <w:szCs w:val="21"/>
          <w:highlight w:val="none"/>
        </w:rPr>
        <w:t>（4） 经评标委员会认定评分畸高、畸低的。</w:t>
      </w:r>
    </w:p>
    <w:p>
      <w:pPr>
        <w:autoSpaceDE w:val="0"/>
        <w:autoSpaceDN w:val="0"/>
        <w:adjustRightInd w:val="0"/>
        <w:spacing w:line="360" w:lineRule="auto"/>
        <w:ind w:left="473" w:right="32"/>
        <w:rPr>
          <w:rFonts w:ascii="宋体" w:hAnsi="宋体"/>
          <w:color w:val="auto"/>
          <w:szCs w:val="21"/>
          <w:highlight w:val="none"/>
        </w:rPr>
      </w:pPr>
      <w:r>
        <w:rPr>
          <w:rFonts w:hint="eastAsia" w:ascii="宋体" w:hAnsi="宋体"/>
          <w:color w:val="auto"/>
          <w:szCs w:val="21"/>
          <w:highlight w:val="none"/>
        </w:rPr>
        <w:t>6.1.6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adjustRightInd w:val="0"/>
        <w:spacing w:line="360" w:lineRule="auto"/>
        <w:ind w:left="473" w:right="32" w:hanging="472" w:hangingChars="225"/>
        <w:rPr>
          <w:rFonts w:ascii="宋体" w:hAnsi="宋体"/>
          <w:color w:val="auto"/>
          <w:szCs w:val="21"/>
          <w:highlight w:val="none"/>
        </w:rPr>
      </w:pPr>
      <w:r>
        <w:rPr>
          <w:rFonts w:hint="eastAsia" w:ascii="宋体" w:hAnsi="宋体"/>
          <w:color w:val="auto"/>
          <w:szCs w:val="21"/>
          <w:highlight w:val="none"/>
        </w:rPr>
        <w:t>6.2 各评委独立地对每个投标人分别评出商务得分和技术（服务）得分，所有评委的技术（服务）、商务评分的算术平均值为该投标人的技术（服务）得分和商务得分。价格得分按价格评审办法评分。将投标人的技术（服务）得分、商务得分和价格得分相加，计算得出各投标人的综合得分。</w:t>
      </w:r>
    </w:p>
    <w:p>
      <w:pPr>
        <w:autoSpaceDE w:val="0"/>
        <w:autoSpaceDN w:val="0"/>
        <w:adjustRightInd w:val="0"/>
        <w:spacing w:line="360" w:lineRule="auto"/>
        <w:ind w:left="473" w:right="32" w:hanging="472" w:hangingChars="225"/>
        <w:rPr>
          <w:rFonts w:ascii="宋体" w:hAnsi="宋体"/>
          <w:color w:val="auto"/>
          <w:szCs w:val="21"/>
          <w:highlight w:val="none"/>
        </w:rPr>
      </w:pPr>
      <w:r>
        <w:rPr>
          <w:rFonts w:hint="eastAsia" w:ascii="宋体" w:hAnsi="宋体"/>
          <w:color w:val="auto"/>
          <w:szCs w:val="21"/>
          <w:highlight w:val="none"/>
        </w:rPr>
        <w:t>6.3 中标供应商的确定</w:t>
      </w:r>
    </w:p>
    <w:p>
      <w:pPr>
        <w:autoSpaceDE w:val="0"/>
        <w:autoSpaceDN w:val="0"/>
        <w:adjustRightInd w:val="0"/>
        <w:spacing w:line="360" w:lineRule="auto"/>
        <w:ind w:left="470" w:leftChars="199" w:right="32" w:hanging="52" w:hangingChars="25"/>
        <w:rPr>
          <w:rFonts w:ascii="宋体" w:hAnsi="宋体"/>
          <w:color w:val="auto"/>
          <w:szCs w:val="21"/>
          <w:highlight w:val="none"/>
        </w:rPr>
      </w:pPr>
      <w:r>
        <w:rPr>
          <w:rFonts w:hint="eastAsia" w:ascii="宋体" w:hAnsi="宋体"/>
          <w:color w:val="auto"/>
          <w:szCs w:val="21"/>
          <w:highlight w:val="none"/>
        </w:rPr>
        <w:t>推荐中标候选投标供应商名单：本项目推荐两名中标候选人。将各有效投标供应商按其评标总得分由高到低顺序排列。得分相同的，按投标报价由低到高顺序排列。得分且投标报价相同的，由评委会采取随机抽取的方式确定。排名第一的投标供应商为第一中标候选人，排名第二的投标供应商为第二中标候选人。</w:t>
      </w:r>
    </w:p>
    <w:p>
      <w:pPr>
        <w:autoSpaceDE w:val="0"/>
        <w:autoSpaceDN w:val="0"/>
        <w:adjustRightInd w:val="0"/>
        <w:spacing w:line="360" w:lineRule="auto"/>
        <w:ind w:left="473" w:right="32" w:hanging="472" w:hangingChars="225"/>
        <w:rPr>
          <w:rFonts w:ascii="宋体" w:hAnsi="宋体"/>
          <w:color w:val="auto"/>
          <w:szCs w:val="21"/>
          <w:highlight w:val="none"/>
        </w:rPr>
      </w:pPr>
      <w:r>
        <w:rPr>
          <w:rFonts w:hint="eastAsia" w:ascii="宋体" w:hAnsi="宋体"/>
          <w:color w:val="auto"/>
          <w:szCs w:val="21"/>
          <w:highlight w:val="none"/>
        </w:rPr>
        <w:t>6.4 中标价的确定：除了按 3.5修正并经投标人确认的投标报价作为中标价外，中标价以开标时公开唱读额为准。</w:t>
      </w:r>
    </w:p>
    <w:p>
      <w:pPr>
        <w:autoSpaceDE w:val="0"/>
        <w:autoSpaceDN w:val="0"/>
        <w:adjustRightInd w:val="0"/>
        <w:spacing w:line="360" w:lineRule="auto"/>
        <w:ind w:left="473" w:right="32" w:hanging="472" w:hangingChars="225"/>
        <w:rPr>
          <w:rFonts w:ascii="宋体" w:hAnsi="宋体"/>
          <w:color w:val="auto"/>
          <w:szCs w:val="21"/>
          <w:highlight w:val="none"/>
        </w:rPr>
      </w:pPr>
      <w:r>
        <w:rPr>
          <w:rFonts w:hint="eastAsia" w:ascii="宋体" w:hAnsi="宋体"/>
          <w:color w:val="auto"/>
          <w:szCs w:val="21"/>
          <w:highlight w:val="none"/>
        </w:rPr>
        <w:t>6.5 根据评标委员会的评标结果，采购人依法确定中标供应商，也可以事先授权评标委员会直接确定中标供应商。</w:t>
      </w:r>
    </w:p>
    <w:p>
      <w:pPr>
        <w:autoSpaceDE w:val="0"/>
        <w:autoSpaceDN w:val="0"/>
        <w:adjustRightInd w:val="0"/>
        <w:spacing w:line="360" w:lineRule="auto"/>
        <w:ind w:left="473" w:right="32" w:hanging="472" w:hangingChars="225"/>
        <w:rPr>
          <w:rFonts w:ascii="宋体" w:hAnsi="宋体"/>
          <w:color w:val="auto"/>
          <w:szCs w:val="21"/>
          <w:highlight w:val="none"/>
        </w:rPr>
      </w:pPr>
      <w:r>
        <w:rPr>
          <w:rFonts w:hint="eastAsia" w:ascii="宋体" w:hAnsi="宋体"/>
          <w:color w:val="auto"/>
          <w:szCs w:val="21"/>
          <w:highlight w:val="none"/>
        </w:rPr>
        <w:t>7. 发布中标结果</w:t>
      </w:r>
    </w:p>
    <w:p>
      <w:pPr>
        <w:autoSpaceDE w:val="0"/>
        <w:autoSpaceDN w:val="0"/>
        <w:adjustRightInd w:val="0"/>
        <w:spacing w:line="360" w:lineRule="auto"/>
        <w:ind w:left="473" w:right="32" w:hanging="472" w:hangingChars="225"/>
        <w:rPr>
          <w:rFonts w:ascii="宋体" w:hAnsi="宋体"/>
          <w:color w:val="auto"/>
          <w:szCs w:val="21"/>
          <w:highlight w:val="none"/>
        </w:rPr>
      </w:pPr>
      <w:r>
        <w:rPr>
          <w:rFonts w:hint="eastAsia" w:ascii="宋体" w:hAnsi="宋体"/>
          <w:color w:val="auto"/>
          <w:szCs w:val="21"/>
          <w:highlight w:val="none"/>
        </w:rPr>
        <w:t>7.1 采购代理机构将在下列媒体公告中标结果：中国政府采购网(www.ccgp.gov.cn)，广东广招招标采购有限公司网 (http://www.gztpc.com/)。</w:t>
      </w:r>
    </w:p>
    <w:p>
      <w:pPr>
        <w:autoSpaceDE w:val="0"/>
        <w:autoSpaceDN w:val="0"/>
        <w:adjustRightInd w:val="0"/>
        <w:spacing w:line="360" w:lineRule="auto"/>
        <w:ind w:left="473" w:right="32" w:hanging="472" w:hangingChars="225"/>
        <w:rPr>
          <w:rFonts w:ascii="宋体" w:hAnsi="宋体"/>
          <w:color w:val="auto"/>
          <w:szCs w:val="21"/>
          <w:highlight w:val="none"/>
        </w:rPr>
      </w:pPr>
      <w:r>
        <w:rPr>
          <w:rFonts w:hint="eastAsia" w:ascii="宋体" w:hAnsi="宋体"/>
          <w:color w:val="auto"/>
          <w:szCs w:val="21"/>
          <w:highlight w:val="none"/>
        </w:rPr>
        <w:t>7.2 在《中标结果公告》发布的同时，采购代理机构以书面形式向中标供应商发出《中标通知书》。</w:t>
      </w:r>
    </w:p>
    <w:p>
      <w:pPr>
        <w:autoSpaceDE w:val="0"/>
        <w:autoSpaceDN w:val="0"/>
        <w:adjustRightInd w:val="0"/>
        <w:spacing w:line="360" w:lineRule="auto"/>
        <w:ind w:left="473" w:right="32" w:hanging="472" w:hangingChars="225"/>
        <w:rPr>
          <w:rFonts w:ascii="宋体" w:hAnsi="宋体"/>
          <w:color w:val="auto"/>
          <w:szCs w:val="21"/>
          <w:highlight w:val="none"/>
        </w:rPr>
      </w:pPr>
      <w:r>
        <w:rPr>
          <w:rFonts w:hint="eastAsia" w:ascii="宋体" w:hAnsi="宋体"/>
          <w:color w:val="auto"/>
          <w:szCs w:val="21"/>
          <w:highlight w:val="none"/>
        </w:rPr>
        <w:t>7.3 《中标通知书》是合同的一个组成部分，对采购人和中标供应商具有同等法律效力；</w:t>
      </w:r>
    </w:p>
    <w:p>
      <w:pPr>
        <w:autoSpaceDE w:val="0"/>
        <w:autoSpaceDN w:val="0"/>
        <w:adjustRightInd w:val="0"/>
        <w:spacing w:line="360" w:lineRule="auto"/>
        <w:ind w:left="470" w:leftChars="199" w:right="32" w:hanging="52" w:hangingChars="25"/>
        <w:rPr>
          <w:rFonts w:ascii="宋体" w:hAnsi="宋体"/>
          <w:color w:val="auto"/>
          <w:szCs w:val="21"/>
          <w:highlight w:val="none"/>
        </w:rPr>
      </w:pPr>
      <w:r>
        <w:rPr>
          <w:rFonts w:hint="eastAsia" w:ascii="宋体" w:hAnsi="宋体"/>
          <w:color w:val="auto"/>
          <w:szCs w:val="21"/>
          <w:highlight w:val="none"/>
        </w:rPr>
        <w:t>《中标通知书》发出后，采购人改变中标结果，或者中标供应商放弃中标的，均应承担相应的法律责任。</w:t>
      </w:r>
    </w:p>
    <w:p>
      <w:pPr>
        <w:spacing w:line="360" w:lineRule="auto"/>
        <w:outlineLvl w:val="1"/>
        <w:rPr>
          <w:rFonts w:ascii="宋体" w:hAnsi="宋体"/>
          <w:b/>
          <w:color w:val="auto"/>
          <w:szCs w:val="21"/>
          <w:highlight w:val="none"/>
        </w:rPr>
      </w:pPr>
      <w:bookmarkStart w:id="35" w:name="_Toc31345"/>
    </w:p>
    <w:p>
      <w:pPr>
        <w:spacing w:line="360" w:lineRule="auto"/>
        <w:outlineLvl w:val="1"/>
        <w:rPr>
          <w:rFonts w:ascii="宋体" w:hAnsi="宋体"/>
          <w:b/>
          <w:color w:val="auto"/>
          <w:szCs w:val="21"/>
          <w:highlight w:val="none"/>
        </w:rPr>
      </w:pPr>
    </w:p>
    <w:p>
      <w:pPr>
        <w:spacing w:line="360" w:lineRule="auto"/>
        <w:outlineLvl w:val="1"/>
        <w:rPr>
          <w:rFonts w:ascii="宋体" w:hAnsi="宋体"/>
          <w:b/>
          <w:color w:val="auto"/>
          <w:szCs w:val="21"/>
          <w:highlight w:val="none"/>
        </w:rPr>
      </w:pPr>
    </w:p>
    <w:p>
      <w:pPr>
        <w:spacing w:line="360" w:lineRule="auto"/>
        <w:outlineLvl w:val="1"/>
        <w:rPr>
          <w:rFonts w:ascii="宋体" w:hAnsi="宋体"/>
          <w:b/>
          <w:color w:val="auto"/>
          <w:szCs w:val="21"/>
          <w:highlight w:val="none"/>
        </w:rPr>
      </w:pPr>
      <w:r>
        <w:rPr>
          <w:rFonts w:hint="eastAsia" w:ascii="宋体" w:hAnsi="宋体"/>
          <w:b/>
          <w:color w:val="auto"/>
          <w:szCs w:val="21"/>
          <w:highlight w:val="none"/>
        </w:rPr>
        <w:br w:type="page"/>
      </w:r>
      <w:r>
        <w:rPr>
          <w:rFonts w:hint="eastAsia" w:ascii="宋体" w:hAnsi="宋体"/>
          <w:b/>
          <w:color w:val="auto"/>
          <w:szCs w:val="21"/>
          <w:highlight w:val="none"/>
        </w:rPr>
        <w:t>附表一 资格性审查表</w:t>
      </w:r>
      <w:bookmarkEnd w:id="35"/>
    </w:p>
    <w:p>
      <w:pPr>
        <w:spacing w:line="300" w:lineRule="auto"/>
        <w:jc w:val="center"/>
        <w:rPr>
          <w:rFonts w:ascii="宋体" w:hAnsi="宋体"/>
          <w:b/>
          <w:color w:val="auto"/>
          <w:szCs w:val="21"/>
          <w:highlight w:val="none"/>
        </w:rPr>
      </w:pPr>
      <w:r>
        <w:rPr>
          <w:rFonts w:hint="eastAsia" w:ascii="宋体" w:hAnsi="宋体"/>
          <w:b/>
          <w:color w:val="auto"/>
          <w:szCs w:val="21"/>
          <w:highlight w:val="none"/>
        </w:rPr>
        <w:t>资格性审查表</w:t>
      </w:r>
    </w:p>
    <w:p>
      <w:pPr>
        <w:spacing w:line="300" w:lineRule="auto"/>
        <w:jc w:val="center"/>
        <w:rPr>
          <w:rFonts w:ascii="宋体" w:hAnsi="宋体"/>
          <w:b/>
          <w:color w:val="auto"/>
          <w:szCs w:val="21"/>
          <w:highlight w:val="none"/>
        </w:rPr>
      </w:pPr>
    </w:p>
    <w:tbl>
      <w:tblPr>
        <w:tblStyle w:val="6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6669"/>
        <w:gridCol w:w="733"/>
        <w:gridCol w:w="727"/>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77" w:type="pct"/>
            <w:vAlign w:val="center"/>
          </w:tcPr>
          <w:p>
            <w:pPr>
              <w:adjustRightInd w:val="0"/>
              <w:snapToGrid w:val="0"/>
              <w:spacing w:beforeLines="20" w:afterLines="20"/>
              <w:jc w:val="center"/>
              <w:rPr>
                <w:rFonts w:ascii="宋体" w:hAnsi="宋体"/>
                <w:b/>
                <w:color w:val="auto"/>
                <w:szCs w:val="21"/>
                <w:highlight w:val="none"/>
              </w:rPr>
            </w:pPr>
            <w:r>
              <w:rPr>
                <w:rFonts w:hint="eastAsia" w:ascii="宋体" w:hAnsi="宋体"/>
                <w:b/>
                <w:color w:val="auto"/>
                <w:szCs w:val="21"/>
                <w:highlight w:val="none"/>
              </w:rPr>
              <w:t>序号</w:t>
            </w:r>
          </w:p>
        </w:tc>
        <w:tc>
          <w:tcPr>
            <w:tcW w:w="3384" w:type="pct"/>
            <w:vAlign w:val="center"/>
          </w:tcPr>
          <w:p>
            <w:pPr>
              <w:adjustRightInd w:val="0"/>
              <w:snapToGrid w:val="0"/>
              <w:spacing w:beforeLines="20" w:afterLines="20"/>
              <w:jc w:val="center"/>
              <w:rPr>
                <w:rFonts w:ascii="宋体" w:hAnsi="宋体"/>
                <w:b/>
                <w:color w:val="auto"/>
                <w:szCs w:val="21"/>
                <w:highlight w:val="none"/>
              </w:rPr>
            </w:pPr>
            <w:r>
              <w:rPr>
                <w:rFonts w:hint="eastAsia" w:ascii="宋体" w:hAnsi="宋体" w:cs="宋体"/>
                <w:b/>
                <w:color w:val="auto"/>
                <w:szCs w:val="21"/>
                <w:highlight w:val="none"/>
              </w:rPr>
              <w:t>评审内容</w:t>
            </w:r>
          </w:p>
        </w:tc>
        <w:tc>
          <w:tcPr>
            <w:tcW w:w="372" w:type="pct"/>
            <w:vAlign w:val="center"/>
          </w:tcPr>
          <w:p>
            <w:pPr>
              <w:spacing w:beforeLines="20" w:afterLines="20"/>
              <w:jc w:val="center"/>
              <w:rPr>
                <w:rFonts w:ascii="宋体" w:hAnsi="宋体"/>
                <w:b/>
                <w:color w:val="auto"/>
                <w:szCs w:val="21"/>
                <w:highlight w:val="none"/>
              </w:rPr>
            </w:pPr>
            <w:r>
              <w:rPr>
                <w:rFonts w:hint="eastAsia" w:ascii="宋体" w:hAnsi="宋体"/>
                <w:b/>
                <w:color w:val="auto"/>
                <w:szCs w:val="21"/>
                <w:highlight w:val="none"/>
              </w:rPr>
              <w:t>A</w:t>
            </w:r>
          </w:p>
        </w:tc>
        <w:tc>
          <w:tcPr>
            <w:tcW w:w="369" w:type="pct"/>
            <w:vAlign w:val="center"/>
          </w:tcPr>
          <w:p>
            <w:pPr>
              <w:spacing w:beforeLines="20" w:afterLines="20"/>
              <w:jc w:val="center"/>
              <w:rPr>
                <w:rFonts w:ascii="宋体" w:hAnsi="宋体"/>
                <w:b/>
                <w:color w:val="auto"/>
                <w:szCs w:val="21"/>
                <w:highlight w:val="none"/>
              </w:rPr>
            </w:pPr>
            <w:r>
              <w:rPr>
                <w:rFonts w:hint="eastAsia" w:ascii="宋体" w:hAnsi="宋体"/>
                <w:b/>
                <w:color w:val="auto"/>
                <w:szCs w:val="21"/>
                <w:highlight w:val="none"/>
              </w:rPr>
              <w:t>B</w:t>
            </w:r>
          </w:p>
        </w:tc>
        <w:tc>
          <w:tcPr>
            <w:tcW w:w="396" w:type="pct"/>
            <w:vAlign w:val="center"/>
          </w:tcPr>
          <w:p>
            <w:pPr>
              <w:spacing w:beforeLines="20" w:afterLines="20"/>
              <w:jc w:val="center"/>
              <w:rPr>
                <w:rFonts w:ascii="宋体" w:hAnsi="宋体"/>
                <w:b/>
                <w:color w:val="auto"/>
                <w:szCs w:val="21"/>
                <w:highlight w:val="none"/>
              </w:rPr>
            </w:pPr>
            <w:r>
              <w:rPr>
                <w:rFonts w:hint="eastAsia" w:ascii="宋体" w:hAnsi="宋体"/>
                <w:b/>
                <w:color w:val="auto"/>
                <w:szCs w:val="21"/>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477" w:type="pct"/>
            <w:vAlign w:val="center"/>
          </w:tcPr>
          <w:p>
            <w:pPr>
              <w:spacing w:beforeLines="20" w:afterLines="20"/>
              <w:jc w:val="center"/>
              <w:rPr>
                <w:rFonts w:ascii="宋体" w:hAnsi="宋体"/>
                <w:color w:val="auto"/>
                <w:szCs w:val="21"/>
                <w:highlight w:val="none"/>
              </w:rPr>
            </w:pPr>
            <w:r>
              <w:rPr>
                <w:rFonts w:hint="eastAsia" w:ascii="宋体" w:hAnsi="宋体"/>
                <w:color w:val="auto"/>
                <w:szCs w:val="21"/>
                <w:highlight w:val="none"/>
              </w:rPr>
              <w:t>1</w:t>
            </w:r>
          </w:p>
        </w:tc>
        <w:tc>
          <w:tcPr>
            <w:tcW w:w="3384" w:type="pct"/>
            <w:vAlign w:val="center"/>
          </w:tcPr>
          <w:p>
            <w:pPr>
              <w:pStyle w:val="127"/>
              <w:adjustRightInd w:val="0"/>
              <w:spacing w:beforeLines="20" w:afterLines="20"/>
              <w:ind w:firstLine="0"/>
              <w:rPr>
                <w:rFonts w:ascii="宋体" w:hAnsi="宋体" w:cs="宋体"/>
                <w:color w:val="auto"/>
                <w:szCs w:val="21"/>
                <w:highlight w:val="none"/>
              </w:rPr>
            </w:pPr>
            <w:r>
              <w:rPr>
                <w:rFonts w:hint="eastAsia" w:ascii="宋体" w:hAnsi="宋体"/>
                <w:color w:val="auto"/>
                <w:szCs w:val="21"/>
                <w:highlight w:val="none"/>
              </w:rPr>
              <w:t>与第一部分</w:t>
            </w:r>
            <w:r>
              <w:rPr>
                <w:rFonts w:hint="eastAsia" w:ascii="宋体" w:hAnsi="宋体"/>
                <w:color w:val="auto"/>
                <w:szCs w:val="21"/>
                <w:highlight w:val="none"/>
                <w:lang w:eastAsia="zh-CN"/>
              </w:rPr>
              <w:t>招标</w:t>
            </w:r>
            <w:r>
              <w:rPr>
                <w:rFonts w:hint="eastAsia" w:ascii="宋体" w:hAnsi="宋体"/>
                <w:color w:val="auto"/>
                <w:szCs w:val="21"/>
                <w:highlight w:val="none"/>
              </w:rPr>
              <w:t>公告的申请人的资格要求一致。</w:t>
            </w:r>
          </w:p>
        </w:tc>
        <w:tc>
          <w:tcPr>
            <w:tcW w:w="372" w:type="pct"/>
            <w:vAlign w:val="center"/>
          </w:tcPr>
          <w:p>
            <w:pPr>
              <w:spacing w:beforeLines="20" w:afterLines="20"/>
              <w:jc w:val="center"/>
              <w:rPr>
                <w:rFonts w:ascii="宋体" w:hAnsi="宋体"/>
                <w:color w:val="auto"/>
                <w:szCs w:val="21"/>
                <w:highlight w:val="none"/>
              </w:rPr>
            </w:pPr>
          </w:p>
        </w:tc>
        <w:tc>
          <w:tcPr>
            <w:tcW w:w="369" w:type="pct"/>
            <w:vAlign w:val="center"/>
          </w:tcPr>
          <w:p>
            <w:pPr>
              <w:spacing w:beforeLines="20" w:afterLines="20"/>
              <w:jc w:val="center"/>
              <w:rPr>
                <w:rFonts w:ascii="宋体" w:hAnsi="宋体"/>
                <w:color w:val="auto"/>
                <w:szCs w:val="21"/>
                <w:highlight w:val="none"/>
              </w:rPr>
            </w:pPr>
          </w:p>
        </w:tc>
        <w:tc>
          <w:tcPr>
            <w:tcW w:w="396" w:type="pct"/>
            <w:vAlign w:val="center"/>
          </w:tcPr>
          <w:p>
            <w:pPr>
              <w:spacing w:beforeLines="20" w:afterLines="2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8" w:hRule="atLeast"/>
        </w:trPr>
        <w:tc>
          <w:tcPr>
            <w:tcW w:w="3861" w:type="pct"/>
            <w:gridSpan w:val="2"/>
            <w:vAlign w:val="center"/>
          </w:tcPr>
          <w:p>
            <w:pPr>
              <w:spacing w:beforeLines="20" w:afterLines="20"/>
              <w:jc w:val="center"/>
              <w:rPr>
                <w:rFonts w:ascii="宋体" w:hAnsi="宋体"/>
                <w:color w:val="auto"/>
                <w:szCs w:val="21"/>
                <w:highlight w:val="none"/>
              </w:rPr>
            </w:pPr>
            <w:r>
              <w:rPr>
                <w:rFonts w:hint="eastAsia" w:ascii="宋体" w:hAnsi="宋体"/>
                <w:color w:val="auto"/>
                <w:szCs w:val="21"/>
                <w:highlight w:val="none"/>
              </w:rPr>
              <w:t>结论</w:t>
            </w:r>
          </w:p>
        </w:tc>
        <w:tc>
          <w:tcPr>
            <w:tcW w:w="372" w:type="pct"/>
            <w:vAlign w:val="center"/>
          </w:tcPr>
          <w:p>
            <w:pPr>
              <w:spacing w:beforeLines="20" w:afterLines="20"/>
              <w:jc w:val="center"/>
              <w:rPr>
                <w:rFonts w:ascii="宋体" w:hAnsi="宋体"/>
                <w:color w:val="auto"/>
                <w:szCs w:val="21"/>
                <w:highlight w:val="none"/>
              </w:rPr>
            </w:pPr>
          </w:p>
        </w:tc>
        <w:tc>
          <w:tcPr>
            <w:tcW w:w="369" w:type="pct"/>
            <w:vAlign w:val="center"/>
          </w:tcPr>
          <w:p>
            <w:pPr>
              <w:spacing w:beforeLines="20" w:afterLines="20"/>
              <w:jc w:val="center"/>
              <w:rPr>
                <w:rFonts w:ascii="宋体" w:hAnsi="宋体"/>
                <w:color w:val="auto"/>
                <w:szCs w:val="21"/>
                <w:highlight w:val="none"/>
              </w:rPr>
            </w:pPr>
          </w:p>
        </w:tc>
        <w:tc>
          <w:tcPr>
            <w:tcW w:w="396" w:type="pct"/>
            <w:vAlign w:val="center"/>
          </w:tcPr>
          <w:p>
            <w:pPr>
              <w:spacing w:beforeLines="20" w:afterLines="20"/>
              <w:jc w:val="center"/>
              <w:rPr>
                <w:rFonts w:ascii="宋体" w:hAnsi="宋体"/>
                <w:color w:val="auto"/>
                <w:szCs w:val="21"/>
                <w:highlight w:val="none"/>
              </w:rPr>
            </w:pPr>
          </w:p>
        </w:tc>
      </w:tr>
    </w:tbl>
    <w:p>
      <w:pPr>
        <w:spacing w:line="300" w:lineRule="auto"/>
        <w:rPr>
          <w:rFonts w:ascii="宋体" w:hAnsi="宋体"/>
          <w:b/>
          <w:color w:val="auto"/>
          <w:szCs w:val="21"/>
          <w:highlight w:val="none"/>
        </w:rPr>
      </w:pPr>
    </w:p>
    <w:p>
      <w:pPr>
        <w:spacing w:line="300" w:lineRule="auto"/>
        <w:rPr>
          <w:rFonts w:ascii="宋体" w:hAnsi="宋体"/>
          <w:b/>
          <w:color w:val="auto"/>
          <w:szCs w:val="21"/>
          <w:highlight w:val="none"/>
        </w:rPr>
      </w:pPr>
      <w:r>
        <w:rPr>
          <w:rFonts w:hint="eastAsia" w:ascii="宋体" w:hAnsi="宋体"/>
          <w:b/>
          <w:color w:val="auto"/>
          <w:szCs w:val="21"/>
          <w:highlight w:val="none"/>
        </w:rPr>
        <w:t>备注：</w:t>
      </w:r>
    </w:p>
    <w:p>
      <w:pPr>
        <w:spacing w:line="300" w:lineRule="auto"/>
        <w:rPr>
          <w:rFonts w:ascii="宋体" w:hAnsi="宋体"/>
          <w:b/>
          <w:color w:val="auto"/>
          <w:szCs w:val="21"/>
          <w:highlight w:val="none"/>
        </w:rPr>
      </w:pPr>
      <w:r>
        <w:rPr>
          <w:rFonts w:hint="eastAsia" w:ascii="宋体" w:hAnsi="宋体"/>
          <w:b/>
          <w:color w:val="auto"/>
          <w:szCs w:val="21"/>
          <w:highlight w:val="none"/>
        </w:rPr>
        <w:t>1.投标人分栏中填写“√”表示该项符合招标文件要求，“×”表示该项不符合招标文件要求；</w:t>
      </w:r>
      <w:r>
        <w:rPr>
          <w:rFonts w:hint="eastAsia" w:ascii="宋体" w:hAnsi="宋体" w:cs="宋体"/>
          <w:b/>
          <w:bCs/>
          <w:color w:val="auto"/>
          <w:szCs w:val="21"/>
          <w:highlight w:val="none"/>
        </w:rPr>
        <w:t>结论写“通过”或“不通过”。</w:t>
      </w:r>
    </w:p>
    <w:p>
      <w:pPr>
        <w:spacing w:line="300" w:lineRule="auto"/>
        <w:ind w:left="310" w:hanging="310" w:hangingChars="147"/>
        <w:rPr>
          <w:rFonts w:ascii="宋体" w:hAnsi="宋体"/>
          <w:b/>
          <w:color w:val="auto"/>
          <w:szCs w:val="21"/>
          <w:highlight w:val="none"/>
        </w:rPr>
      </w:pPr>
      <w:r>
        <w:rPr>
          <w:rFonts w:hint="eastAsia" w:ascii="宋体" w:hAnsi="宋体"/>
          <w:b/>
          <w:color w:val="auto"/>
          <w:szCs w:val="21"/>
          <w:highlight w:val="none"/>
        </w:rPr>
        <w:t>2.有一项不符合的投标人即为不通过资格性审查，则该投标人为不合格投标人，</w:t>
      </w:r>
      <w:r>
        <w:rPr>
          <w:rFonts w:hint="eastAsia" w:ascii="宋体" w:hAnsi="宋体"/>
          <w:b/>
          <w:bCs/>
          <w:color w:val="auto"/>
          <w:spacing w:val="-1"/>
          <w:szCs w:val="21"/>
          <w:highlight w:val="none"/>
        </w:rPr>
        <w:t>不需进行后续评审。</w:t>
      </w:r>
    </w:p>
    <w:p>
      <w:pPr>
        <w:spacing w:line="300" w:lineRule="auto"/>
        <w:ind w:left="310" w:hanging="310" w:hangingChars="147"/>
        <w:rPr>
          <w:rFonts w:ascii="宋体" w:hAnsi="宋体"/>
          <w:b/>
          <w:color w:val="auto"/>
          <w:szCs w:val="21"/>
          <w:highlight w:val="none"/>
        </w:rPr>
      </w:pPr>
      <w:r>
        <w:rPr>
          <w:rFonts w:hint="eastAsia" w:ascii="宋体" w:hAnsi="宋体"/>
          <w:b/>
          <w:color w:val="auto"/>
          <w:szCs w:val="21"/>
          <w:highlight w:val="none"/>
        </w:rPr>
        <w:t>3.通过资格性审查的投标人不足3家的，不得评标。</w:t>
      </w:r>
    </w:p>
    <w:p>
      <w:pPr>
        <w:spacing w:line="300" w:lineRule="auto"/>
        <w:ind w:left="310" w:hanging="310" w:hangingChars="147"/>
        <w:rPr>
          <w:rFonts w:ascii="宋体" w:hAnsi="宋体"/>
          <w:b/>
          <w:color w:val="auto"/>
          <w:szCs w:val="21"/>
          <w:highlight w:val="none"/>
        </w:rPr>
      </w:pPr>
    </w:p>
    <w:p>
      <w:pPr>
        <w:pStyle w:val="32"/>
        <w:adjustRightInd w:val="0"/>
        <w:snapToGrid w:val="0"/>
        <w:spacing w:line="300" w:lineRule="auto"/>
        <w:outlineLvl w:val="1"/>
        <w:rPr>
          <w:rFonts w:hAnsi="宋体" w:cs="Times New Roman"/>
          <w:b/>
          <w:color w:val="auto"/>
          <w:highlight w:val="none"/>
        </w:rPr>
      </w:pPr>
      <w:bookmarkStart w:id="36" w:name="_Toc23865"/>
      <w:r>
        <w:rPr>
          <w:rFonts w:hAnsi="宋体" w:cs="Times New Roman"/>
          <w:b/>
          <w:color w:val="auto"/>
          <w:highlight w:val="none"/>
        </w:rPr>
        <w:br w:type="page"/>
      </w:r>
      <w:r>
        <w:rPr>
          <w:rFonts w:hint="eastAsia" w:hAnsi="宋体" w:cs="Times New Roman"/>
          <w:b/>
          <w:color w:val="auto"/>
          <w:highlight w:val="none"/>
        </w:rPr>
        <w:t>附表二 符合性审查表</w:t>
      </w:r>
      <w:bookmarkEnd w:id="36"/>
    </w:p>
    <w:p>
      <w:pPr>
        <w:spacing w:line="300" w:lineRule="auto"/>
        <w:jc w:val="center"/>
        <w:rPr>
          <w:rFonts w:ascii="宋体" w:hAnsi="宋体"/>
          <w:b/>
          <w:color w:val="auto"/>
          <w:szCs w:val="21"/>
          <w:highlight w:val="none"/>
        </w:rPr>
      </w:pPr>
      <w:r>
        <w:rPr>
          <w:rFonts w:hint="eastAsia" w:ascii="宋体" w:hAnsi="宋体"/>
          <w:b/>
          <w:color w:val="auto"/>
          <w:szCs w:val="21"/>
          <w:highlight w:val="none"/>
        </w:rPr>
        <w:t>符合性审查表</w:t>
      </w:r>
    </w:p>
    <w:tbl>
      <w:tblPr>
        <w:tblStyle w:val="6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7698"/>
        <w:gridCol w:w="459"/>
        <w:gridCol w:w="459"/>
        <w:gridCol w:w="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371" w:type="pct"/>
            <w:vAlign w:val="center"/>
          </w:tcPr>
          <w:p>
            <w:pPr>
              <w:adjustRightInd w:val="0"/>
              <w:snapToGrid w:val="0"/>
              <w:jc w:val="center"/>
              <w:rPr>
                <w:rFonts w:ascii="宋体" w:hAnsi="宋体"/>
                <w:b/>
                <w:color w:val="auto"/>
                <w:szCs w:val="21"/>
                <w:highlight w:val="none"/>
              </w:rPr>
            </w:pPr>
            <w:r>
              <w:rPr>
                <w:rFonts w:hint="eastAsia" w:ascii="宋体" w:hAnsi="宋体"/>
                <w:b/>
                <w:color w:val="auto"/>
                <w:szCs w:val="21"/>
                <w:highlight w:val="none"/>
              </w:rPr>
              <w:t>序号</w:t>
            </w:r>
          </w:p>
        </w:tc>
        <w:tc>
          <w:tcPr>
            <w:tcW w:w="3904" w:type="pct"/>
            <w:vAlign w:val="center"/>
          </w:tcPr>
          <w:p>
            <w:pPr>
              <w:adjustRightInd w:val="0"/>
              <w:snapToGrid w:val="0"/>
              <w:jc w:val="center"/>
              <w:rPr>
                <w:rFonts w:ascii="宋体" w:hAnsi="宋体"/>
                <w:b/>
                <w:color w:val="auto"/>
                <w:szCs w:val="21"/>
                <w:highlight w:val="none"/>
              </w:rPr>
            </w:pPr>
            <w:r>
              <w:rPr>
                <w:rFonts w:hint="eastAsia" w:ascii="宋体" w:hAnsi="宋体" w:cs="宋体"/>
                <w:b/>
                <w:color w:val="auto"/>
                <w:szCs w:val="21"/>
                <w:highlight w:val="none"/>
              </w:rPr>
              <w:t>评审内容</w:t>
            </w:r>
          </w:p>
        </w:tc>
        <w:tc>
          <w:tcPr>
            <w:tcW w:w="233" w:type="pct"/>
            <w:vAlign w:val="center"/>
          </w:tcPr>
          <w:p>
            <w:pPr>
              <w:adjustRightInd w:val="0"/>
              <w:snapToGrid w:val="0"/>
              <w:jc w:val="center"/>
              <w:rPr>
                <w:rFonts w:ascii="宋体" w:hAnsi="宋体"/>
                <w:b/>
                <w:bCs/>
                <w:color w:val="auto"/>
                <w:szCs w:val="21"/>
                <w:highlight w:val="none"/>
              </w:rPr>
            </w:pPr>
            <w:r>
              <w:rPr>
                <w:rFonts w:hint="eastAsia" w:ascii="宋体" w:hAnsi="宋体" w:cs="宋体"/>
                <w:b/>
                <w:bCs/>
                <w:color w:val="auto"/>
                <w:szCs w:val="21"/>
                <w:highlight w:val="none"/>
              </w:rPr>
              <w:t>A</w:t>
            </w:r>
          </w:p>
        </w:tc>
        <w:tc>
          <w:tcPr>
            <w:tcW w:w="233" w:type="pct"/>
            <w:vAlign w:val="center"/>
          </w:tcPr>
          <w:p>
            <w:pPr>
              <w:adjustRightInd w:val="0"/>
              <w:snapToGrid w:val="0"/>
              <w:jc w:val="center"/>
              <w:rPr>
                <w:rFonts w:ascii="宋体" w:hAnsi="宋体"/>
                <w:b/>
                <w:bCs/>
                <w:color w:val="auto"/>
                <w:szCs w:val="21"/>
                <w:highlight w:val="none"/>
              </w:rPr>
            </w:pPr>
            <w:r>
              <w:rPr>
                <w:rFonts w:hint="eastAsia" w:ascii="宋体" w:hAnsi="宋体" w:cs="宋体"/>
                <w:b/>
                <w:bCs/>
                <w:color w:val="auto"/>
                <w:szCs w:val="21"/>
                <w:highlight w:val="none"/>
              </w:rPr>
              <w:t>B</w:t>
            </w:r>
          </w:p>
        </w:tc>
        <w:tc>
          <w:tcPr>
            <w:tcW w:w="255" w:type="pct"/>
            <w:vAlign w:val="center"/>
          </w:tcPr>
          <w:p>
            <w:pPr>
              <w:adjustRightInd w:val="0"/>
              <w:snapToGrid w:val="0"/>
              <w:jc w:val="center"/>
              <w:rPr>
                <w:rFonts w:ascii="宋体" w:hAnsi="宋体"/>
                <w:b/>
                <w:bCs/>
                <w:color w:val="auto"/>
                <w:szCs w:val="21"/>
                <w:highlight w:val="none"/>
              </w:rPr>
            </w:pPr>
            <w:r>
              <w:rPr>
                <w:rFonts w:hint="eastAsia" w:ascii="宋体" w:hAnsi="宋体" w:cs="宋体"/>
                <w:b/>
                <w:bCs/>
                <w:color w:val="auto"/>
                <w:szCs w:val="21"/>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371" w:type="pct"/>
            <w:vAlign w:val="center"/>
          </w:tcPr>
          <w:p>
            <w:pPr>
              <w:jc w:val="center"/>
              <w:rPr>
                <w:rFonts w:ascii="宋体" w:hAnsi="宋体"/>
                <w:color w:val="auto"/>
                <w:highlight w:val="none"/>
              </w:rPr>
            </w:pPr>
            <w:r>
              <w:rPr>
                <w:rFonts w:hint="eastAsia" w:ascii="宋体" w:hAnsi="宋体"/>
                <w:color w:val="auto"/>
                <w:highlight w:val="none"/>
              </w:rPr>
              <w:t>1</w:t>
            </w:r>
          </w:p>
        </w:tc>
        <w:tc>
          <w:tcPr>
            <w:tcW w:w="3904" w:type="pct"/>
            <w:vAlign w:val="center"/>
          </w:tcPr>
          <w:p>
            <w:pPr>
              <w:tabs>
                <w:tab w:val="left" w:pos="612"/>
              </w:tabs>
              <w:rPr>
                <w:rFonts w:ascii="宋体" w:hAnsi="宋体"/>
                <w:b/>
                <w:color w:val="auto"/>
                <w:szCs w:val="21"/>
                <w:highlight w:val="none"/>
              </w:rPr>
            </w:pPr>
            <w:r>
              <w:rPr>
                <w:rFonts w:hint="eastAsia" w:ascii="宋体" w:hAnsi="宋体" w:cs="宋体"/>
                <w:color w:val="auto"/>
                <w:highlight w:val="none"/>
              </w:rPr>
              <w:t>按照招标文件规定要求签署和盖章的；</w:t>
            </w:r>
          </w:p>
        </w:tc>
        <w:tc>
          <w:tcPr>
            <w:tcW w:w="233" w:type="pct"/>
            <w:vAlign w:val="center"/>
          </w:tcPr>
          <w:p>
            <w:pPr>
              <w:adjustRightInd w:val="0"/>
              <w:snapToGrid w:val="0"/>
              <w:rPr>
                <w:rFonts w:ascii="宋体" w:hAnsi="宋体"/>
                <w:b/>
                <w:color w:val="auto"/>
                <w:szCs w:val="21"/>
                <w:highlight w:val="none"/>
              </w:rPr>
            </w:pPr>
          </w:p>
        </w:tc>
        <w:tc>
          <w:tcPr>
            <w:tcW w:w="233" w:type="pct"/>
            <w:vAlign w:val="center"/>
          </w:tcPr>
          <w:p>
            <w:pPr>
              <w:adjustRightInd w:val="0"/>
              <w:snapToGrid w:val="0"/>
              <w:jc w:val="center"/>
              <w:rPr>
                <w:rFonts w:ascii="宋体" w:hAnsi="宋体"/>
                <w:b/>
                <w:color w:val="auto"/>
                <w:szCs w:val="21"/>
                <w:highlight w:val="none"/>
              </w:rPr>
            </w:pPr>
          </w:p>
        </w:tc>
        <w:tc>
          <w:tcPr>
            <w:tcW w:w="255" w:type="pct"/>
            <w:vAlign w:val="center"/>
          </w:tcPr>
          <w:p>
            <w:pPr>
              <w:adjustRightInd w:val="0"/>
              <w:snapToGrid w:val="0"/>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371" w:type="pct"/>
            <w:vAlign w:val="center"/>
          </w:tcPr>
          <w:p>
            <w:pPr>
              <w:jc w:val="center"/>
              <w:rPr>
                <w:rFonts w:ascii="宋体" w:hAnsi="宋体"/>
                <w:color w:val="auto"/>
                <w:highlight w:val="none"/>
              </w:rPr>
            </w:pPr>
            <w:r>
              <w:rPr>
                <w:rFonts w:hint="eastAsia" w:ascii="宋体" w:hAnsi="宋体"/>
                <w:color w:val="auto"/>
                <w:highlight w:val="none"/>
              </w:rPr>
              <w:t>2</w:t>
            </w:r>
          </w:p>
        </w:tc>
        <w:tc>
          <w:tcPr>
            <w:tcW w:w="3904" w:type="pct"/>
            <w:vAlign w:val="center"/>
          </w:tcPr>
          <w:p>
            <w:pPr>
              <w:tabs>
                <w:tab w:val="left" w:pos="612"/>
              </w:tabs>
              <w:rPr>
                <w:rFonts w:ascii="宋体" w:hAnsi="宋体"/>
                <w:b/>
                <w:color w:val="auto"/>
                <w:szCs w:val="21"/>
                <w:highlight w:val="none"/>
              </w:rPr>
            </w:pPr>
            <w:r>
              <w:rPr>
                <w:rFonts w:hint="eastAsia" w:ascii="宋体" w:hAnsi="宋体"/>
                <w:color w:val="auto"/>
                <w:szCs w:val="21"/>
                <w:highlight w:val="none"/>
              </w:rPr>
              <w:t>法定代表人资格证明书及法定代表人授权委托书的有效性；</w:t>
            </w:r>
          </w:p>
        </w:tc>
        <w:tc>
          <w:tcPr>
            <w:tcW w:w="233" w:type="pct"/>
            <w:vAlign w:val="center"/>
          </w:tcPr>
          <w:p>
            <w:pPr>
              <w:adjustRightInd w:val="0"/>
              <w:snapToGrid w:val="0"/>
              <w:rPr>
                <w:rFonts w:ascii="宋体" w:hAnsi="宋体"/>
                <w:b/>
                <w:color w:val="auto"/>
                <w:szCs w:val="21"/>
                <w:highlight w:val="none"/>
              </w:rPr>
            </w:pPr>
          </w:p>
        </w:tc>
        <w:tc>
          <w:tcPr>
            <w:tcW w:w="233" w:type="pct"/>
            <w:vAlign w:val="center"/>
          </w:tcPr>
          <w:p>
            <w:pPr>
              <w:adjustRightInd w:val="0"/>
              <w:snapToGrid w:val="0"/>
              <w:jc w:val="center"/>
              <w:rPr>
                <w:rFonts w:ascii="宋体" w:hAnsi="宋体"/>
                <w:b/>
                <w:color w:val="auto"/>
                <w:szCs w:val="21"/>
                <w:highlight w:val="none"/>
              </w:rPr>
            </w:pPr>
          </w:p>
        </w:tc>
        <w:tc>
          <w:tcPr>
            <w:tcW w:w="255" w:type="pct"/>
            <w:vAlign w:val="center"/>
          </w:tcPr>
          <w:p>
            <w:pPr>
              <w:adjustRightInd w:val="0"/>
              <w:snapToGrid w:val="0"/>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371" w:type="pct"/>
            <w:vAlign w:val="center"/>
          </w:tcPr>
          <w:p>
            <w:pPr>
              <w:jc w:val="center"/>
              <w:rPr>
                <w:rFonts w:ascii="宋体" w:hAnsi="宋体"/>
                <w:color w:val="auto"/>
                <w:highlight w:val="none"/>
              </w:rPr>
            </w:pPr>
            <w:r>
              <w:rPr>
                <w:rFonts w:hint="eastAsia" w:ascii="宋体" w:hAnsi="宋体"/>
                <w:color w:val="auto"/>
                <w:highlight w:val="none"/>
              </w:rPr>
              <w:t>3</w:t>
            </w:r>
          </w:p>
        </w:tc>
        <w:tc>
          <w:tcPr>
            <w:tcW w:w="3904" w:type="pct"/>
            <w:vAlign w:val="center"/>
          </w:tcPr>
          <w:p>
            <w:pPr>
              <w:tabs>
                <w:tab w:val="left" w:pos="612"/>
              </w:tabs>
              <w:rPr>
                <w:rFonts w:ascii="宋体" w:hAnsi="宋体"/>
                <w:b/>
                <w:color w:val="auto"/>
                <w:szCs w:val="21"/>
                <w:highlight w:val="none"/>
              </w:rPr>
            </w:pPr>
            <w:r>
              <w:rPr>
                <w:rFonts w:hint="eastAsia" w:ascii="宋体" w:hAnsi="宋体" w:cs="宋体"/>
                <w:color w:val="auto"/>
                <w:highlight w:val="none"/>
              </w:rPr>
              <w:t>投标函已提交并符合招标文件要求的，且投标有效期满足招标文件要求的；</w:t>
            </w:r>
          </w:p>
        </w:tc>
        <w:tc>
          <w:tcPr>
            <w:tcW w:w="233" w:type="pct"/>
            <w:vAlign w:val="center"/>
          </w:tcPr>
          <w:p>
            <w:pPr>
              <w:adjustRightInd w:val="0"/>
              <w:snapToGrid w:val="0"/>
              <w:rPr>
                <w:rFonts w:ascii="宋体" w:hAnsi="宋体"/>
                <w:b/>
                <w:color w:val="auto"/>
                <w:szCs w:val="21"/>
                <w:highlight w:val="none"/>
              </w:rPr>
            </w:pPr>
          </w:p>
        </w:tc>
        <w:tc>
          <w:tcPr>
            <w:tcW w:w="233" w:type="pct"/>
            <w:vAlign w:val="center"/>
          </w:tcPr>
          <w:p>
            <w:pPr>
              <w:adjustRightInd w:val="0"/>
              <w:snapToGrid w:val="0"/>
              <w:jc w:val="center"/>
              <w:rPr>
                <w:rFonts w:ascii="宋体" w:hAnsi="宋体"/>
                <w:b/>
                <w:color w:val="auto"/>
                <w:szCs w:val="21"/>
                <w:highlight w:val="none"/>
              </w:rPr>
            </w:pPr>
          </w:p>
        </w:tc>
        <w:tc>
          <w:tcPr>
            <w:tcW w:w="255" w:type="pct"/>
            <w:vAlign w:val="center"/>
          </w:tcPr>
          <w:p>
            <w:pPr>
              <w:adjustRightInd w:val="0"/>
              <w:snapToGrid w:val="0"/>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371" w:type="pct"/>
            <w:vAlign w:val="center"/>
          </w:tcPr>
          <w:p>
            <w:pPr>
              <w:jc w:val="center"/>
              <w:rPr>
                <w:rFonts w:ascii="宋体" w:hAnsi="宋体"/>
                <w:color w:val="auto"/>
                <w:highlight w:val="none"/>
              </w:rPr>
            </w:pPr>
            <w:r>
              <w:rPr>
                <w:rFonts w:hint="eastAsia" w:ascii="宋体" w:hAnsi="宋体"/>
                <w:color w:val="auto"/>
                <w:highlight w:val="none"/>
              </w:rPr>
              <w:t>4</w:t>
            </w:r>
          </w:p>
        </w:tc>
        <w:tc>
          <w:tcPr>
            <w:tcW w:w="3904" w:type="pct"/>
            <w:vAlign w:val="center"/>
          </w:tcPr>
          <w:p>
            <w:pPr>
              <w:tabs>
                <w:tab w:val="left" w:pos="612"/>
              </w:tabs>
              <w:rPr>
                <w:rFonts w:ascii="宋体" w:hAnsi="宋体"/>
                <w:b/>
                <w:color w:val="auto"/>
                <w:szCs w:val="21"/>
                <w:highlight w:val="none"/>
              </w:rPr>
            </w:pPr>
            <w:r>
              <w:rPr>
                <w:rFonts w:hint="eastAsia" w:ascii="宋体" w:hAnsi="宋体" w:cs="宋体"/>
                <w:color w:val="auto"/>
                <w:highlight w:val="none"/>
              </w:rPr>
              <w:t>投标人按招标文件要求提交投标保证金的；（如有）</w:t>
            </w:r>
          </w:p>
        </w:tc>
        <w:tc>
          <w:tcPr>
            <w:tcW w:w="233" w:type="pct"/>
            <w:vAlign w:val="center"/>
          </w:tcPr>
          <w:p>
            <w:pPr>
              <w:adjustRightInd w:val="0"/>
              <w:snapToGrid w:val="0"/>
              <w:rPr>
                <w:rFonts w:ascii="宋体" w:hAnsi="宋体"/>
                <w:b/>
                <w:color w:val="auto"/>
                <w:szCs w:val="21"/>
                <w:highlight w:val="none"/>
              </w:rPr>
            </w:pPr>
          </w:p>
        </w:tc>
        <w:tc>
          <w:tcPr>
            <w:tcW w:w="233" w:type="pct"/>
            <w:vAlign w:val="center"/>
          </w:tcPr>
          <w:p>
            <w:pPr>
              <w:adjustRightInd w:val="0"/>
              <w:snapToGrid w:val="0"/>
              <w:jc w:val="center"/>
              <w:rPr>
                <w:rFonts w:ascii="宋体" w:hAnsi="宋体"/>
                <w:b/>
                <w:color w:val="auto"/>
                <w:szCs w:val="21"/>
                <w:highlight w:val="none"/>
              </w:rPr>
            </w:pPr>
          </w:p>
        </w:tc>
        <w:tc>
          <w:tcPr>
            <w:tcW w:w="255" w:type="pct"/>
            <w:vAlign w:val="center"/>
          </w:tcPr>
          <w:p>
            <w:pPr>
              <w:adjustRightInd w:val="0"/>
              <w:snapToGrid w:val="0"/>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371" w:type="pct"/>
            <w:vAlign w:val="center"/>
          </w:tcPr>
          <w:p>
            <w:pPr>
              <w:jc w:val="center"/>
              <w:rPr>
                <w:rFonts w:ascii="宋体" w:hAnsi="宋体"/>
                <w:color w:val="auto"/>
                <w:highlight w:val="none"/>
              </w:rPr>
            </w:pPr>
            <w:r>
              <w:rPr>
                <w:rFonts w:hint="eastAsia" w:ascii="宋体" w:hAnsi="宋体"/>
                <w:color w:val="auto"/>
                <w:highlight w:val="none"/>
              </w:rPr>
              <w:t>5</w:t>
            </w:r>
          </w:p>
        </w:tc>
        <w:tc>
          <w:tcPr>
            <w:tcW w:w="3904" w:type="pct"/>
            <w:vAlign w:val="center"/>
          </w:tcPr>
          <w:p>
            <w:pPr>
              <w:jc w:val="left"/>
              <w:rPr>
                <w:rFonts w:ascii="宋体" w:hAnsi="宋体"/>
                <w:b/>
                <w:color w:val="auto"/>
                <w:szCs w:val="21"/>
                <w:highlight w:val="none"/>
              </w:rPr>
            </w:pPr>
            <w:r>
              <w:rPr>
                <w:rFonts w:hint="eastAsia" w:ascii="宋体" w:hAnsi="宋体" w:cs="宋体"/>
                <w:color w:val="auto"/>
                <w:highlight w:val="none"/>
              </w:rPr>
              <w:t>投标文件完全满足对招标文件的实质性条款（即标注★号条款）无负偏离的；（如有）</w:t>
            </w:r>
          </w:p>
        </w:tc>
        <w:tc>
          <w:tcPr>
            <w:tcW w:w="233" w:type="pct"/>
            <w:vAlign w:val="center"/>
          </w:tcPr>
          <w:p>
            <w:pPr>
              <w:adjustRightInd w:val="0"/>
              <w:snapToGrid w:val="0"/>
              <w:rPr>
                <w:rFonts w:ascii="宋体" w:hAnsi="宋体"/>
                <w:b/>
                <w:color w:val="auto"/>
                <w:szCs w:val="21"/>
                <w:highlight w:val="none"/>
              </w:rPr>
            </w:pPr>
          </w:p>
        </w:tc>
        <w:tc>
          <w:tcPr>
            <w:tcW w:w="233" w:type="pct"/>
            <w:vAlign w:val="center"/>
          </w:tcPr>
          <w:p>
            <w:pPr>
              <w:adjustRightInd w:val="0"/>
              <w:snapToGrid w:val="0"/>
              <w:jc w:val="center"/>
              <w:rPr>
                <w:rFonts w:ascii="宋体" w:hAnsi="宋体"/>
                <w:b/>
                <w:color w:val="auto"/>
                <w:szCs w:val="21"/>
                <w:highlight w:val="none"/>
              </w:rPr>
            </w:pPr>
          </w:p>
        </w:tc>
        <w:tc>
          <w:tcPr>
            <w:tcW w:w="255" w:type="pct"/>
            <w:vAlign w:val="center"/>
          </w:tcPr>
          <w:p>
            <w:pPr>
              <w:adjustRightInd w:val="0"/>
              <w:snapToGrid w:val="0"/>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371" w:type="pct"/>
            <w:vAlign w:val="center"/>
          </w:tcPr>
          <w:p>
            <w:pPr>
              <w:jc w:val="center"/>
              <w:rPr>
                <w:rFonts w:ascii="宋体" w:hAnsi="宋体"/>
                <w:color w:val="auto"/>
                <w:highlight w:val="none"/>
              </w:rPr>
            </w:pPr>
            <w:r>
              <w:rPr>
                <w:rFonts w:hint="eastAsia" w:ascii="宋体" w:hAnsi="宋体"/>
                <w:color w:val="auto"/>
                <w:highlight w:val="none"/>
              </w:rPr>
              <w:t>6</w:t>
            </w:r>
          </w:p>
        </w:tc>
        <w:tc>
          <w:tcPr>
            <w:tcW w:w="3904" w:type="pct"/>
            <w:vAlign w:val="center"/>
          </w:tcPr>
          <w:p>
            <w:pPr>
              <w:rPr>
                <w:rFonts w:ascii="宋体" w:hAnsi="宋体"/>
                <w:b/>
                <w:color w:val="auto"/>
                <w:szCs w:val="21"/>
                <w:highlight w:val="none"/>
              </w:rPr>
            </w:pPr>
            <w:r>
              <w:rPr>
                <w:rFonts w:hint="eastAsia" w:ascii="宋体" w:hAnsi="宋体"/>
                <w:color w:val="auto"/>
                <w:szCs w:val="21"/>
                <w:highlight w:val="none"/>
              </w:rPr>
              <w:t>投标报价没有超过本项目最高限价（或采购预算）；</w:t>
            </w:r>
          </w:p>
        </w:tc>
        <w:tc>
          <w:tcPr>
            <w:tcW w:w="233" w:type="pct"/>
            <w:vAlign w:val="center"/>
          </w:tcPr>
          <w:p>
            <w:pPr>
              <w:adjustRightInd w:val="0"/>
              <w:snapToGrid w:val="0"/>
              <w:rPr>
                <w:rFonts w:ascii="宋体" w:hAnsi="宋体"/>
                <w:b/>
                <w:color w:val="auto"/>
                <w:szCs w:val="21"/>
                <w:highlight w:val="none"/>
              </w:rPr>
            </w:pPr>
          </w:p>
        </w:tc>
        <w:tc>
          <w:tcPr>
            <w:tcW w:w="233" w:type="pct"/>
            <w:vAlign w:val="center"/>
          </w:tcPr>
          <w:p>
            <w:pPr>
              <w:adjustRightInd w:val="0"/>
              <w:snapToGrid w:val="0"/>
              <w:jc w:val="center"/>
              <w:rPr>
                <w:rFonts w:ascii="宋体" w:hAnsi="宋体"/>
                <w:b/>
                <w:color w:val="auto"/>
                <w:szCs w:val="21"/>
                <w:highlight w:val="none"/>
              </w:rPr>
            </w:pPr>
          </w:p>
        </w:tc>
        <w:tc>
          <w:tcPr>
            <w:tcW w:w="255" w:type="pct"/>
            <w:vAlign w:val="center"/>
          </w:tcPr>
          <w:p>
            <w:pPr>
              <w:adjustRightInd w:val="0"/>
              <w:snapToGrid w:val="0"/>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371" w:type="pct"/>
            <w:vAlign w:val="center"/>
          </w:tcPr>
          <w:p>
            <w:pPr>
              <w:jc w:val="center"/>
              <w:rPr>
                <w:rFonts w:ascii="宋体" w:hAnsi="宋体"/>
                <w:color w:val="auto"/>
                <w:highlight w:val="none"/>
              </w:rPr>
            </w:pPr>
            <w:r>
              <w:rPr>
                <w:rFonts w:hint="eastAsia" w:ascii="宋体" w:hAnsi="宋体"/>
                <w:color w:val="auto"/>
                <w:highlight w:val="none"/>
              </w:rPr>
              <w:t>7</w:t>
            </w:r>
          </w:p>
        </w:tc>
        <w:tc>
          <w:tcPr>
            <w:tcW w:w="3904" w:type="pct"/>
            <w:vAlign w:val="center"/>
          </w:tcPr>
          <w:p>
            <w:pPr>
              <w:widowControl/>
              <w:jc w:val="left"/>
              <w:rPr>
                <w:rFonts w:ascii="宋体" w:hAnsi="宋体"/>
                <w:b/>
                <w:color w:val="auto"/>
                <w:szCs w:val="21"/>
                <w:highlight w:val="none"/>
              </w:rPr>
            </w:pPr>
            <w:r>
              <w:rPr>
                <w:rFonts w:hint="eastAsia" w:ascii="宋体" w:hAnsi="宋体" w:cs="宋体"/>
                <w:bCs/>
                <w:color w:val="auto"/>
                <w:szCs w:val="21"/>
                <w:highlight w:val="none"/>
              </w:rPr>
              <w:t>对投标服务的关键、主要内容，投标人没有报价漏项；</w:t>
            </w:r>
            <w:r>
              <w:rPr>
                <w:rFonts w:hint="eastAsia" w:ascii="宋体" w:hAnsi="宋体"/>
                <w:b/>
                <w:color w:val="auto"/>
                <w:szCs w:val="21"/>
                <w:highlight w:val="none"/>
              </w:rPr>
              <w:t xml:space="preserve"> </w:t>
            </w:r>
          </w:p>
        </w:tc>
        <w:tc>
          <w:tcPr>
            <w:tcW w:w="233" w:type="pct"/>
            <w:vAlign w:val="center"/>
          </w:tcPr>
          <w:p>
            <w:pPr>
              <w:adjustRightInd w:val="0"/>
              <w:snapToGrid w:val="0"/>
              <w:rPr>
                <w:rFonts w:ascii="宋体" w:hAnsi="宋体"/>
                <w:b/>
                <w:color w:val="auto"/>
                <w:szCs w:val="21"/>
                <w:highlight w:val="none"/>
              </w:rPr>
            </w:pPr>
          </w:p>
        </w:tc>
        <w:tc>
          <w:tcPr>
            <w:tcW w:w="233" w:type="pct"/>
            <w:vAlign w:val="center"/>
          </w:tcPr>
          <w:p>
            <w:pPr>
              <w:adjustRightInd w:val="0"/>
              <w:snapToGrid w:val="0"/>
              <w:jc w:val="center"/>
              <w:rPr>
                <w:rFonts w:ascii="宋体" w:hAnsi="宋体"/>
                <w:b/>
                <w:color w:val="auto"/>
                <w:szCs w:val="21"/>
                <w:highlight w:val="none"/>
              </w:rPr>
            </w:pPr>
          </w:p>
        </w:tc>
        <w:tc>
          <w:tcPr>
            <w:tcW w:w="255" w:type="pct"/>
            <w:vAlign w:val="center"/>
          </w:tcPr>
          <w:p>
            <w:pPr>
              <w:adjustRightInd w:val="0"/>
              <w:snapToGrid w:val="0"/>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371" w:type="pct"/>
            <w:vAlign w:val="center"/>
          </w:tcPr>
          <w:p>
            <w:pPr>
              <w:jc w:val="center"/>
              <w:rPr>
                <w:rFonts w:ascii="宋体" w:hAnsi="宋体"/>
                <w:color w:val="auto"/>
                <w:highlight w:val="none"/>
              </w:rPr>
            </w:pPr>
            <w:r>
              <w:rPr>
                <w:rFonts w:hint="eastAsia" w:ascii="宋体" w:hAnsi="宋体"/>
                <w:color w:val="auto"/>
                <w:highlight w:val="none"/>
              </w:rPr>
              <w:t>8</w:t>
            </w:r>
          </w:p>
        </w:tc>
        <w:tc>
          <w:tcPr>
            <w:tcW w:w="3904" w:type="pct"/>
            <w:vAlign w:val="center"/>
          </w:tcPr>
          <w:p>
            <w:pPr>
              <w:widowControl/>
              <w:jc w:val="left"/>
              <w:rPr>
                <w:rFonts w:ascii="宋体" w:hAnsi="宋体"/>
                <w:b/>
                <w:color w:val="auto"/>
                <w:szCs w:val="21"/>
                <w:highlight w:val="none"/>
              </w:rPr>
            </w:pPr>
            <w:r>
              <w:rPr>
                <w:rFonts w:hint="eastAsia" w:ascii="宋体" w:hAnsi="宋体" w:cs="宋体"/>
                <w:color w:val="auto"/>
                <w:highlight w:val="none"/>
              </w:rPr>
              <w:t>如出现投标报价错误的处理原则修正后的报价，投标人按规定书面确认；</w:t>
            </w:r>
          </w:p>
        </w:tc>
        <w:tc>
          <w:tcPr>
            <w:tcW w:w="233" w:type="pct"/>
            <w:vAlign w:val="center"/>
          </w:tcPr>
          <w:p>
            <w:pPr>
              <w:adjustRightInd w:val="0"/>
              <w:snapToGrid w:val="0"/>
              <w:rPr>
                <w:rFonts w:ascii="宋体" w:hAnsi="宋体"/>
                <w:b/>
                <w:color w:val="auto"/>
                <w:szCs w:val="21"/>
                <w:highlight w:val="none"/>
              </w:rPr>
            </w:pPr>
          </w:p>
        </w:tc>
        <w:tc>
          <w:tcPr>
            <w:tcW w:w="233" w:type="pct"/>
            <w:vAlign w:val="center"/>
          </w:tcPr>
          <w:p>
            <w:pPr>
              <w:adjustRightInd w:val="0"/>
              <w:snapToGrid w:val="0"/>
              <w:jc w:val="center"/>
              <w:rPr>
                <w:rFonts w:ascii="宋体" w:hAnsi="宋体"/>
                <w:b/>
                <w:color w:val="auto"/>
                <w:szCs w:val="21"/>
                <w:highlight w:val="none"/>
              </w:rPr>
            </w:pPr>
          </w:p>
        </w:tc>
        <w:tc>
          <w:tcPr>
            <w:tcW w:w="255" w:type="pct"/>
            <w:vAlign w:val="center"/>
          </w:tcPr>
          <w:p>
            <w:pPr>
              <w:adjustRightInd w:val="0"/>
              <w:snapToGrid w:val="0"/>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371" w:type="pct"/>
            <w:vAlign w:val="center"/>
          </w:tcPr>
          <w:p>
            <w:pPr>
              <w:jc w:val="center"/>
              <w:rPr>
                <w:rFonts w:ascii="宋体" w:hAnsi="宋体"/>
                <w:color w:val="auto"/>
                <w:highlight w:val="none"/>
              </w:rPr>
            </w:pPr>
            <w:r>
              <w:rPr>
                <w:rFonts w:hint="eastAsia" w:ascii="宋体" w:hAnsi="宋体"/>
                <w:color w:val="auto"/>
                <w:highlight w:val="none"/>
              </w:rPr>
              <w:t>9</w:t>
            </w:r>
          </w:p>
        </w:tc>
        <w:tc>
          <w:tcPr>
            <w:tcW w:w="3904" w:type="pct"/>
            <w:vAlign w:val="center"/>
          </w:tcPr>
          <w:p>
            <w:pPr>
              <w:widowControl/>
              <w:jc w:val="left"/>
              <w:rPr>
                <w:rFonts w:ascii="宋体" w:hAnsi="宋体"/>
                <w:b/>
                <w:color w:val="auto"/>
                <w:szCs w:val="21"/>
                <w:highlight w:val="none"/>
              </w:rPr>
            </w:pPr>
            <w:r>
              <w:rPr>
                <w:rFonts w:hint="eastAsia" w:ascii="宋体" w:hAnsi="宋体" w:cs="宋体"/>
                <w:bCs/>
                <w:color w:val="auto"/>
                <w:szCs w:val="21"/>
                <w:highlight w:val="none"/>
              </w:rPr>
              <w:t>如果评委会认为投标人的报价明显低于其他通过符合性审查投标人的报价，有可能影响服务质量或者导致不能诚信履约的，将要求投标人在评标现场合理的时间内提供书面说明，必要时提交相关证明材料；投标人不能证明其报价合理性的，评委会应当将其作为报价无效处理</w:t>
            </w:r>
          </w:p>
        </w:tc>
        <w:tc>
          <w:tcPr>
            <w:tcW w:w="233" w:type="pct"/>
            <w:vAlign w:val="center"/>
          </w:tcPr>
          <w:p>
            <w:pPr>
              <w:adjustRightInd w:val="0"/>
              <w:snapToGrid w:val="0"/>
              <w:rPr>
                <w:rFonts w:ascii="宋体" w:hAnsi="宋体"/>
                <w:b/>
                <w:color w:val="auto"/>
                <w:szCs w:val="21"/>
                <w:highlight w:val="none"/>
              </w:rPr>
            </w:pPr>
          </w:p>
        </w:tc>
        <w:tc>
          <w:tcPr>
            <w:tcW w:w="233" w:type="pct"/>
            <w:vAlign w:val="center"/>
          </w:tcPr>
          <w:p>
            <w:pPr>
              <w:adjustRightInd w:val="0"/>
              <w:snapToGrid w:val="0"/>
              <w:jc w:val="center"/>
              <w:rPr>
                <w:rFonts w:ascii="宋体" w:hAnsi="宋体"/>
                <w:b/>
                <w:color w:val="auto"/>
                <w:szCs w:val="21"/>
                <w:highlight w:val="none"/>
              </w:rPr>
            </w:pPr>
          </w:p>
        </w:tc>
        <w:tc>
          <w:tcPr>
            <w:tcW w:w="255" w:type="pct"/>
            <w:vAlign w:val="center"/>
          </w:tcPr>
          <w:p>
            <w:pPr>
              <w:adjustRightInd w:val="0"/>
              <w:snapToGrid w:val="0"/>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371" w:type="pct"/>
            <w:vAlign w:val="center"/>
          </w:tcPr>
          <w:p>
            <w:pPr>
              <w:jc w:val="center"/>
              <w:rPr>
                <w:rFonts w:ascii="宋体" w:hAnsi="宋体"/>
                <w:color w:val="auto"/>
                <w:highlight w:val="none"/>
              </w:rPr>
            </w:pPr>
            <w:r>
              <w:rPr>
                <w:rFonts w:hint="eastAsia" w:ascii="宋体" w:hAnsi="宋体"/>
                <w:color w:val="auto"/>
                <w:highlight w:val="none"/>
              </w:rPr>
              <w:t>10</w:t>
            </w:r>
          </w:p>
        </w:tc>
        <w:tc>
          <w:tcPr>
            <w:tcW w:w="3904" w:type="pct"/>
            <w:vAlign w:val="center"/>
          </w:tcPr>
          <w:p>
            <w:pPr>
              <w:rPr>
                <w:rFonts w:ascii="宋体" w:hAnsi="宋体"/>
                <w:b/>
                <w:color w:val="auto"/>
                <w:szCs w:val="21"/>
                <w:highlight w:val="none"/>
              </w:rPr>
            </w:pPr>
            <w:r>
              <w:rPr>
                <w:rFonts w:hint="eastAsia" w:ascii="宋体" w:hAnsi="宋体"/>
                <w:color w:val="auto"/>
                <w:szCs w:val="21"/>
                <w:highlight w:val="none"/>
              </w:rPr>
              <w:t>投标文件没有采购人不能接受的附加条件的；</w:t>
            </w:r>
          </w:p>
        </w:tc>
        <w:tc>
          <w:tcPr>
            <w:tcW w:w="233" w:type="pct"/>
            <w:vAlign w:val="center"/>
          </w:tcPr>
          <w:p>
            <w:pPr>
              <w:adjustRightInd w:val="0"/>
              <w:snapToGrid w:val="0"/>
              <w:rPr>
                <w:rFonts w:ascii="宋体" w:hAnsi="宋体"/>
                <w:b/>
                <w:color w:val="auto"/>
                <w:szCs w:val="21"/>
                <w:highlight w:val="none"/>
              </w:rPr>
            </w:pPr>
          </w:p>
        </w:tc>
        <w:tc>
          <w:tcPr>
            <w:tcW w:w="233" w:type="pct"/>
            <w:vAlign w:val="center"/>
          </w:tcPr>
          <w:p>
            <w:pPr>
              <w:adjustRightInd w:val="0"/>
              <w:snapToGrid w:val="0"/>
              <w:jc w:val="center"/>
              <w:rPr>
                <w:rFonts w:ascii="宋体" w:hAnsi="宋体"/>
                <w:b/>
                <w:color w:val="auto"/>
                <w:szCs w:val="21"/>
                <w:highlight w:val="none"/>
              </w:rPr>
            </w:pPr>
          </w:p>
        </w:tc>
        <w:tc>
          <w:tcPr>
            <w:tcW w:w="255" w:type="pct"/>
            <w:vAlign w:val="center"/>
          </w:tcPr>
          <w:p>
            <w:pPr>
              <w:adjustRightInd w:val="0"/>
              <w:snapToGrid w:val="0"/>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371" w:type="pct"/>
            <w:vAlign w:val="center"/>
          </w:tcPr>
          <w:p>
            <w:pPr>
              <w:jc w:val="center"/>
              <w:rPr>
                <w:rFonts w:ascii="宋体" w:hAnsi="宋体"/>
                <w:color w:val="auto"/>
                <w:highlight w:val="none"/>
              </w:rPr>
            </w:pPr>
            <w:r>
              <w:rPr>
                <w:rFonts w:hint="eastAsia" w:ascii="宋体" w:hAnsi="宋体"/>
                <w:color w:val="auto"/>
                <w:highlight w:val="none"/>
              </w:rPr>
              <w:t>1</w:t>
            </w:r>
            <w:r>
              <w:rPr>
                <w:rFonts w:ascii="宋体" w:hAnsi="宋体"/>
                <w:color w:val="auto"/>
                <w:highlight w:val="none"/>
              </w:rPr>
              <w:t>1</w:t>
            </w:r>
          </w:p>
        </w:tc>
        <w:tc>
          <w:tcPr>
            <w:tcW w:w="3904" w:type="pct"/>
            <w:vAlign w:val="center"/>
          </w:tcPr>
          <w:p>
            <w:pPr>
              <w:rPr>
                <w:rFonts w:ascii="宋体" w:hAnsi="宋体"/>
                <w:b/>
                <w:color w:val="auto"/>
                <w:szCs w:val="21"/>
                <w:highlight w:val="none"/>
              </w:rPr>
            </w:pPr>
            <w:r>
              <w:rPr>
                <w:rFonts w:hint="eastAsia" w:ascii="宋体" w:hAnsi="宋体"/>
                <w:color w:val="auto"/>
                <w:szCs w:val="21"/>
                <w:highlight w:val="none"/>
              </w:rPr>
              <w:t>投标文件没有出现串通投标情形的；</w:t>
            </w:r>
          </w:p>
        </w:tc>
        <w:tc>
          <w:tcPr>
            <w:tcW w:w="233" w:type="pct"/>
            <w:vAlign w:val="center"/>
          </w:tcPr>
          <w:p>
            <w:pPr>
              <w:adjustRightInd w:val="0"/>
              <w:snapToGrid w:val="0"/>
              <w:rPr>
                <w:rFonts w:ascii="宋体" w:hAnsi="宋体"/>
                <w:b/>
                <w:color w:val="auto"/>
                <w:szCs w:val="21"/>
                <w:highlight w:val="none"/>
              </w:rPr>
            </w:pPr>
          </w:p>
        </w:tc>
        <w:tc>
          <w:tcPr>
            <w:tcW w:w="233" w:type="pct"/>
            <w:vAlign w:val="center"/>
          </w:tcPr>
          <w:p>
            <w:pPr>
              <w:adjustRightInd w:val="0"/>
              <w:snapToGrid w:val="0"/>
              <w:jc w:val="center"/>
              <w:rPr>
                <w:rFonts w:ascii="宋体" w:hAnsi="宋体"/>
                <w:b/>
                <w:color w:val="auto"/>
                <w:szCs w:val="21"/>
                <w:highlight w:val="none"/>
              </w:rPr>
            </w:pPr>
          </w:p>
        </w:tc>
        <w:tc>
          <w:tcPr>
            <w:tcW w:w="255" w:type="pct"/>
            <w:vAlign w:val="center"/>
          </w:tcPr>
          <w:p>
            <w:pPr>
              <w:adjustRightInd w:val="0"/>
              <w:snapToGrid w:val="0"/>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371" w:type="pct"/>
            <w:vAlign w:val="center"/>
          </w:tcPr>
          <w:p>
            <w:pPr>
              <w:jc w:val="center"/>
              <w:rPr>
                <w:rFonts w:ascii="宋体" w:hAnsi="宋体"/>
                <w:color w:val="auto"/>
                <w:highlight w:val="none"/>
              </w:rPr>
            </w:pPr>
            <w:r>
              <w:rPr>
                <w:rFonts w:hint="eastAsia" w:ascii="宋体" w:hAnsi="宋体"/>
                <w:color w:val="auto"/>
                <w:highlight w:val="none"/>
              </w:rPr>
              <w:t>1</w:t>
            </w:r>
            <w:r>
              <w:rPr>
                <w:rFonts w:ascii="宋体" w:hAnsi="宋体"/>
                <w:color w:val="auto"/>
                <w:highlight w:val="none"/>
              </w:rPr>
              <w:t>2</w:t>
            </w:r>
          </w:p>
        </w:tc>
        <w:tc>
          <w:tcPr>
            <w:tcW w:w="3904" w:type="pct"/>
            <w:vAlign w:val="center"/>
          </w:tcPr>
          <w:p>
            <w:pPr>
              <w:rPr>
                <w:rFonts w:ascii="宋体" w:hAnsi="宋体"/>
                <w:b/>
                <w:color w:val="auto"/>
                <w:szCs w:val="21"/>
                <w:highlight w:val="none"/>
              </w:rPr>
            </w:pPr>
            <w:r>
              <w:rPr>
                <w:rFonts w:hint="eastAsia" w:ascii="宋体" w:hAnsi="宋体" w:cs="宋体"/>
                <w:color w:val="auto"/>
                <w:highlight w:val="none"/>
              </w:rPr>
              <w:t>投标文件没有</w:t>
            </w:r>
            <w:r>
              <w:rPr>
                <w:rFonts w:hint="eastAsia" w:ascii="宋体" w:hAnsi="宋体"/>
                <w:color w:val="auto"/>
                <w:szCs w:val="21"/>
                <w:highlight w:val="none"/>
              </w:rPr>
              <w:t>法律、法规规定或</w:t>
            </w:r>
            <w:r>
              <w:rPr>
                <w:rFonts w:hint="eastAsia" w:ascii="宋体" w:hAnsi="宋体" w:cs="宋体"/>
                <w:color w:val="auto"/>
                <w:highlight w:val="none"/>
              </w:rPr>
              <w:t>招标文件中规定的其他无效投标情形。</w:t>
            </w:r>
          </w:p>
        </w:tc>
        <w:tc>
          <w:tcPr>
            <w:tcW w:w="233" w:type="pct"/>
            <w:vAlign w:val="center"/>
          </w:tcPr>
          <w:p>
            <w:pPr>
              <w:adjustRightInd w:val="0"/>
              <w:snapToGrid w:val="0"/>
              <w:rPr>
                <w:rFonts w:ascii="宋体" w:hAnsi="宋体"/>
                <w:b/>
                <w:color w:val="auto"/>
                <w:szCs w:val="21"/>
                <w:highlight w:val="none"/>
              </w:rPr>
            </w:pPr>
          </w:p>
        </w:tc>
        <w:tc>
          <w:tcPr>
            <w:tcW w:w="233" w:type="pct"/>
            <w:vAlign w:val="center"/>
          </w:tcPr>
          <w:p>
            <w:pPr>
              <w:adjustRightInd w:val="0"/>
              <w:snapToGrid w:val="0"/>
              <w:jc w:val="center"/>
              <w:rPr>
                <w:rFonts w:ascii="宋体" w:hAnsi="宋体"/>
                <w:b/>
                <w:color w:val="auto"/>
                <w:szCs w:val="21"/>
                <w:highlight w:val="none"/>
              </w:rPr>
            </w:pPr>
          </w:p>
        </w:tc>
        <w:tc>
          <w:tcPr>
            <w:tcW w:w="255" w:type="pct"/>
            <w:vAlign w:val="center"/>
          </w:tcPr>
          <w:p>
            <w:pPr>
              <w:adjustRightInd w:val="0"/>
              <w:snapToGrid w:val="0"/>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276" w:type="pct"/>
            <w:gridSpan w:val="2"/>
            <w:vAlign w:val="center"/>
          </w:tcPr>
          <w:p>
            <w:pPr>
              <w:jc w:val="center"/>
              <w:rPr>
                <w:rFonts w:ascii="宋体" w:hAnsi="宋体"/>
                <w:color w:val="auto"/>
                <w:szCs w:val="21"/>
                <w:highlight w:val="none"/>
              </w:rPr>
            </w:pPr>
            <w:r>
              <w:rPr>
                <w:rFonts w:hint="eastAsia" w:ascii="宋体" w:hAnsi="宋体"/>
                <w:color w:val="auto"/>
                <w:szCs w:val="21"/>
                <w:highlight w:val="none"/>
              </w:rPr>
              <w:t>结论</w:t>
            </w:r>
          </w:p>
        </w:tc>
        <w:tc>
          <w:tcPr>
            <w:tcW w:w="233" w:type="pct"/>
            <w:vAlign w:val="center"/>
          </w:tcPr>
          <w:p>
            <w:pPr>
              <w:adjustRightInd w:val="0"/>
              <w:snapToGrid w:val="0"/>
              <w:rPr>
                <w:rFonts w:ascii="宋体" w:hAnsi="宋体"/>
                <w:b/>
                <w:color w:val="auto"/>
                <w:szCs w:val="21"/>
                <w:highlight w:val="none"/>
              </w:rPr>
            </w:pPr>
          </w:p>
        </w:tc>
        <w:tc>
          <w:tcPr>
            <w:tcW w:w="233" w:type="pct"/>
            <w:vAlign w:val="center"/>
          </w:tcPr>
          <w:p>
            <w:pPr>
              <w:adjustRightInd w:val="0"/>
              <w:snapToGrid w:val="0"/>
              <w:jc w:val="center"/>
              <w:rPr>
                <w:rFonts w:ascii="宋体" w:hAnsi="宋体"/>
                <w:b/>
                <w:color w:val="auto"/>
                <w:szCs w:val="21"/>
                <w:highlight w:val="none"/>
              </w:rPr>
            </w:pPr>
          </w:p>
        </w:tc>
        <w:tc>
          <w:tcPr>
            <w:tcW w:w="255" w:type="pct"/>
            <w:vAlign w:val="center"/>
          </w:tcPr>
          <w:p>
            <w:pPr>
              <w:adjustRightInd w:val="0"/>
              <w:snapToGrid w:val="0"/>
              <w:jc w:val="center"/>
              <w:rPr>
                <w:rFonts w:ascii="宋体" w:hAnsi="宋体"/>
                <w:b/>
                <w:color w:val="auto"/>
                <w:szCs w:val="21"/>
                <w:highlight w:val="none"/>
              </w:rPr>
            </w:pPr>
          </w:p>
        </w:tc>
      </w:tr>
    </w:tbl>
    <w:p>
      <w:pPr>
        <w:spacing w:line="300" w:lineRule="auto"/>
        <w:rPr>
          <w:rFonts w:ascii="宋体" w:hAnsi="宋体"/>
          <w:b/>
          <w:color w:val="auto"/>
          <w:szCs w:val="21"/>
          <w:highlight w:val="none"/>
        </w:rPr>
      </w:pPr>
      <w:r>
        <w:rPr>
          <w:rFonts w:hint="eastAsia" w:ascii="宋体" w:hAnsi="宋体"/>
          <w:b/>
          <w:color w:val="auto"/>
          <w:szCs w:val="21"/>
          <w:highlight w:val="none"/>
        </w:rPr>
        <w:t>备注：</w:t>
      </w:r>
    </w:p>
    <w:p>
      <w:pPr>
        <w:spacing w:line="300" w:lineRule="auto"/>
        <w:rPr>
          <w:rFonts w:ascii="宋体" w:hAnsi="宋体"/>
          <w:b/>
          <w:color w:val="auto"/>
          <w:szCs w:val="21"/>
          <w:highlight w:val="none"/>
        </w:rPr>
      </w:pPr>
      <w:r>
        <w:rPr>
          <w:rFonts w:hint="eastAsia" w:ascii="宋体" w:hAnsi="宋体"/>
          <w:b/>
          <w:color w:val="auto"/>
          <w:szCs w:val="21"/>
          <w:highlight w:val="none"/>
        </w:rPr>
        <w:t>1.投标人分栏中填写“√”表示该项符合招标文件要求，“×”表示该项不符合招标文件要求；</w:t>
      </w:r>
      <w:r>
        <w:rPr>
          <w:rFonts w:hint="eastAsia" w:ascii="宋体" w:hAnsi="宋体" w:cs="宋体"/>
          <w:b/>
          <w:bCs/>
          <w:color w:val="auto"/>
          <w:szCs w:val="21"/>
          <w:highlight w:val="none"/>
        </w:rPr>
        <w:t>结论写“通过”或“不通过”。</w:t>
      </w:r>
    </w:p>
    <w:p>
      <w:pPr>
        <w:spacing w:line="300" w:lineRule="auto"/>
        <w:ind w:left="310" w:hanging="310" w:hangingChars="147"/>
        <w:rPr>
          <w:rFonts w:ascii="宋体" w:hAnsi="宋体"/>
          <w:b/>
          <w:color w:val="auto"/>
          <w:szCs w:val="21"/>
          <w:highlight w:val="none"/>
        </w:rPr>
      </w:pPr>
      <w:r>
        <w:rPr>
          <w:rFonts w:hint="eastAsia" w:ascii="宋体" w:hAnsi="宋体"/>
          <w:b/>
          <w:color w:val="auto"/>
          <w:szCs w:val="21"/>
          <w:highlight w:val="none"/>
        </w:rPr>
        <w:t>2.有半数以上的评委对投标人的结论为“不通过”则该投标人为不合格投标人，不得进入下一步详细评审。</w:t>
      </w:r>
    </w:p>
    <w:p>
      <w:pPr>
        <w:pStyle w:val="32"/>
        <w:adjustRightInd w:val="0"/>
        <w:snapToGrid w:val="0"/>
        <w:spacing w:line="300" w:lineRule="auto"/>
        <w:rPr>
          <w:rFonts w:hAnsi="宋体" w:cs="Times New Roman"/>
          <w:b/>
          <w:color w:val="auto"/>
          <w:highlight w:val="none"/>
        </w:rPr>
      </w:pPr>
    </w:p>
    <w:p>
      <w:pPr>
        <w:spacing w:line="300" w:lineRule="auto"/>
        <w:jc w:val="left"/>
        <w:rPr>
          <w:rFonts w:ascii="宋体" w:hAnsi="宋体"/>
          <w:b/>
          <w:color w:val="auto"/>
          <w:szCs w:val="21"/>
          <w:highlight w:val="none"/>
        </w:rPr>
      </w:pPr>
      <w:bookmarkStart w:id="37" w:name="_Toc774"/>
      <w:r>
        <w:rPr>
          <w:rFonts w:ascii="宋体" w:hAnsi="宋体"/>
          <w:b/>
          <w:color w:val="auto"/>
          <w:szCs w:val="21"/>
          <w:highlight w:val="none"/>
        </w:rPr>
        <w:br w:type="page"/>
      </w:r>
      <w:r>
        <w:rPr>
          <w:rFonts w:hint="eastAsia" w:ascii="宋体" w:hAnsi="宋体"/>
          <w:b/>
          <w:color w:val="auto"/>
          <w:szCs w:val="21"/>
          <w:highlight w:val="none"/>
        </w:rPr>
        <w:t>附表三 商务评分表</w:t>
      </w:r>
      <w:bookmarkEnd w:id="37"/>
    </w:p>
    <w:p>
      <w:pPr>
        <w:spacing w:line="360" w:lineRule="auto"/>
        <w:jc w:val="center"/>
        <w:outlineLvl w:val="2"/>
        <w:rPr>
          <w:rFonts w:ascii="宋体" w:hAnsi="宋体"/>
          <w:color w:val="auto"/>
          <w:sz w:val="24"/>
          <w:highlight w:val="none"/>
        </w:rPr>
      </w:pPr>
      <w:bookmarkStart w:id="38" w:name="_Toc19490"/>
      <w:r>
        <w:rPr>
          <w:rFonts w:hint="eastAsia" w:ascii="宋体" w:hAnsi="宋体"/>
          <w:b/>
          <w:bCs/>
          <w:color w:val="auto"/>
          <w:sz w:val="24"/>
          <w:highlight w:val="none"/>
        </w:rPr>
        <w:t>商务评分表</w:t>
      </w:r>
    </w:p>
    <w:tbl>
      <w:tblPr>
        <w:tblStyle w:val="6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950"/>
        <w:gridCol w:w="919"/>
        <w:gridCol w:w="6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9" w:type="pct"/>
            <w:vAlign w:val="center"/>
          </w:tcPr>
          <w:p>
            <w:pPr>
              <w:adjustRightInd w:val="0"/>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988" w:type="pct"/>
            <w:vAlign w:val="center"/>
          </w:tcPr>
          <w:p>
            <w:pPr>
              <w:adjustRightInd w:val="0"/>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评审项目</w:t>
            </w:r>
          </w:p>
        </w:tc>
        <w:tc>
          <w:tcPr>
            <w:tcW w:w="466" w:type="pct"/>
            <w:vAlign w:val="center"/>
          </w:tcPr>
          <w:p>
            <w:pPr>
              <w:adjustRightInd w:val="0"/>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分值</w:t>
            </w:r>
          </w:p>
        </w:tc>
        <w:tc>
          <w:tcPr>
            <w:tcW w:w="3115" w:type="pct"/>
            <w:vAlign w:val="center"/>
          </w:tcPr>
          <w:p>
            <w:pPr>
              <w:adjustRightInd w:val="0"/>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9" w:type="pct"/>
            <w:vAlign w:val="center"/>
          </w:tcPr>
          <w:p>
            <w:pPr>
              <w:adjustRightInd w:val="0"/>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1</w:t>
            </w:r>
          </w:p>
        </w:tc>
        <w:tc>
          <w:tcPr>
            <w:tcW w:w="988" w:type="pct"/>
            <w:vAlign w:val="center"/>
          </w:tcPr>
          <w:p>
            <w:pPr>
              <w:adjustRightInd w:val="0"/>
              <w:snapToGrid w:val="0"/>
              <w:spacing w:line="360" w:lineRule="auto"/>
              <w:jc w:val="center"/>
              <w:rPr>
                <w:rFonts w:ascii="宋体" w:hAnsi="宋体" w:cs="宋体"/>
                <w:color w:val="auto"/>
                <w:szCs w:val="21"/>
                <w:highlight w:val="none"/>
              </w:rPr>
            </w:pPr>
            <w:r>
              <w:rPr>
                <w:rFonts w:hint="eastAsia" w:ascii="宋体" w:hAnsi="宋体"/>
                <w:color w:val="auto"/>
                <w:szCs w:val="21"/>
                <w:highlight w:val="none"/>
              </w:rPr>
              <w:t>项目业绩</w:t>
            </w:r>
          </w:p>
        </w:tc>
        <w:tc>
          <w:tcPr>
            <w:tcW w:w="466" w:type="pct"/>
            <w:vAlign w:val="center"/>
          </w:tcPr>
          <w:p>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10分</w:t>
            </w:r>
          </w:p>
        </w:tc>
        <w:tc>
          <w:tcPr>
            <w:tcW w:w="3115" w:type="pct"/>
            <w:vAlign w:val="center"/>
          </w:tcPr>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投标人 2020年 1 月 1 日以来（以合同签订时间为准）独立取得的同类物业服务项目业绩，每提供一个有效的项目业绩合同得 10分。同一服务方续签不重复计分，最高得 10分。</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注：</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 xml:space="preserve">1.提供以上业绩对应的合同书关键页扫描件（复印件）及中标（成交）通知书加盖投标人公章，未提供不得分。 </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2.同一客户的业绩只按一份业绩计算。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9" w:type="pct"/>
            <w:vAlign w:val="center"/>
          </w:tcPr>
          <w:p>
            <w:pPr>
              <w:adjustRightInd w:val="0"/>
              <w:snapToGrid w:val="0"/>
              <w:spacing w:line="360" w:lineRule="auto"/>
              <w:jc w:val="center"/>
              <w:rPr>
                <w:rFonts w:ascii="宋体" w:hAnsi="宋体"/>
                <w:color w:val="auto"/>
                <w:szCs w:val="21"/>
                <w:highlight w:val="none"/>
              </w:rPr>
            </w:pPr>
            <w:r>
              <w:rPr>
                <w:rFonts w:ascii="宋体" w:hAnsi="宋体"/>
                <w:color w:val="auto"/>
                <w:szCs w:val="21"/>
                <w:highlight w:val="none"/>
              </w:rPr>
              <w:t>2</w:t>
            </w:r>
          </w:p>
        </w:tc>
        <w:tc>
          <w:tcPr>
            <w:tcW w:w="988" w:type="pct"/>
            <w:vAlign w:val="center"/>
          </w:tcPr>
          <w:p>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物业智能化服务</w:t>
            </w:r>
          </w:p>
        </w:tc>
        <w:tc>
          <w:tcPr>
            <w:tcW w:w="466" w:type="pct"/>
            <w:vAlign w:val="center"/>
          </w:tcPr>
          <w:p>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10分</w:t>
            </w:r>
          </w:p>
        </w:tc>
        <w:tc>
          <w:tcPr>
            <w:tcW w:w="3115" w:type="pct"/>
            <w:vAlign w:val="center"/>
          </w:tcPr>
          <w:p>
            <w:pPr>
              <w:spacing w:line="300" w:lineRule="exact"/>
              <w:rPr>
                <w:rFonts w:ascii="宋体" w:hAnsi="宋体" w:cs="宋体"/>
                <w:color w:val="auto"/>
                <w:highlight w:val="none"/>
              </w:rPr>
            </w:pPr>
            <w:r>
              <w:rPr>
                <w:rFonts w:hint="eastAsia" w:ascii="宋体" w:hAnsi="宋体" w:cs="宋体"/>
                <w:color w:val="auto"/>
                <w:highlight w:val="none"/>
              </w:rPr>
              <w:t>投标人在日常管理中能够运用智能化管理软件提供高效物业服务，具有智慧物业服务系统或平台，</w:t>
            </w:r>
            <w:r>
              <w:rPr>
                <w:rFonts w:hint="eastAsia" w:ascii="宋体" w:hAnsi="宋体" w:cs="宋体"/>
                <w:color w:val="auto"/>
                <w:kern w:val="0"/>
                <w:szCs w:val="21"/>
                <w:highlight w:val="none"/>
              </w:rPr>
              <w:t>或承诺在签订合同后能投入运用智能化物业管理软件（系统）服务本项目的，得10分</w:t>
            </w:r>
            <w:r>
              <w:rPr>
                <w:rFonts w:hint="eastAsia" w:ascii="宋体" w:hAnsi="宋体" w:cs="宋体"/>
                <w:color w:val="auto"/>
                <w:highlight w:val="none"/>
              </w:rPr>
              <w:t>。</w:t>
            </w:r>
          </w:p>
          <w:p>
            <w:pPr>
              <w:adjustRightInd w:val="0"/>
              <w:snapToGrid w:val="0"/>
              <w:spacing w:line="360" w:lineRule="auto"/>
              <w:rPr>
                <w:rFonts w:ascii="宋体" w:hAnsi="宋体"/>
                <w:color w:val="auto"/>
                <w:szCs w:val="21"/>
                <w:highlight w:val="none"/>
              </w:rPr>
            </w:pPr>
            <w:r>
              <w:rPr>
                <w:rFonts w:hint="eastAsia" w:ascii="宋体" w:hAnsi="宋体" w:cs="宋体"/>
                <w:color w:val="auto"/>
                <w:kern w:val="0"/>
                <w:szCs w:val="21"/>
                <w:highlight w:val="none"/>
              </w:rPr>
              <w:t>注：本项最高得10分，须提供相关证明材料或提供承诺函，满足要求得10分，不提供或无法认定的不得分。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pct"/>
            <w:gridSpan w:val="2"/>
            <w:vAlign w:val="center"/>
          </w:tcPr>
          <w:p>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合计</w:t>
            </w:r>
          </w:p>
        </w:tc>
        <w:tc>
          <w:tcPr>
            <w:tcW w:w="466" w:type="pct"/>
            <w:vAlign w:val="center"/>
          </w:tcPr>
          <w:p>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20分</w:t>
            </w:r>
          </w:p>
        </w:tc>
        <w:tc>
          <w:tcPr>
            <w:tcW w:w="3115" w:type="pct"/>
            <w:vAlign w:val="center"/>
          </w:tcPr>
          <w:p>
            <w:pPr>
              <w:adjustRightInd w:val="0"/>
              <w:snapToGrid w:val="0"/>
              <w:spacing w:line="360" w:lineRule="auto"/>
              <w:rPr>
                <w:rFonts w:ascii="宋体" w:hAnsi="宋体"/>
                <w:color w:val="auto"/>
                <w:szCs w:val="21"/>
                <w:highlight w:val="none"/>
              </w:rPr>
            </w:pPr>
          </w:p>
        </w:tc>
      </w:tr>
    </w:tbl>
    <w:p>
      <w:pPr>
        <w:pStyle w:val="657"/>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1.</w:t>
      </w:r>
      <w:r>
        <w:rPr>
          <w:rFonts w:hint="eastAsia" w:ascii="宋体" w:hAnsi="宋体"/>
          <w:bCs/>
          <w:color w:val="auto"/>
          <w:szCs w:val="21"/>
          <w:highlight w:val="none"/>
        </w:rPr>
        <w:t>供应商应根据评审项目或内容提交相关的证明材料。</w:t>
      </w:r>
    </w:p>
    <w:p>
      <w:pPr>
        <w:pStyle w:val="657"/>
        <w:spacing w:line="360" w:lineRule="auto"/>
        <w:ind w:firstLine="420" w:firstLineChars="200"/>
        <w:rPr>
          <w:color w:val="auto"/>
          <w:highlight w:val="none"/>
        </w:rPr>
      </w:pPr>
      <w:r>
        <w:rPr>
          <w:rFonts w:hint="eastAsia" w:ascii="宋体" w:hAnsi="宋体" w:cs="宋体"/>
          <w:bCs/>
          <w:color w:val="auto"/>
          <w:szCs w:val="21"/>
          <w:highlight w:val="none"/>
        </w:rPr>
        <w:t>2.</w:t>
      </w:r>
      <w:r>
        <w:rPr>
          <w:rFonts w:hint="eastAsia"/>
          <w:color w:val="auto"/>
          <w:highlight w:val="none"/>
        </w:rPr>
        <w:t xml:space="preserve"> </w:t>
      </w:r>
      <w:r>
        <w:rPr>
          <w:rFonts w:hint="eastAsia" w:ascii="宋体" w:hAnsi="宋体"/>
          <w:bCs/>
          <w:color w:val="auto"/>
          <w:szCs w:val="21"/>
          <w:highlight w:val="none"/>
        </w:rPr>
        <w:t>招标文件要求提交的与评价指标体系相关的各类有效资料，投标人如未按要求提交的，该项评分为零分。</w:t>
      </w:r>
      <w:r>
        <w:rPr>
          <w:color w:val="auto"/>
          <w:highlight w:val="none"/>
        </w:rPr>
        <w:br w:type="page"/>
      </w:r>
    </w:p>
    <w:p>
      <w:pPr>
        <w:spacing w:line="300" w:lineRule="auto"/>
        <w:ind w:left="310" w:hanging="310" w:hangingChars="147"/>
        <w:jc w:val="left"/>
        <w:rPr>
          <w:rFonts w:ascii="宋体" w:hAnsi="宋体"/>
          <w:b/>
          <w:color w:val="auto"/>
          <w:szCs w:val="21"/>
          <w:highlight w:val="none"/>
        </w:rPr>
      </w:pPr>
      <w:r>
        <w:rPr>
          <w:rFonts w:hint="eastAsia" w:ascii="宋体" w:hAnsi="宋体"/>
          <w:b/>
          <w:color w:val="auto"/>
          <w:szCs w:val="21"/>
          <w:highlight w:val="none"/>
        </w:rPr>
        <w:t>附表四 技术（服务）评分表</w:t>
      </w:r>
      <w:bookmarkEnd w:id="38"/>
    </w:p>
    <w:p>
      <w:pPr>
        <w:spacing w:line="300" w:lineRule="auto"/>
        <w:ind w:left="310" w:hanging="310" w:hangingChars="147"/>
        <w:jc w:val="center"/>
        <w:rPr>
          <w:rFonts w:ascii="宋体" w:hAnsi="宋体"/>
          <w:b/>
          <w:color w:val="auto"/>
          <w:szCs w:val="21"/>
          <w:highlight w:val="none"/>
        </w:rPr>
      </w:pPr>
      <w:bookmarkStart w:id="39" w:name="_Toc4726"/>
      <w:r>
        <w:rPr>
          <w:rFonts w:hint="eastAsia" w:ascii="宋体" w:hAnsi="宋体"/>
          <w:b/>
          <w:color w:val="auto"/>
          <w:szCs w:val="21"/>
          <w:highlight w:val="none"/>
        </w:rPr>
        <w:t>技术（服务）评分表</w:t>
      </w:r>
    </w:p>
    <w:tbl>
      <w:tblPr>
        <w:tblStyle w:val="64"/>
        <w:tblW w:w="5000"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28" w:type="dxa"/>
          <w:left w:w="113" w:type="dxa"/>
          <w:bottom w:w="28" w:type="dxa"/>
          <w:right w:w="113" w:type="dxa"/>
        </w:tblCellMar>
      </w:tblPr>
      <w:tblGrid>
        <w:gridCol w:w="760"/>
        <w:gridCol w:w="1661"/>
        <w:gridCol w:w="6453"/>
        <w:gridCol w:w="990"/>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28" w:type="dxa"/>
            <w:left w:w="113" w:type="dxa"/>
            <w:bottom w:w="28" w:type="dxa"/>
            <w:right w:w="113" w:type="dxa"/>
          </w:tblCellMar>
        </w:tblPrEx>
        <w:trPr>
          <w:trHeight w:val="454" w:hRule="atLeast"/>
          <w:jc w:val="center"/>
        </w:trPr>
        <w:tc>
          <w:tcPr>
            <w:tcW w:w="385" w:type="pct"/>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beforeLines="20" w:afterLines="20"/>
              <w:jc w:val="center"/>
              <w:rPr>
                <w:rFonts w:ascii="宋体" w:hAnsi="宋体"/>
                <w:color w:val="auto"/>
                <w:highlight w:val="none"/>
              </w:rPr>
            </w:pPr>
            <w:r>
              <w:rPr>
                <w:rFonts w:hint="eastAsia" w:ascii="宋体" w:hAnsi="宋体"/>
                <w:color w:val="auto"/>
                <w:highlight w:val="none"/>
              </w:rPr>
              <w:t>序号</w:t>
            </w:r>
          </w:p>
        </w:tc>
        <w:tc>
          <w:tcPr>
            <w:tcW w:w="842" w:type="pct"/>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beforeLines="20" w:afterLines="20"/>
              <w:jc w:val="center"/>
              <w:rPr>
                <w:rFonts w:ascii="宋体" w:hAnsi="宋体"/>
                <w:color w:val="auto"/>
                <w:highlight w:val="none"/>
              </w:rPr>
            </w:pPr>
            <w:r>
              <w:rPr>
                <w:rFonts w:hint="eastAsia" w:ascii="宋体" w:hAnsi="宋体"/>
                <w:color w:val="auto"/>
                <w:highlight w:val="none"/>
              </w:rPr>
              <w:t>评审内容</w:t>
            </w:r>
          </w:p>
        </w:tc>
        <w:tc>
          <w:tcPr>
            <w:tcW w:w="3271" w:type="pct"/>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beforeLines="20" w:afterLines="20"/>
              <w:jc w:val="center"/>
              <w:rPr>
                <w:rFonts w:ascii="宋体" w:hAnsi="宋体"/>
                <w:color w:val="auto"/>
                <w:highlight w:val="none"/>
              </w:rPr>
            </w:pPr>
            <w:r>
              <w:rPr>
                <w:rFonts w:hint="eastAsia" w:ascii="宋体" w:hAnsi="宋体"/>
                <w:color w:val="auto"/>
                <w:highlight w:val="none"/>
              </w:rPr>
              <w:t>评分范围</w:t>
            </w:r>
          </w:p>
        </w:tc>
        <w:tc>
          <w:tcPr>
            <w:tcW w:w="502" w:type="pct"/>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beforeLines="20" w:afterLines="20"/>
              <w:jc w:val="center"/>
              <w:rPr>
                <w:rFonts w:ascii="宋体" w:hAnsi="宋体"/>
                <w:color w:val="auto"/>
                <w:highlight w:val="none"/>
              </w:rPr>
            </w:pPr>
            <w:r>
              <w:rPr>
                <w:rFonts w:hint="eastAsia" w:ascii="宋体" w:hAnsi="宋体"/>
                <w:color w:val="auto"/>
                <w:highlight w:val="none"/>
              </w:rPr>
              <w:t>分值</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28" w:type="dxa"/>
            <w:left w:w="113" w:type="dxa"/>
            <w:bottom w:w="28" w:type="dxa"/>
            <w:right w:w="113" w:type="dxa"/>
          </w:tblCellMar>
        </w:tblPrEx>
        <w:trPr>
          <w:trHeight w:val="925" w:hRule="atLeast"/>
          <w:jc w:val="center"/>
        </w:trPr>
        <w:tc>
          <w:tcPr>
            <w:tcW w:w="385" w:type="pct"/>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beforeLines="20" w:afterLines="20"/>
              <w:jc w:val="center"/>
              <w:rPr>
                <w:rFonts w:ascii="宋体" w:hAnsi="宋体" w:cs="宋体"/>
                <w:color w:val="auto"/>
                <w:highlight w:val="none"/>
              </w:rPr>
            </w:pPr>
            <w:r>
              <w:rPr>
                <w:rFonts w:hint="eastAsia" w:ascii="宋体" w:hAnsi="宋体" w:cs="宋体"/>
                <w:color w:val="auto"/>
                <w:szCs w:val="21"/>
                <w:highlight w:val="none"/>
              </w:rPr>
              <w:t>1</w:t>
            </w:r>
          </w:p>
        </w:tc>
        <w:tc>
          <w:tcPr>
            <w:tcW w:w="842" w:type="pct"/>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beforeLines="20" w:afterLines="20"/>
              <w:jc w:val="center"/>
              <w:rPr>
                <w:rFonts w:ascii="宋体" w:hAnsi="宋体" w:cs="宋体"/>
                <w:color w:val="auto"/>
                <w:szCs w:val="21"/>
                <w:highlight w:val="none"/>
              </w:rPr>
            </w:pPr>
            <w:r>
              <w:rPr>
                <w:rFonts w:hint="eastAsia" w:ascii="宋体" w:hAnsi="宋体" w:cs="宋体"/>
                <w:color w:val="auto"/>
                <w:szCs w:val="21"/>
                <w:highlight w:val="none"/>
              </w:rPr>
              <w:t>总体服务方案</w:t>
            </w:r>
          </w:p>
        </w:tc>
        <w:tc>
          <w:tcPr>
            <w:tcW w:w="3271" w:type="pct"/>
            <w:tcBorders>
              <w:top w:val="outset" w:color="111111" w:sz="6" w:space="0"/>
              <w:left w:val="outset" w:color="111111" w:sz="6" w:space="0"/>
              <w:bottom w:val="outset" w:color="111111" w:sz="6" w:space="0"/>
              <w:right w:val="outset" w:color="111111" w:sz="6" w:space="0"/>
            </w:tcBorders>
          </w:tcPr>
          <w:p>
            <w:pPr>
              <w:adjustRightInd w:val="0"/>
              <w:snapToGrid w:val="0"/>
              <w:spacing w:beforeLines="20" w:afterLines="20"/>
              <w:jc w:val="left"/>
              <w:rPr>
                <w:rFonts w:ascii="宋体" w:hAnsi="宋体" w:cs="宋体"/>
                <w:color w:val="auto"/>
                <w:szCs w:val="21"/>
                <w:highlight w:val="none"/>
              </w:rPr>
            </w:pPr>
            <w:r>
              <w:rPr>
                <w:rFonts w:hint="eastAsia" w:ascii="宋体" w:hAnsi="宋体" w:cs="宋体"/>
                <w:color w:val="auto"/>
                <w:szCs w:val="21"/>
                <w:highlight w:val="none"/>
              </w:rPr>
              <w:t>根据投标人对“二、物业管理服务要求”中的“（二）物业管理及服务要求 （总体要求）”提供的总体服务方案进行评审：</w:t>
            </w:r>
          </w:p>
          <w:p>
            <w:pPr>
              <w:adjustRightInd w:val="0"/>
              <w:snapToGrid w:val="0"/>
              <w:spacing w:beforeLines="20" w:afterLines="20"/>
              <w:jc w:val="left"/>
              <w:rPr>
                <w:rFonts w:ascii="宋体" w:hAnsi="宋体" w:cs="宋体"/>
                <w:color w:val="auto"/>
                <w:szCs w:val="21"/>
                <w:highlight w:val="none"/>
              </w:rPr>
            </w:pPr>
            <w:r>
              <w:rPr>
                <w:rFonts w:hint="eastAsia" w:ascii="宋体" w:hAnsi="宋体" w:cs="宋体"/>
                <w:color w:val="auto"/>
                <w:szCs w:val="21"/>
                <w:highlight w:val="none"/>
              </w:rPr>
              <w:t>1、方案内容完整全面，完全满足且有优于项目需求的，得15分；</w:t>
            </w:r>
          </w:p>
          <w:p>
            <w:pPr>
              <w:adjustRightInd w:val="0"/>
              <w:snapToGrid w:val="0"/>
              <w:spacing w:beforeLines="20" w:afterLines="20"/>
              <w:jc w:val="left"/>
              <w:rPr>
                <w:rFonts w:ascii="宋体" w:hAnsi="宋体" w:cs="宋体"/>
                <w:color w:val="auto"/>
                <w:szCs w:val="21"/>
                <w:highlight w:val="none"/>
              </w:rPr>
            </w:pPr>
            <w:r>
              <w:rPr>
                <w:rFonts w:hint="eastAsia" w:ascii="宋体" w:hAnsi="宋体" w:cs="宋体"/>
                <w:color w:val="auto"/>
                <w:szCs w:val="21"/>
                <w:highlight w:val="none"/>
              </w:rPr>
              <w:t>2、方案内容完整全面，完全满足项目需求的，得12分；</w:t>
            </w:r>
          </w:p>
          <w:p>
            <w:pPr>
              <w:adjustRightInd w:val="0"/>
              <w:snapToGrid w:val="0"/>
              <w:spacing w:beforeLines="20" w:afterLines="20"/>
              <w:jc w:val="left"/>
              <w:rPr>
                <w:rFonts w:ascii="宋体" w:hAnsi="宋体" w:cs="宋体"/>
                <w:color w:val="auto"/>
                <w:szCs w:val="21"/>
                <w:highlight w:val="none"/>
              </w:rPr>
            </w:pPr>
            <w:r>
              <w:rPr>
                <w:rFonts w:hint="eastAsia" w:ascii="宋体" w:hAnsi="宋体" w:cs="宋体"/>
                <w:color w:val="auto"/>
                <w:szCs w:val="21"/>
                <w:highlight w:val="none"/>
              </w:rPr>
              <w:t>3、方案内容有缺失，不能完全满足项目需求的，得10分；</w:t>
            </w:r>
          </w:p>
          <w:p>
            <w:pPr>
              <w:adjustRightInd w:val="0"/>
              <w:snapToGrid w:val="0"/>
              <w:spacing w:beforeLines="20" w:afterLines="20"/>
              <w:jc w:val="left"/>
              <w:rPr>
                <w:rFonts w:ascii="宋体" w:hAnsi="宋体" w:cs="宋体"/>
                <w:color w:val="auto"/>
                <w:szCs w:val="21"/>
                <w:highlight w:val="none"/>
              </w:rPr>
            </w:pPr>
            <w:r>
              <w:rPr>
                <w:rFonts w:hint="eastAsia" w:ascii="宋体" w:hAnsi="宋体" w:cs="宋体"/>
                <w:color w:val="auto"/>
                <w:szCs w:val="21"/>
                <w:highlight w:val="none"/>
              </w:rPr>
              <w:t>其他情况或无相关内容不得分。</w:t>
            </w:r>
          </w:p>
        </w:tc>
        <w:tc>
          <w:tcPr>
            <w:tcW w:w="502" w:type="pct"/>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beforeLines="20" w:afterLines="20"/>
              <w:jc w:val="center"/>
              <w:rPr>
                <w:rFonts w:ascii="宋体" w:hAnsi="宋体" w:cs="宋体"/>
                <w:color w:val="auto"/>
                <w:highlight w:val="none"/>
              </w:rPr>
            </w:pPr>
            <w:r>
              <w:rPr>
                <w:rFonts w:hint="eastAsia" w:ascii="宋体" w:hAnsi="宋体" w:cs="宋体"/>
                <w:color w:val="auto"/>
                <w:szCs w:val="21"/>
                <w:highlight w:val="none"/>
              </w:rPr>
              <w:t>15分</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28" w:type="dxa"/>
            <w:left w:w="113" w:type="dxa"/>
            <w:bottom w:w="28" w:type="dxa"/>
            <w:right w:w="113" w:type="dxa"/>
          </w:tblCellMar>
        </w:tblPrEx>
        <w:trPr>
          <w:trHeight w:val="925" w:hRule="atLeast"/>
          <w:jc w:val="center"/>
        </w:trPr>
        <w:tc>
          <w:tcPr>
            <w:tcW w:w="385" w:type="pct"/>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beforeLines="20" w:afterLines="20"/>
              <w:jc w:val="center"/>
              <w:rPr>
                <w:rFonts w:ascii="宋体" w:hAnsi="宋体" w:cs="宋体"/>
                <w:color w:val="auto"/>
                <w:szCs w:val="21"/>
                <w:highlight w:val="none"/>
              </w:rPr>
            </w:pPr>
            <w:r>
              <w:rPr>
                <w:rFonts w:hint="eastAsia" w:ascii="宋体" w:hAnsi="宋体" w:cs="宋体"/>
                <w:color w:val="auto"/>
                <w:szCs w:val="21"/>
                <w:highlight w:val="none"/>
              </w:rPr>
              <w:t>2</w:t>
            </w:r>
          </w:p>
        </w:tc>
        <w:tc>
          <w:tcPr>
            <w:tcW w:w="842" w:type="pct"/>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beforeLines="20" w:afterLines="20"/>
              <w:jc w:val="center"/>
              <w:rPr>
                <w:rFonts w:ascii="宋体" w:hAnsi="宋体" w:cs="宋体"/>
                <w:color w:val="auto"/>
                <w:szCs w:val="21"/>
                <w:highlight w:val="none"/>
              </w:rPr>
            </w:pPr>
            <w:r>
              <w:rPr>
                <w:rFonts w:hint="eastAsia" w:ascii="宋体" w:hAnsi="宋体" w:cs="宋体"/>
                <w:color w:val="auto"/>
                <w:szCs w:val="21"/>
                <w:highlight w:val="none"/>
              </w:rPr>
              <w:t>公共秩序维护管理方案</w:t>
            </w:r>
          </w:p>
        </w:tc>
        <w:tc>
          <w:tcPr>
            <w:tcW w:w="3271" w:type="pct"/>
            <w:tcBorders>
              <w:top w:val="outset" w:color="111111" w:sz="6" w:space="0"/>
              <w:left w:val="outset" w:color="111111" w:sz="6" w:space="0"/>
              <w:bottom w:val="outset" w:color="111111" w:sz="6" w:space="0"/>
              <w:right w:val="outset" w:color="111111" w:sz="6" w:space="0"/>
            </w:tcBorders>
          </w:tcPr>
          <w:p>
            <w:pPr>
              <w:adjustRightInd w:val="0"/>
              <w:snapToGrid w:val="0"/>
              <w:spacing w:beforeLines="20" w:afterLines="20"/>
              <w:jc w:val="left"/>
              <w:rPr>
                <w:rFonts w:ascii="宋体" w:hAnsi="宋体" w:cs="宋体"/>
                <w:color w:val="auto"/>
                <w:szCs w:val="21"/>
                <w:highlight w:val="none"/>
              </w:rPr>
            </w:pPr>
            <w:r>
              <w:rPr>
                <w:rFonts w:hint="eastAsia" w:ascii="宋体" w:hAnsi="宋体" w:cs="宋体"/>
                <w:color w:val="auto"/>
                <w:szCs w:val="21"/>
                <w:highlight w:val="none"/>
              </w:rPr>
              <w:t>根据投标人对“二、物业管理服务要求”中的“</w:t>
            </w:r>
            <w:r>
              <w:rPr>
                <w:rFonts w:hint="eastAsia"/>
                <w:color w:val="auto"/>
                <w:szCs w:val="21"/>
                <w:highlight w:val="none"/>
              </w:rPr>
              <w:t>（三）服务内容</w:t>
            </w:r>
            <w:r>
              <w:rPr>
                <w:rFonts w:hint="eastAsia" w:ascii="宋体" w:hAnsi="宋体" w:cs="宋体"/>
                <w:color w:val="auto"/>
                <w:szCs w:val="21"/>
                <w:highlight w:val="none"/>
              </w:rPr>
              <w:t>”中的“1、</w:t>
            </w:r>
            <w:r>
              <w:rPr>
                <w:rFonts w:hint="eastAsia"/>
                <w:color w:val="auto"/>
                <w:szCs w:val="21"/>
                <w:highlight w:val="none"/>
              </w:rPr>
              <w:t>公共秩序维护服务</w:t>
            </w:r>
            <w:r>
              <w:rPr>
                <w:rFonts w:hint="eastAsia" w:ascii="宋体" w:hAnsi="宋体" w:cs="宋体"/>
                <w:color w:val="auto"/>
                <w:szCs w:val="21"/>
                <w:highlight w:val="none"/>
              </w:rPr>
              <w:t>”及“ 3、停车场管理服务”提供的各项管理方案（包括但不限于</w:t>
            </w:r>
            <w:r>
              <w:rPr>
                <w:rFonts w:hint="eastAsia" w:ascii="宋体" w:hAnsi="宋体"/>
                <w:color w:val="auto"/>
                <w:szCs w:val="21"/>
                <w:highlight w:val="none"/>
              </w:rPr>
              <w:t>安全保卫和维护秩序制度、出入人员管理、</w:t>
            </w:r>
            <w:r>
              <w:rPr>
                <w:rFonts w:hint="eastAsia" w:ascii="宋体" w:hAnsi="宋体" w:cs="宋体"/>
                <w:color w:val="auto"/>
                <w:szCs w:val="21"/>
                <w:highlight w:val="none"/>
              </w:rPr>
              <w:t>巡检值班制度、</w:t>
            </w:r>
            <w:r>
              <w:rPr>
                <w:rFonts w:hint="eastAsia" w:ascii="宋体" w:hAnsi="宋体"/>
                <w:color w:val="auto"/>
                <w:szCs w:val="21"/>
                <w:highlight w:val="none"/>
              </w:rPr>
              <w:t>应急情况处置、</w:t>
            </w:r>
            <w:r>
              <w:rPr>
                <w:rFonts w:hint="eastAsia" w:ascii="宋体" w:hAnsi="宋体" w:cs="宋体"/>
                <w:color w:val="auto"/>
                <w:szCs w:val="21"/>
                <w:highlight w:val="none"/>
              </w:rPr>
              <w:t>停车场出入登记管理</w:t>
            </w:r>
            <w:r>
              <w:rPr>
                <w:rFonts w:hint="eastAsia" w:ascii="宋体" w:hAnsi="宋体"/>
                <w:color w:val="auto"/>
                <w:szCs w:val="21"/>
                <w:highlight w:val="none"/>
              </w:rPr>
              <w:t>等</w:t>
            </w:r>
            <w:r>
              <w:rPr>
                <w:rFonts w:hint="eastAsia" w:ascii="宋体" w:hAnsi="宋体" w:cs="宋体"/>
                <w:color w:val="auto"/>
                <w:szCs w:val="21"/>
                <w:highlight w:val="none"/>
              </w:rPr>
              <w:t>）进行评审：</w:t>
            </w:r>
          </w:p>
          <w:p>
            <w:pPr>
              <w:adjustRightInd w:val="0"/>
              <w:snapToGrid w:val="0"/>
              <w:spacing w:beforeLines="20" w:afterLines="20"/>
              <w:jc w:val="left"/>
              <w:rPr>
                <w:rFonts w:ascii="宋体" w:hAnsi="宋体" w:cs="宋体"/>
                <w:color w:val="auto"/>
                <w:szCs w:val="21"/>
                <w:highlight w:val="none"/>
              </w:rPr>
            </w:pPr>
            <w:r>
              <w:rPr>
                <w:rFonts w:hint="eastAsia" w:ascii="宋体" w:hAnsi="宋体" w:cs="宋体"/>
                <w:color w:val="auto"/>
                <w:szCs w:val="21"/>
                <w:highlight w:val="none"/>
              </w:rPr>
              <w:t>1、方案内容完整全面，完全满足且有优于项目需求的，得10分；</w:t>
            </w:r>
          </w:p>
          <w:p>
            <w:pPr>
              <w:adjustRightInd w:val="0"/>
              <w:snapToGrid w:val="0"/>
              <w:spacing w:beforeLines="20" w:afterLines="20"/>
              <w:jc w:val="left"/>
              <w:rPr>
                <w:rFonts w:ascii="宋体" w:hAnsi="宋体" w:cs="宋体"/>
                <w:color w:val="auto"/>
                <w:szCs w:val="21"/>
                <w:highlight w:val="none"/>
              </w:rPr>
            </w:pPr>
            <w:r>
              <w:rPr>
                <w:rFonts w:hint="eastAsia" w:ascii="宋体" w:hAnsi="宋体" w:cs="宋体"/>
                <w:color w:val="auto"/>
                <w:szCs w:val="21"/>
                <w:highlight w:val="none"/>
              </w:rPr>
              <w:t>2、方案内容完整全面，完全满足项目需求的，得8分；</w:t>
            </w:r>
          </w:p>
          <w:p>
            <w:pPr>
              <w:adjustRightInd w:val="0"/>
              <w:snapToGrid w:val="0"/>
              <w:spacing w:beforeLines="20" w:afterLines="20"/>
              <w:jc w:val="left"/>
              <w:rPr>
                <w:rFonts w:ascii="宋体" w:hAnsi="宋体" w:cs="宋体"/>
                <w:color w:val="auto"/>
                <w:szCs w:val="21"/>
                <w:highlight w:val="none"/>
              </w:rPr>
            </w:pPr>
            <w:r>
              <w:rPr>
                <w:rFonts w:hint="eastAsia" w:ascii="宋体" w:hAnsi="宋体" w:cs="宋体"/>
                <w:color w:val="auto"/>
                <w:szCs w:val="21"/>
                <w:highlight w:val="none"/>
              </w:rPr>
              <w:t>3、方案内容有缺失，不能完全满足项目需求的，得6分；</w:t>
            </w:r>
          </w:p>
          <w:p>
            <w:pPr>
              <w:adjustRightInd w:val="0"/>
              <w:snapToGrid w:val="0"/>
              <w:spacing w:beforeLines="20" w:afterLines="20"/>
              <w:jc w:val="left"/>
              <w:rPr>
                <w:rFonts w:ascii="宋体" w:hAnsi="宋体" w:cs="宋体"/>
                <w:color w:val="auto"/>
                <w:szCs w:val="21"/>
                <w:highlight w:val="none"/>
              </w:rPr>
            </w:pPr>
            <w:r>
              <w:rPr>
                <w:rFonts w:hint="eastAsia" w:ascii="宋体" w:hAnsi="宋体" w:cs="宋体"/>
                <w:color w:val="auto"/>
                <w:szCs w:val="21"/>
                <w:highlight w:val="none"/>
              </w:rPr>
              <w:t>其他情况或无相关内容不得分。</w:t>
            </w:r>
          </w:p>
        </w:tc>
        <w:tc>
          <w:tcPr>
            <w:tcW w:w="502" w:type="pct"/>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beforeLines="20" w:afterLines="20"/>
              <w:jc w:val="center"/>
              <w:rPr>
                <w:rFonts w:ascii="宋体" w:hAnsi="宋体" w:cs="宋体"/>
                <w:color w:val="auto"/>
                <w:szCs w:val="21"/>
                <w:highlight w:val="none"/>
              </w:rPr>
            </w:pPr>
            <w:r>
              <w:rPr>
                <w:rFonts w:hint="eastAsia" w:ascii="宋体" w:hAnsi="宋体" w:cs="宋体"/>
                <w:color w:val="auto"/>
                <w:szCs w:val="21"/>
                <w:highlight w:val="none"/>
              </w:rPr>
              <w:t>10分</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28" w:type="dxa"/>
            <w:left w:w="113" w:type="dxa"/>
            <w:bottom w:w="28" w:type="dxa"/>
            <w:right w:w="113" w:type="dxa"/>
          </w:tblCellMar>
        </w:tblPrEx>
        <w:trPr>
          <w:trHeight w:val="925" w:hRule="atLeast"/>
          <w:jc w:val="center"/>
        </w:trPr>
        <w:tc>
          <w:tcPr>
            <w:tcW w:w="385" w:type="pct"/>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beforeLines="20" w:afterLines="20"/>
              <w:jc w:val="center"/>
              <w:rPr>
                <w:rFonts w:ascii="宋体" w:hAnsi="宋体" w:cs="宋体"/>
                <w:color w:val="auto"/>
                <w:szCs w:val="21"/>
                <w:highlight w:val="none"/>
              </w:rPr>
            </w:pPr>
            <w:r>
              <w:rPr>
                <w:rFonts w:hint="eastAsia" w:ascii="宋体" w:hAnsi="宋体" w:cs="宋体"/>
                <w:color w:val="auto"/>
                <w:szCs w:val="21"/>
                <w:highlight w:val="none"/>
              </w:rPr>
              <w:t>3</w:t>
            </w:r>
          </w:p>
        </w:tc>
        <w:tc>
          <w:tcPr>
            <w:tcW w:w="842" w:type="pct"/>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beforeLines="20" w:afterLines="20"/>
              <w:jc w:val="center"/>
              <w:rPr>
                <w:rFonts w:ascii="宋体" w:hAnsi="宋体" w:cs="宋体"/>
                <w:color w:val="auto"/>
                <w:szCs w:val="21"/>
                <w:highlight w:val="none"/>
              </w:rPr>
            </w:pPr>
            <w:r>
              <w:rPr>
                <w:rFonts w:hint="eastAsia" w:ascii="宋体" w:hAnsi="宋体" w:cs="宋体"/>
                <w:color w:val="auto"/>
                <w:szCs w:val="21"/>
                <w:highlight w:val="none"/>
              </w:rPr>
              <w:t>消防管理及设施管理</w:t>
            </w:r>
          </w:p>
        </w:tc>
        <w:tc>
          <w:tcPr>
            <w:tcW w:w="3271" w:type="pct"/>
            <w:tcBorders>
              <w:top w:val="outset" w:color="111111" w:sz="6" w:space="0"/>
              <w:left w:val="outset" w:color="111111" w:sz="6" w:space="0"/>
              <w:bottom w:val="outset" w:color="111111" w:sz="6" w:space="0"/>
              <w:right w:val="outset" w:color="111111" w:sz="6" w:space="0"/>
            </w:tcBorders>
          </w:tcPr>
          <w:p>
            <w:pPr>
              <w:adjustRightInd w:val="0"/>
              <w:snapToGrid w:val="0"/>
              <w:spacing w:beforeLines="20" w:afterLines="20"/>
              <w:jc w:val="left"/>
              <w:rPr>
                <w:rFonts w:ascii="宋体" w:hAnsi="宋体" w:cs="宋体"/>
                <w:color w:val="auto"/>
                <w:szCs w:val="21"/>
                <w:highlight w:val="none"/>
              </w:rPr>
            </w:pPr>
            <w:r>
              <w:rPr>
                <w:rFonts w:hint="eastAsia" w:ascii="宋体" w:hAnsi="宋体" w:cs="宋体"/>
                <w:color w:val="auto"/>
                <w:szCs w:val="21"/>
                <w:highlight w:val="none"/>
              </w:rPr>
              <w:t>根据投标人对“二、物业管理服务要求”中的“</w:t>
            </w:r>
            <w:r>
              <w:rPr>
                <w:rFonts w:hint="eastAsia"/>
                <w:color w:val="auto"/>
                <w:szCs w:val="21"/>
                <w:highlight w:val="none"/>
              </w:rPr>
              <w:t>（三）服务内容</w:t>
            </w:r>
            <w:r>
              <w:rPr>
                <w:rFonts w:hint="eastAsia" w:ascii="宋体" w:hAnsi="宋体" w:cs="宋体"/>
                <w:color w:val="auto"/>
                <w:szCs w:val="21"/>
                <w:highlight w:val="none"/>
              </w:rPr>
              <w:t>”中的 “2、消防管理服务”及“4、物业配套设施及机电设备的管理”提供的各项管理方案（包括但不限于消防人员配备、消防监控管理、消防应急方案、物业配套设施登记、管理及机电设备的管理</w:t>
            </w:r>
            <w:r>
              <w:rPr>
                <w:rFonts w:hint="eastAsia" w:ascii="宋体" w:hAnsi="宋体"/>
                <w:color w:val="auto"/>
                <w:szCs w:val="21"/>
                <w:highlight w:val="none"/>
              </w:rPr>
              <w:t>等</w:t>
            </w:r>
            <w:r>
              <w:rPr>
                <w:rFonts w:hint="eastAsia" w:ascii="宋体" w:hAnsi="宋体" w:cs="宋体"/>
                <w:color w:val="auto"/>
                <w:szCs w:val="21"/>
                <w:highlight w:val="none"/>
              </w:rPr>
              <w:t>）进行评审：</w:t>
            </w:r>
          </w:p>
          <w:p>
            <w:pPr>
              <w:adjustRightInd w:val="0"/>
              <w:snapToGrid w:val="0"/>
              <w:spacing w:beforeLines="20" w:afterLines="20"/>
              <w:jc w:val="left"/>
              <w:rPr>
                <w:rFonts w:ascii="宋体" w:hAnsi="宋体" w:cs="宋体"/>
                <w:color w:val="auto"/>
                <w:szCs w:val="21"/>
                <w:highlight w:val="none"/>
              </w:rPr>
            </w:pPr>
            <w:r>
              <w:rPr>
                <w:rFonts w:hint="eastAsia" w:ascii="宋体" w:hAnsi="宋体" w:cs="宋体"/>
                <w:color w:val="auto"/>
                <w:szCs w:val="21"/>
                <w:highlight w:val="none"/>
              </w:rPr>
              <w:t>1、方案内容完整全面，完全满足且有优于项目需求的，得10分；</w:t>
            </w:r>
          </w:p>
          <w:p>
            <w:pPr>
              <w:adjustRightInd w:val="0"/>
              <w:snapToGrid w:val="0"/>
              <w:spacing w:beforeLines="20" w:afterLines="20"/>
              <w:jc w:val="left"/>
              <w:rPr>
                <w:rFonts w:ascii="宋体" w:hAnsi="宋体" w:cs="宋体"/>
                <w:color w:val="auto"/>
                <w:szCs w:val="21"/>
                <w:highlight w:val="none"/>
              </w:rPr>
            </w:pPr>
            <w:r>
              <w:rPr>
                <w:rFonts w:hint="eastAsia" w:ascii="宋体" w:hAnsi="宋体" w:cs="宋体"/>
                <w:color w:val="auto"/>
                <w:szCs w:val="21"/>
                <w:highlight w:val="none"/>
              </w:rPr>
              <w:t>2、方案内容完整全面，完全满足项目需求的，得8分；</w:t>
            </w:r>
          </w:p>
          <w:p>
            <w:pPr>
              <w:adjustRightInd w:val="0"/>
              <w:snapToGrid w:val="0"/>
              <w:spacing w:beforeLines="20" w:afterLines="20"/>
              <w:jc w:val="left"/>
              <w:rPr>
                <w:rFonts w:ascii="宋体" w:hAnsi="宋体" w:cs="宋体"/>
                <w:color w:val="auto"/>
                <w:szCs w:val="21"/>
                <w:highlight w:val="none"/>
              </w:rPr>
            </w:pPr>
            <w:r>
              <w:rPr>
                <w:rFonts w:hint="eastAsia" w:ascii="宋体" w:hAnsi="宋体" w:cs="宋体"/>
                <w:color w:val="auto"/>
                <w:szCs w:val="21"/>
                <w:highlight w:val="none"/>
              </w:rPr>
              <w:t>3、方案内容有缺失，不能完全满足项目需求的，得6分；</w:t>
            </w:r>
          </w:p>
          <w:p>
            <w:pPr>
              <w:adjustRightInd w:val="0"/>
              <w:snapToGrid w:val="0"/>
              <w:spacing w:beforeLines="20" w:afterLines="20"/>
              <w:jc w:val="left"/>
              <w:rPr>
                <w:rFonts w:ascii="宋体" w:hAnsi="宋体" w:cs="宋体"/>
                <w:color w:val="auto"/>
                <w:szCs w:val="21"/>
                <w:highlight w:val="none"/>
              </w:rPr>
            </w:pPr>
            <w:r>
              <w:rPr>
                <w:rFonts w:hint="eastAsia" w:ascii="宋体" w:hAnsi="宋体" w:cs="宋体"/>
                <w:color w:val="auto"/>
                <w:szCs w:val="21"/>
                <w:highlight w:val="none"/>
              </w:rPr>
              <w:t>其他情况或无相关内容不得分。</w:t>
            </w:r>
          </w:p>
        </w:tc>
        <w:tc>
          <w:tcPr>
            <w:tcW w:w="502" w:type="pct"/>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beforeLines="20" w:afterLines="20"/>
              <w:jc w:val="center"/>
              <w:rPr>
                <w:rFonts w:ascii="宋体" w:hAnsi="宋体" w:cs="宋体"/>
                <w:color w:val="auto"/>
                <w:szCs w:val="21"/>
                <w:highlight w:val="none"/>
              </w:rPr>
            </w:pPr>
            <w:r>
              <w:rPr>
                <w:rFonts w:hint="eastAsia" w:ascii="宋体" w:hAnsi="宋体" w:cs="宋体"/>
                <w:color w:val="auto"/>
                <w:szCs w:val="21"/>
                <w:highlight w:val="none"/>
              </w:rPr>
              <w:t>10分</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28" w:type="dxa"/>
            <w:left w:w="113" w:type="dxa"/>
            <w:bottom w:w="28" w:type="dxa"/>
            <w:right w:w="113" w:type="dxa"/>
          </w:tblCellMar>
        </w:tblPrEx>
        <w:trPr>
          <w:trHeight w:val="925" w:hRule="atLeast"/>
          <w:jc w:val="center"/>
        </w:trPr>
        <w:tc>
          <w:tcPr>
            <w:tcW w:w="385" w:type="pct"/>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beforeLines="20" w:afterLines="20"/>
              <w:jc w:val="center"/>
              <w:rPr>
                <w:rFonts w:ascii="宋体" w:hAnsi="宋体" w:cs="宋体"/>
                <w:color w:val="auto"/>
                <w:szCs w:val="21"/>
                <w:highlight w:val="none"/>
              </w:rPr>
            </w:pPr>
            <w:r>
              <w:rPr>
                <w:rFonts w:hint="eastAsia" w:ascii="宋体" w:hAnsi="宋体" w:cs="宋体"/>
                <w:color w:val="auto"/>
                <w:szCs w:val="21"/>
                <w:highlight w:val="none"/>
              </w:rPr>
              <w:t>4</w:t>
            </w:r>
          </w:p>
        </w:tc>
        <w:tc>
          <w:tcPr>
            <w:tcW w:w="842" w:type="pct"/>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beforeLines="20" w:afterLines="20"/>
              <w:jc w:val="center"/>
              <w:rPr>
                <w:rFonts w:ascii="宋体" w:hAnsi="宋体" w:cs="宋体"/>
                <w:color w:val="auto"/>
                <w:szCs w:val="21"/>
                <w:highlight w:val="none"/>
              </w:rPr>
            </w:pPr>
            <w:r>
              <w:rPr>
                <w:rFonts w:hint="eastAsia" w:ascii="宋体" w:hAnsi="宋体" w:cs="宋体"/>
                <w:color w:val="auto"/>
                <w:szCs w:val="21"/>
                <w:highlight w:val="none"/>
              </w:rPr>
              <w:t>保洁卫生、绿化养护和管理方案</w:t>
            </w:r>
          </w:p>
        </w:tc>
        <w:tc>
          <w:tcPr>
            <w:tcW w:w="3271" w:type="pct"/>
            <w:tcBorders>
              <w:top w:val="outset" w:color="111111" w:sz="6" w:space="0"/>
              <w:left w:val="outset" w:color="111111" w:sz="6" w:space="0"/>
              <w:bottom w:val="outset" w:color="111111" w:sz="6" w:space="0"/>
              <w:right w:val="outset" w:color="111111" w:sz="6" w:space="0"/>
            </w:tcBorders>
          </w:tcPr>
          <w:p>
            <w:pPr>
              <w:adjustRightInd w:val="0"/>
              <w:snapToGrid w:val="0"/>
              <w:spacing w:beforeLines="20" w:afterLines="20"/>
              <w:jc w:val="left"/>
              <w:rPr>
                <w:rFonts w:ascii="宋体" w:hAnsi="宋体" w:cs="宋体"/>
                <w:color w:val="auto"/>
                <w:szCs w:val="21"/>
                <w:highlight w:val="none"/>
              </w:rPr>
            </w:pPr>
            <w:r>
              <w:rPr>
                <w:rFonts w:hint="eastAsia" w:ascii="宋体" w:hAnsi="宋体" w:cs="宋体"/>
                <w:color w:val="auto"/>
                <w:szCs w:val="21"/>
                <w:highlight w:val="none"/>
              </w:rPr>
              <w:t>根据投标人对“二、物业管理服务要求”中的“（三）服务内容”中的“5、环境卫生保洁服务”“6、绿化养护服务”提供的环境卫生保洁、绿化养护和管理方案（包括但不限于环境卫生保洁方案及措施流程、绿化工作流程、花木等养护工作流程和服务质量控制制度）进行评审：</w:t>
            </w:r>
          </w:p>
          <w:p>
            <w:pPr>
              <w:adjustRightInd w:val="0"/>
              <w:snapToGrid w:val="0"/>
              <w:spacing w:beforeLines="20" w:afterLines="20"/>
              <w:jc w:val="left"/>
              <w:rPr>
                <w:rFonts w:ascii="宋体" w:hAnsi="宋体" w:cs="宋体"/>
                <w:color w:val="auto"/>
                <w:szCs w:val="21"/>
                <w:highlight w:val="none"/>
              </w:rPr>
            </w:pPr>
            <w:r>
              <w:rPr>
                <w:rFonts w:hint="eastAsia" w:ascii="宋体" w:hAnsi="宋体" w:cs="宋体"/>
                <w:color w:val="auto"/>
                <w:szCs w:val="21"/>
                <w:highlight w:val="none"/>
              </w:rPr>
              <w:t>1、方案内容完整全面，完全满足且有优于项目需求的，得10分；</w:t>
            </w:r>
          </w:p>
          <w:p>
            <w:pPr>
              <w:adjustRightInd w:val="0"/>
              <w:snapToGrid w:val="0"/>
              <w:spacing w:beforeLines="20" w:afterLines="20"/>
              <w:jc w:val="left"/>
              <w:rPr>
                <w:rFonts w:ascii="宋体" w:hAnsi="宋体" w:cs="宋体"/>
                <w:color w:val="auto"/>
                <w:szCs w:val="21"/>
                <w:highlight w:val="none"/>
              </w:rPr>
            </w:pPr>
            <w:r>
              <w:rPr>
                <w:rFonts w:hint="eastAsia" w:ascii="宋体" w:hAnsi="宋体" w:cs="宋体"/>
                <w:color w:val="auto"/>
                <w:szCs w:val="21"/>
                <w:highlight w:val="none"/>
              </w:rPr>
              <w:t>2、方案内容完整全面，完全满足项目需求的，得8分；</w:t>
            </w:r>
          </w:p>
          <w:p>
            <w:pPr>
              <w:adjustRightInd w:val="0"/>
              <w:snapToGrid w:val="0"/>
              <w:spacing w:beforeLines="20" w:afterLines="20"/>
              <w:jc w:val="left"/>
              <w:rPr>
                <w:rFonts w:ascii="宋体" w:hAnsi="宋体" w:cs="宋体"/>
                <w:color w:val="auto"/>
                <w:szCs w:val="21"/>
                <w:highlight w:val="none"/>
              </w:rPr>
            </w:pPr>
            <w:r>
              <w:rPr>
                <w:rFonts w:hint="eastAsia" w:ascii="宋体" w:hAnsi="宋体" w:cs="宋体"/>
                <w:color w:val="auto"/>
                <w:szCs w:val="21"/>
                <w:highlight w:val="none"/>
              </w:rPr>
              <w:t>3、方案内容有缺失，不能完全满足项目需求的，得6分；</w:t>
            </w:r>
          </w:p>
          <w:p>
            <w:pPr>
              <w:adjustRightInd w:val="0"/>
              <w:snapToGrid w:val="0"/>
              <w:spacing w:beforeLines="20" w:afterLines="20"/>
              <w:jc w:val="left"/>
              <w:rPr>
                <w:rFonts w:ascii="宋体" w:hAnsi="宋体" w:cs="宋体"/>
                <w:color w:val="auto"/>
                <w:szCs w:val="21"/>
                <w:highlight w:val="none"/>
              </w:rPr>
            </w:pPr>
            <w:r>
              <w:rPr>
                <w:rFonts w:hint="eastAsia" w:ascii="宋体" w:hAnsi="宋体" w:cs="宋体"/>
                <w:color w:val="auto"/>
                <w:szCs w:val="21"/>
                <w:highlight w:val="none"/>
              </w:rPr>
              <w:t>其他情况或无相关内容不得分。</w:t>
            </w:r>
          </w:p>
        </w:tc>
        <w:tc>
          <w:tcPr>
            <w:tcW w:w="502" w:type="pct"/>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beforeLines="20" w:afterLines="20"/>
              <w:jc w:val="center"/>
              <w:rPr>
                <w:rFonts w:ascii="宋体" w:hAnsi="宋体" w:cs="宋体"/>
                <w:color w:val="auto"/>
                <w:szCs w:val="21"/>
                <w:highlight w:val="none"/>
              </w:rPr>
            </w:pPr>
            <w:r>
              <w:rPr>
                <w:rFonts w:hint="eastAsia" w:ascii="宋体" w:hAnsi="宋体" w:cs="宋体"/>
                <w:color w:val="auto"/>
                <w:szCs w:val="21"/>
                <w:highlight w:val="none"/>
              </w:rPr>
              <w:t>10分</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28" w:type="dxa"/>
            <w:left w:w="113" w:type="dxa"/>
            <w:bottom w:w="28" w:type="dxa"/>
            <w:right w:w="113" w:type="dxa"/>
          </w:tblCellMar>
        </w:tblPrEx>
        <w:trPr>
          <w:trHeight w:val="320" w:hRule="atLeast"/>
          <w:jc w:val="center"/>
        </w:trPr>
        <w:tc>
          <w:tcPr>
            <w:tcW w:w="385" w:type="pct"/>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beforeLines="20" w:afterLines="20"/>
              <w:jc w:val="center"/>
              <w:rPr>
                <w:rFonts w:ascii="宋体" w:hAnsi="宋体" w:cs="宋体"/>
                <w:color w:val="auto"/>
                <w:highlight w:val="none"/>
              </w:rPr>
            </w:pPr>
            <w:r>
              <w:rPr>
                <w:rFonts w:hint="eastAsia" w:ascii="宋体" w:hAnsi="宋体" w:cs="宋体"/>
                <w:color w:val="auto"/>
                <w:szCs w:val="21"/>
                <w:highlight w:val="none"/>
              </w:rPr>
              <w:t>5</w:t>
            </w:r>
          </w:p>
        </w:tc>
        <w:tc>
          <w:tcPr>
            <w:tcW w:w="842" w:type="pct"/>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beforeLines="20" w:afterLines="20"/>
              <w:jc w:val="center"/>
              <w:rPr>
                <w:rFonts w:ascii="宋体" w:hAnsi="宋体" w:cs="宋体"/>
                <w:color w:val="auto"/>
                <w:szCs w:val="21"/>
                <w:highlight w:val="none"/>
              </w:rPr>
            </w:pPr>
            <w:r>
              <w:rPr>
                <w:rFonts w:hint="eastAsia" w:ascii="宋体" w:hAnsi="宋体" w:cs="宋体"/>
                <w:color w:val="auto"/>
                <w:szCs w:val="21"/>
                <w:highlight w:val="none"/>
              </w:rPr>
              <w:t>接待、会务服务和后勤服务方案</w:t>
            </w:r>
          </w:p>
        </w:tc>
        <w:tc>
          <w:tcPr>
            <w:tcW w:w="3271" w:type="pct"/>
            <w:tcBorders>
              <w:top w:val="outset" w:color="111111" w:sz="6" w:space="0"/>
              <w:left w:val="outset" w:color="111111" w:sz="6" w:space="0"/>
              <w:bottom w:val="outset" w:color="111111" w:sz="6" w:space="0"/>
              <w:right w:val="outset" w:color="111111" w:sz="6" w:space="0"/>
            </w:tcBorders>
          </w:tcPr>
          <w:p>
            <w:pPr>
              <w:adjustRightInd w:val="0"/>
              <w:snapToGrid w:val="0"/>
              <w:spacing w:beforeLines="20" w:afterLines="20"/>
              <w:jc w:val="left"/>
              <w:rPr>
                <w:rFonts w:ascii="宋体" w:hAnsi="宋体" w:cs="宋体"/>
                <w:color w:val="auto"/>
                <w:szCs w:val="21"/>
                <w:highlight w:val="none"/>
              </w:rPr>
            </w:pPr>
            <w:r>
              <w:rPr>
                <w:rFonts w:hint="eastAsia" w:ascii="宋体" w:hAnsi="宋体" w:cs="宋体"/>
                <w:color w:val="auto"/>
                <w:szCs w:val="21"/>
                <w:highlight w:val="none"/>
              </w:rPr>
              <w:t>根据投标人对“二、物业管理服务要求”中的“（三）服务内容”中的“7、接待咨询服务”、“9、接待及会务服务”及“10、后勤服务”提供的接待服务和会务服务方案（包括但不限于场地设施布置要求、接待服务流程及工作交接流程、会务服务方案及会务工作流程、后勤服务方案等）进行评审：</w:t>
            </w:r>
          </w:p>
          <w:p>
            <w:pPr>
              <w:adjustRightInd w:val="0"/>
              <w:snapToGrid w:val="0"/>
              <w:spacing w:beforeLines="20" w:afterLines="20"/>
              <w:jc w:val="left"/>
              <w:rPr>
                <w:rFonts w:ascii="宋体" w:hAnsi="宋体" w:cs="宋体"/>
                <w:color w:val="auto"/>
                <w:szCs w:val="21"/>
                <w:highlight w:val="none"/>
              </w:rPr>
            </w:pPr>
            <w:r>
              <w:rPr>
                <w:rFonts w:hint="eastAsia" w:ascii="宋体" w:hAnsi="宋体" w:cs="宋体"/>
                <w:color w:val="auto"/>
                <w:szCs w:val="21"/>
                <w:highlight w:val="none"/>
              </w:rPr>
              <w:t>1、方案内容完整全面，完全满足且有优于项目需求的，得15分；</w:t>
            </w:r>
          </w:p>
          <w:p>
            <w:pPr>
              <w:adjustRightInd w:val="0"/>
              <w:snapToGrid w:val="0"/>
              <w:spacing w:beforeLines="20" w:afterLines="20"/>
              <w:jc w:val="left"/>
              <w:rPr>
                <w:rFonts w:ascii="宋体" w:hAnsi="宋体" w:cs="宋体"/>
                <w:color w:val="auto"/>
                <w:szCs w:val="21"/>
                <w:highlight w:val="none"/>
              </w:rPr>
            </w:pPr>
            <w:r>
              <w:rPr>
                <w:rFonts w:hint="eastAsia" w:ascii="宋体" w:hAnsi="宋体" w:cs="宋体"/>
                <w:color w:val="auto"/>
                <w:szCs w:val="21"/>
                <w:highlight w:val="none"/>
              </w:rPr>
              <w:t>2、方案内容完整全面，完全满足项目需求的，得12分；</w:t>
            </w:r>
          </w:p>
          <w:p>
            <w:pPr>
              <w:adjustRightInd w:val="0"/>
              <w:snapToGrid w:val="0"/>
              <w:spacing w:beforeLines="20" w:afterLines="20"/>
              <w:jc w:val="left"/>
              <w:rPr>
                <w:rFonts w:ascii="宋体" w:hAnsi="宋体" w:cs="宋体"/>
                <w:color w:val="auto"/>
                <w:szCs w:val="21"/>
                <w:highlight w:val="none"/>
              </w:rPr>
            </w:pPr>
            <w:r>
              <w:rPr>
                <w:rFonts w:hint="eastAsia" w:ascii="宋体" w:hAnsi="宋体" w:cs="宋体"/>
                <w:color w:val="auto"/>
                <w:szCs w:val="21"/>
                <w:highlight w:val="none"/>
              </w:rPr>
              <w:t>3、方案内容有缺失，不能完全满足项目需求的，得10分；</w:t>
            </w:r>
          </w:p>
          <w:p>
            <w:pPr>
              <w:adjustRightInd w:val="0"/>
              <w:snapToGrid w:val="0"/>
              <w:spacing w:beforeLines="20" w:afterLines="20"/>
              <w:rPr>
                <w:rFonts w:ascii="宋体" w:hAnsi="宋体" w:cs="宋体"/>
                <w:color w:val="auto"/>
                <w:szCs w:val="21"/>
                <w:highlight w:val="none"/>
              </w:rPr>
            </w:pPr>
            <w:r>
              <w:rPr>
                <w:rFonts w:hint="eastAsia" w:ascii="宋体" w:hAnsi="宋体" w:cs="宋体"/>
                <w:color w:val="auto"/>
                <w:szCs w:val="21"/>
                <w:highlight w:val="none"/>
              </w:rPr>
              <w:t>其他情况或无相关内容不得分。</w:t>
            </w:r>
          </w:p>
        </w:tc>
        <w:tc>
          <w:tcPr>
            <w:tcW w:w="502" w:type="pct"/>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beforeLines="20" w:afterLines="20"/>
              <w:jc w:val="center"/>
              <w:rPr>
                <w:rFonts w:ascii="宋体" w:hAnsi="宋体" w:cs="宋体"/>
                <w:color w:val="auto"/>
                <w:highlight w:val="none"/>
              </w:rPr>
            </w:pPr>
            <w:r>
              <w:rPr>
                <w:rFonts w:hint="eastAsia" w:ascii="宋体" w:hAnsi="宋体" w:cs="宋体"/>
                <w:color w:val="auto"/>
                <w:highlight w:val="none"/>
              </w:rPr>
              <w:t>15分</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28" w:type="dxa"/>
            <w:left w:w="113" w:type="dxa"/>
            <w:bottom w:w="28" w:type="dxa"/>
            <w:right w:w="113" w:type="dxa"/>
          </w:tblCellMar>
        </w:tblPrEx>
        <w:trPr>
          <w:trHeight w:val="320" w:hRule="atLeast"/>
          <w:jc w:val="center"/>
        </w:trPr>
        <w:tc>
          <w:tcPr>
            <w:tcW w:w="385" w:type="pct"/>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beforeLines="20" w:afterLines="20"/>
              <w:jc w:val="center"/>
              <w:rPr>
                <w:rFonts w:ascii="宋体" w:hAnsi="宋体" w:cs="宋体"/>
                <w:color w:val="auto"/>
                <w:szCs w:val="21"/>
                <w:highlight w:val="none"/>
              </w:rPr>
            </w:pPr>
            <w:r>
              <w:rPr>
                <w:rFonts w:hint="eastAsia" w:ascii="宋体" w:hAnsi="宋体" w:cs="宋体"/>
                <w:color w:val="auto"/>
                <w:szCs w:val="21"/>
                <w:highlight w:val="none"/>
              </w:rPr>
              <w:t>6</w:t>
            </w:r>
          </w:p>
        </w:tc>
        <w:tc>
          <w:tcPr>
            <w:tcW w:w="842" w:type="pct"/>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beforeLines="20" w:afterLines="20"/>
              <w:jc w:val="center"/>
              <w:rPr>
                <w:rFonts w:ascii="宋体" w:hAnsi="宋体" w:cs="宋体"/>
                <w:color w:val="auto"/>
                <w:szCs w:val="21"/>
                <w:highlight w:val="none"/>
              </w:rPr>
            </w:pPr>
            <w:r>
              <w:rPr>
                <w:rFonts w:hint="eastAsia" w:ascii="宋体" w:hAnsi="宋体" w:cs="宋体"/>
                <w:color w:val="auto"/>
                <w:szCs w:val="21"/>
                <w:highlight w:val="none"/>
              </w:rPr>
              <w:t>项目管理人员资质</w:t>
            </w:r>
          </w:p>
        </w:tc>
        <w:tc>
          <w:tcPr>
            <w:tcW w:w="3271" w:type="pct"/>
            <w:tcBorders>
              <w:top w:val="outset" w:color="111111" w:sz="6" w:space="0"/>
              <w:left w:val="outset" w:color="111111" w:sz="6" w:space="0"/>
              <w:bottom w:val="outset" w:color="111111" w:sz="6" w:space="0"/>
              <w:right w:val="outset" w:color="111111" w:sz="6" w:space="0"/>
            </w:tcBorders>
          </w:tcPr>
          <w:p>
            <w:pPr>
              <w:spacing w:line="300" w:lineRule="exact"/>
              <w:rPr>
                <w:rFonts w:ascii="宋体" w:hAnsi="宋体" w:cs="宋体"/>
                <w:color w:val="auto"/>
                <w:highlight w:val="none"/>
              </w:rPr>
            </w:pPr>
            <w:r>
              <w:rPr>
                <w:rFonts w:hint="eastAsia" w:ascii="宋体" w:hAnsi="宋体" w:cs="宋体"/>
                <w:color w:val="auto"/>
                <w:highlight w:val="none"/>
                <w:lang w:val="zh-TW" w:eastAsia="zh-TW"/>
              </w:rPr>
              <w:t>拟派项目</w:t>
            </w:r>
            <w:r>
              <w:rPr>
                <w:rFonts w:hint="eastAsia" w:ascii="宋体" w:hAnsi="宋体" w:cs="宋体"/>
                <w:color w:val="auto"/>
                <w:highlight w:val="none"/>
              </w:rPr>
              <w:t>经理</w:t>
            </w:r>
            <w:r>
              <w:rPr>
                <w:rFonts w:hint="eastAsia" w:ascii="宋体" w:hAnsi="宋体" w:cs="宋体"/>
                <w:color w:val="auto"/>
                <w:highlight w:val="none"/>
                <w:lang w:val="zh-TW"/>
              </w:rPr>
              <w:t>（1人）</w:t>
            </w:r>
            <w:r>
              <w:rPr>
                <w:rFonts w:hint="eastAsia" w:ascii="宋体" w:hAnsi="宋体" w:cs="宋体"/>
                <w:color w:val="auto"/>
                <w:highlight w:val="none"/>
                <w:lang w:val="zh-TW" w:eastAsia="zh-TW"/>
              </w:rPr>
              <w:t>的资质与经验</w:t>
            </w:r>
            <w:r>
              <w:rPr>
                <w:rFonts w:hint="eastAsia" w:ascii="宋体" w:hAnsi="宋体" w:cs="宋体"/>
                <w:color w:val="auto"/>
                <w:highlight w:val="none"/>
                <w:lang w:val="zh-TW"/>
              </w:rPr>
              <w:t>，以下条件每满足1项得</w:t>
            </w:r>
            <w:r>
              <w:rPr>
                <w:rFonts w:hint="eastAsia" w:ascii="宋体" w:hAnsi="宋体" w:cs="宋体"/>
                <w:color w:val="auto"/>
                <w:highlight w:val="none"/>
              </w:rPr>
              <w:t>5</w:t>
            </w:r>
            <w:r>
              <w:rPr>
                <w:rFonts w:hint="eastAsia" w:ascii="宋体" w:hAnsi="宋体" w:cs="宋体"/>
                <w:color w:val="auto"/>
                <w:highlight w:val="none"/>
                <w:lang w:val="zh-TW"/>
              </w:rPr>
              <w:t>分，满分</w:t>
            </w:r>
            <w:r>
              <w:rPr>
                <w:rFonts w:hint="eastAsia" w:ascii="宋体" w:hAnsi="宋体" w:cs="宋体"/>
                <w:color w:val="auto"/>
                <w:highlight w:val="none"/>
              </w:rPr>
              <w:t>10</w:t>
            </w:r>
            <w:r>
              <w:rPr>
                <w:rFonts w:hint="eastAsia" w:ascii="宋体" w:hAnsi="宋体" w:cs="宋体"/>
                <w:color w:val="auto"/>
                <w:highlight w:val="none"/>
                <w:lang w:val="zh-TW"/>
              </w:rPr>
              <w:t>分：</w:t>
            </w:r>
          </w:p>
          <w:p>
            <w:pPr>
              <w:autoSpaceDE w:val="0"/>
              <w:autoSpaceDN w:val="0"/>
              <w:adjustRightInd w:val="0"/>
              <w:jc w:val="left"/>
              <w:rPr>
                <w:rFonts w:ascii="宋体" w:hAnsi="宋体" w:cs="宋体"/>
                <w:color w:val="auto"/>
                <w:highlight w:val="none"/>
              </w:rPr>
            </w:pPr>
            <w:r>
              <w:rPr>
                <w:rFonts w:hint="eastAsia" w:ascii="宋体" w:hAnsi="宋体" w:cs="宋体"/>
                <w:color w:val="auto"/>
                <w:highlight w:val="none"/>
              </w:rPr>
              <w:t>1、具有大专或以上学历；</w:t>
            </w:r>
          </w:p>
          <w:p>
            <w:pPr>
              <w:autoSpaceDE w:val="0"/>
              <w:autoSpaceDN w:val="0"/>
              <w:adjustRightInd w:val="0"/>
              <w:jc w:val="left"/>
              <w:rPr>
                <w:rFonts w:ascii="宋体" w:hAnsi="宋体" w:cs="宋体"/>
                <w:color w:val="auto"/>
                <w:highlight w:val="none"/>
              </w:rPr>
            </w:pPr>
            <w:r>
              <w:rPr>
                <w:rFonts w:hint="eastAsia" w:ascii="宋体" w:hAnsi="宋体" w:cs="宋体"/>
                <w:color w:val="auto"/>
                <w:highlight w:val="none"/>
              </w:rPr>
              <w:t>2、具有至少3年或以上工作经验；</w:t>
            </w:r>
          </w:p>
          <w:p>
            <w:pPr>
              <w:adjustRightInd w:val="0"/>
              <w:snapToGrid w:val="0"/>
              <w:spacing w:beforeLines="20" w:afterLines="20"/>
              <w:rPr>
                <w:rFonts w:ascii="宋体" w:hAnsi="宋体" w:cs="宋体"/>
                <w:color w:val="auto"/>
                <w:szCs w:val="21"/>
                <w:highlight w:val="none"/>
              </w:rPr>
            </w:pPr>
            <w:r>
              <w:rPr>
                <w:rFonts w:hint="eastAsia" w:ascii="宋体" w:hAnsi="宋体" w:cs="宋体"/>
                <w:color w:val="auto"/>
                <w:szCs w:val="21"/>
                <w:highlight w:val="none"/>
              </w:rPr>
              <w:t>注：本项满分10分。须提供相关证明材料以及投标截止之日前六个月内任意一个月的由投标人为其缴纳社保的证明材料复印件。 其中工作经验须提供人员履历表并加盖投标人公章。</w:t>
            </w:r>
          </w:p>
        </w:tc>
        <w:tc>
          <w:tcPr>
            <w:tcW w:w="502" w:type="pct"/>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beforeLines="20" w:afterLines="20"/>
              <w:jc w:val="center"/>
              <w:rPr>
                <w:rFonts w:ascii="宋体" w:hAnsi="宋体" w:cs="宋体"/>
                <w:color w:val="auto"/>
                <w:highlight w:val="none"/>
              </w:rPr>
            </w:pPr>
            <w:r>
              <w:rPr>
                <w:rFonts w:hint="eastAsia" w:ascii="宋体" w:hAnsi="宋体" w:cs="宋体"/>
                <w:color w:val="auto"/>
                <w:highlight w:val="none"/>
              </w:rPr>
              <w:t>10</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28" w:type="dxa"/>
            <w:left w:w="113" w:type="dxa"/>
            <w:bottom w:w="28" w:type="dxa"/>
            <w:right w:w="113" w:type="dxa"/>
          </w:tblCellMar>
        </w:tblPrEx>
        <w:trPr>
          <w:trHeight w:val="510" w:hRule="atLeast"/>
          <w:jc w:val="center"/>
        </w:trPr>
        <w:tc>
          <w:tcPr>
            <w:tcW w:w="385" w:type="pct"/>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beforeLines="20" w:afterLines="20"/>
              <w:jc w:val="center"/>
              <w:rPr>
                <w:rFonts w:ascii="宋体" w:hAnsi="宋体" w:cs="宋体"/>
                <w:color w:val="auto"/>
                <w:szCs w:val="21"/>
                <w:highlight w:val="none"/>
              </w:rPr>
            </w:pPr>
          </w:p>
        </w:tc>
        <w:tc>
          <w:tcPr>
            <w:tcW w:w="4113" w:type="pct"/>
            <w:gridSpan w:val="2"/>
            <w:tcBorders>
              <w:top w:val="outset" w:color="111111" w:sz="6" w:space="0"/>
              <w:left w:val="outset" w:color="111111" w:sz="6" w:space="0"/>
              <w:bottom w:val="outset" w:color="111111" w:sz="6" w:space="0"/>
              <w:right w:val="outset" w:color="111111" w:sz="6" w:space="0"/>
            </w:tcBorders>
            <w:vAlign w:val="center"/>
          </w:tcPr>
          <w:p>
            <w:pPr>
              <w:widowControl/>
              <w:adjustRightInd w:val="0"/>
              <w:snapToGrid w:val="0"/>
              <w:spacing w:beforeLines="20" w:afterLines="20"/>
              <w:jc w:val="center"/>
              <w:rPr>
                <w:rFonts w:ascii="宋体" w:hAnsi="宋体"/>
                <w:color w:val="auto"/>
                <w:szCs w:val="21"/>
                <w:highlight w:val="none"/>
              </w:rPr>
            </w:pPr>
          </w:p>
        </w:tc>
        <w:tc>
          <w:tcPr>
            <w:tcW w:w="502" w:type="pct"/>
            <w:tcBorders>
              <w:top w:val="outset" w:color="111111" w:sz="6" w:space="0"/>
              <w:left w:val="outset" w:color="111111" w:sz="6" w:space="0"/>
              <w:bottom w:val="outset" w:color="111111" w:sz="6" w:space="0"/>
              <w:right w:val="outset" w:color="111111" w:sz="6" w:space="0"/>
            </w:tcBorders>
            <w:vAlign w:val="center"/>
          </w:tcPr>
          <w:p>
            <w:pPr>
              <w:adjustRightInd w:val="0"/>
              <w:snapToGrid w:val="0"/>
              <w:spacing w:beforeLines="20" w:afterLines="20"/>
              <w:jc w:val="center"/>
              <w:rPr>
                <w:rFonts w:ascii="宋体" w:hAnsi="宋体"/>
                <w:color w:val="auto"/>
                <w:szCs w:val="21"/>
                <w:highlight w:val="none"/>
              </w:rPr>
            </w:pPr>
            <w:r>
              <w:rPr>
                <w:rFonts w:hint="eastAsia" w:ascii="宋体" w:hAnsi="宋体"/>
                <w:color w:val="auto"/>
                <w:szCs w:val="21"/>
                <w:highlight w:val="none"/>
              </w:rPr>
              <w:t>70</w:t>
            </w:r>
            <w:r>
              <w:rPr>
                <w:rFonts w:hint="eastAsia" w:ascii="宋体" w:hAnsi="宋体" w:cs="宋体"/>
                <w:color w:val="auto"/>
                <w:szCs w:val="21"/>
                <w:highlight w:val="none"/>
              </w:rPr>
              <w:t>分</w:t>
            </w:r>
          </w:p>
        </w:tc>
      </w:tr>
    </w:tbl>
    <w:p>
      <w:pPr>
        <w:spacing w:line="300" w:lineRule="auto"/>
        <w:ind w:left="310" w:hanging="310" w:hangingChars="147"/>
        <w:jc w:val="left"/>
        <w:rPr>
          <w:rFonts w:ascii="宋体" w:hAnsi="宋体"/>
          <w:b/>
          <w:color w:val="auto"/>
          <w:szCs w:val="21"/>
          <w:highlight w:val="none"/>
        </w:rPr>
      </w:pPr>
      <w:bookmarkStart w:id="52" w:name="_GoBack"/>
      <w:bookmarkEnd w:id="52"/>
      <w:r>
        <w:rPr>
          <w:rFonts w:hint="eastAsia" w:ascii="宋体" w:hAnsi="宋体"/>
          <w:b/>
          <w:color w:val="auto"/>
          <w:szCs w:val="21"/>
          <w:highlight w:val="none"/>
        </w:rPr>
        <w:br w:type="page"/>
      </w:r>
      <w:r>
        <w:rPr>
          <w:rFonts w:hint="eastAsia" w:ascii="宋体" w:hAnsi="宋体"/>
          <w:b/>
          <w:color w:val="auto"/>
          <w:szCs w:val="21"/>
          <w:highlight w:val="none"/>
        </w:rPr>
        <w:t>附表五 价格评分表</w:t>
      </w:r>
      <w:bookmarkEnd w:id="39"/>
    </w:p>
    <w:p>
      <w:pPr>
        <w:spacing w:line="300" w:lineRule="auto"/>
        <w:ind w:left="310" w:hanging="310" w:hangingChars="147"/>
        <w:jc w:val="center"/>
        <w:rPr>
          <w:rFonts w:ascii="宋体" w:hAnsi="宋体"/>
          <w:b/>
          <w:color w:val="auto"/>
          <w:szCs w:val="21"/>
          <w:highlight w:val="none"/>
        </w:rPr>
      </w:pPr>
      <w:r>
        <w:rPr>
          <w:rFonts w:hint="eastAsia" w:ascii="宋体" w:hAnsi="宋体"/>
          <w:b/>
          <w:color w:val="auto"/>
          <w:szCs w:val="21"/>
          <w:highlight w:val="none"/>
        </w:rPr>
        <w:t>价格评分表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54" w:type="dxa"/>
          </w:tcPr>
          <w:p>
            <w:pPr>
              <w:tabs>
                <w:tab w:val="left" w:pos="567"/>
              </w:tabs>
              <w:spacing w:line="360" w:lineRule="auto"/>
              <w:rPr>
                <w:rFonts w:ascii="宋体" w:hAnsi="宋体"/>
                <w:color w:val="auto"/>
                <w:kern w:val="0"/>
                <w:szCs w:val="21"/>
                <w:highlight w:val="none"/>
              </w:rPr>
            </w:pPr>
            <w:r>
              <w:rPr>
                <w:rFonts w:hint="eastAsia" w:ascii="宋体" w:hAnsi="宋体"/>
                <w:color w:val="auto"/>
                <w:kern w:val="0"/>
                <w:szCs w:val="21"/>
                <w:highlight w:val="none"/>
              </w:rPr>
              <w:t>价格分应当采用低价优先法计算，即满足招标文件要求且投标价格最低的投标报价为评标基准价，其价格分为满分。其他投标人的价格分统一按照下列公式计算：评分标准（公式）：</w:t>
            </w:r>
          </w:p>
          <w:p>
            <w:pPr>
              <w:tabs>
                <w:tab w:val="left" w:pos="567"/>
              </w:tabs>
              <w:spacing w:line="360" w:lineRule="auto"/>
              <w:rPr>
                <w:rFonts w:ascii="宋体" w:hAnsi="宋体"/>
                <w:color w:val="auto"/>
                <w:kern w:val="0"/>
                <w:szCs w:val="21"/>
                <w:highlight w:val="none"/>
              </w:rPr>
            </w:pPr>
            <w:r>
              <w:rPr>
                <w:rFonts w:hint="eastAsia" w:ascii="宋体" w:hAnsi="宋体"/>
                <w:color w:val="auto"/>
                <w:kern w:val="0"/>
                <w:szCs w:val="21"/>
                <w:highlight w:val="none"/>
              </w:rPr>
              <w:t>投标人价格得分＝</w:t>
            </w:r>
            <w:r>
              <w:rPr>
                <w:rFonts w:ascii="宋体" w:hAnsi="宋体"/>
                <w:color w:val="auto"/>
                <w:kern w:val="0"/>
                <w:szCs w:val="21"/>
                <w:highlight w:val="none"/>
              </w:rPr>
              <w:fldChar w:fldCharType="begin"/>
            </w:r>
            <w:r>
              <w:rPr>
                <w:rFonts w:ascii="宋体" w:hAnsi="宋体"/>
                <w:color w:val="auto"/>
                <w:kern w:val="0"/>
                <w:szCs w:val="21"/>
                <w:highlight w:val="none"/>
              </w:rPr>
              <w:instrText xml:space="preserve"> EQ \F(评标基准价,投标总价) </w:instrText>
            </w:r>
            <w:r>
              <w:rPr>
                <w:rFonts w:ascii="宋体" w:hAnsi="宋体"/>
                <w:color w:val="auto"/>
                <w:kern w:val="0"/>
                <w:szCs w:val="21"/>
                <w:highlight w:val="none"/>
              </w:rPr>
              <w:fldChar w:fldCharType="end"/>
            </w:r>
            <w:r>
              <w:rPr>
                <w:rFonts w:hint="eastAsia" w:ascii="宋体" w:hAnsi="宋体"/>
                <w:color w:val="auto"/>
                <w:kern w:val="0"/>
                <w:szCs w:val="21"/>
                <w:highlight w:val="none"/>
              </w:rPr>
              <w:t>×价格分值</w:t>
            </w:r>
          </w:p>
          <w:p>
            <w:pPr>
              <w:widowControl/>
              <w:adjustRightInd w:val="0"/>
              <w:snapToGrid w:val="0"/>
              <w:spacing w:line="264" w:lineRule="auto"/>
              <w:jc w:val="left"/>
              <w:rPr>
                <w:rFonts w:ascii="宋体" w:hAnsi="宋体" w:cs="宋体"/>
                <w:color w:val="auto"/>
                <w:szCs w:val="21"/>
                <w:highlight w:val="none"/>
              </w:rPr>
            </w:pPr>
            <w:r>
              <w:rPr>
                <w:rFonts w:hint="eastAsia" w:ascii="宋体" w:hAnsi="宋体"/>
                <w:bCs/>
                <w:color w:val="auto"/>
                <w:szCs w:val="21"/>
                <w:highlight w:val="none"/>
              </w:rPr>
              <w:t>1、因落实政府采购政策进行价格调整的，以调整后的价格计算评标基准价和投标报价</w:t>
            </w:r>
            <w:r>
              <w:rPr>
                <w:rFonts w:hint="eastAsia" w:ascii="宋体" w:hAnsi="宋体" w:cs="宋体"/>
                <w:color w:val="auto"/>
                <w:szCs w:val="21"/>
                <w:highlight w:val="none"/>
              </w:rPr>
              <w:t>；</w:t>
            </w:r>
          </w:p>
          <w:p>
            <w:pPr>
              <w:tabs>
                <w:tab w:val="left" w:pos="567"/>
              </w:tabs>
              <w:spacing w:line="360" w:lineRule="auto"/>
              <w:rPr>
                <w:rFonts w:ascii="宋体" w:hAnsi="宋体"/>
                <w:color w:val="auto"/>
                <w:kern w:val="0"/>
                <w:szCs w:val="21"/>
                <w:highlight w:val="none"/>
              </w:rPr>
            </w:pPr>
            <w:r>
              <w:rPr>
                <w:rFonts w:hint="eastAsia" w:ascii="宋体" w:hAnsi="宋体"/>
                <w:bCs/>
                <w:color w:val="auto"/>
                <w:szCs w:val="21"/>
                <w:highlight w:val="none"/>
              </w:rPr>
              <w:t>2、投标报价得分四舍五入后，</w:t>
            </w:r>
            <w:r>
              <w:rPr>
                <w:rFonts w:hint="eastAsia" w:ascii="宋体" w:hAnsi="宋体" w:cs="Arial"/>
                <w:color w:val="auto"/>
                <w:szCs w:val="21"/>
                <w:highlight w:val="none"/>
              </w:rPr>
              <w:t>小数点后保留两位有效数字</w:t>
            </w:r>
            <w:r>
              <w:rPr>
                <w:rFonts w:hint="eastAsia" w:ascii="宋体" w:hAnsi="宋体"/>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trPr>
        <w:tc>
          <w:tcPr>
            <w:tcW w:w="9854" w:type="dxa"/>
          </w:tcPr>
          <w:p>
            <w:pPr>
              <w:tabs>
                <w:tab w:val="left" w:pos="567"/>
              </w:tabs>
              <w:spacing w:line="360" w:lineRule="auto"/>
              <w:ind w:right="657" w:rightChars="313"/>
              <w:rPr>
                <w:rFonts w:ascii="宋体" w:hAnsi="宋体"/>
                <w:color w:val="auto"/>
                <w:kern w:val="0"/>
                <w:szCs w:val="21"/>
                <w:highlight w:val="none"/>
              </w:rPr>
            </w:pPr>
            <w:r>
              <w:rPr>
                <w:rFonts w:hint="eastAsia" w:ascii="宋体" w:hAnsi="宋体"/>
                <w:color w:val="auto"/>
                <w:kern w:val="0"/>
                <w:szCs w:val="21"/>
                <w:highlight w:val="none"/>
              </w:rPr>
              <w:t>备注：</w:t>
            </w:r>
          </w:p>
          <w:p>
            <w:pPr>
              <w:tabs>
                <w:tab w:val="left" w:pos="567"/>
              </w:tabs>
              <w:spacing w:line="360" w:lineRule="auto"/>
              <w:rPr>
                <w:rFonts w:ascii="宋体" w:hAnsi="宋体"/>
                <w:color w:val="auto"/>
                <w:kern w:val="0"/>
                <w:szCs w:val="21"/>
                <w:highlight w:val="none"/>
              </w:rPr>
            </w:pPr>
            <w:r>
              <w:rPr>
                <w:rFonts w:hint="eastAsia" w:ascii="宋体" w:hAnsi="宋体"/>
                <w:color w:val="auto"/>
                <w:kern w:val="0"/>
                <w:szCs w:val="21"/>
                <w:highlight w:val="none"/>
              </w:rPr>
              <w:t>1.价格修正：投标人的投标报价中经评标委员会确定为供货范围（包括货物、工程和服务）缺漏项，而进行调整的，调整价为该项目在其他有效投标中的最高报价。</w:t>
            </w:r>
          </w:p>
          <w:p>
            <w:pPr>
              <w:pStyle w:val="58"/>
              <w:widowControl w:val="0"/>
              <w:spacing w:before="0" w:beforeAutospacing="0" w:after="0" w:afterAutospacing="0" w:line="360" w:lineRule="auto"/>
              <w:rPr>
                <w:bCs/>
                <w:color w:val="auto"/>
                <w:szCs w:val="21"/>
                <w:highlight w:val="none"/>
              </w:rPr>
            </w:pPr>
            <w:r>
              <w:rPr>
                <w:rFonts w:hint="eastAsia"/>
                <w:color w:val="auto"/>
                <w:sz w:val="21"/>
                <w:szCs w:val="21"/>
                <w:highlight w:val="none"/>
              </w:rPr>
              <w:t>2.评标委员会将按照上述修正错误的方法调整该投标人的投标文件中的投标报价，调整后的价格对投标人具有约束力。如果投标人不接受修正后的投标价格，则其投标将被拒绝。</w:t>
            </w:r>
          </w:p>
        </w:tc>
      </w:tr>
    </w:tbl>
    <w:p>
      <w:pPr>
        <w:pStyle w:val="3"/>
        <w:spacing w:before="100" w:beforeAutospacing="1" w:after="100" w:afterAutospacing="1" w:line="240" w:lineRule="auto"/>
        <w:jc w:val="center"/>
        <w:rPr>
          <w:rFonts w:ascii="宋体" w:hAnsi="宋体"/>
          <w:color w:val="auto"/>
          <w:sz w:val="36"/>
          <w:szCs w:val="36"/>
          <w:highlight w:val="none"/>
        </w:rPr>
      </w:pPr>
      <w:r>
        <w:rPr>
          <w:rFonts w:ascii="宋体" w:hAnsi="宋体"/>
          <w:b w:val="0"/>
          <w:color w:val="auto"/>
          <w:kern w:val="0"/>
          <w:sz w:val="28"/>
          <w:szCs w:val="28"/>
          <w:highlight w:val="none"/>
        </w:rPr>
        <w:br w:type="page"/>
      </w:r>
      <w:bookmarkStart w:id="40" w:name="_Toc9970"/>
      <w:bookmarkStart w:id="41" w:name="_Toc3530"/>
      <w:r>
        <w:rPr>
          <w:rFonts w:hint="eastAsia" w:ascii="宋体" w:hAnsi="宋体"/>
          <w:color w:val="auto"/>
          <w:sz w:val="36"/>
          <w:szCs w:val="36"/>
          <w:highlight w:val="none"/>
        </w:rPr>
        <w:t>第五部分　合同书格式</w:t>
      </w:r>
      <w:bookmarkEnd w:id="40"/>
    </w:p>
    <w:p>
      <w:pPr>
        <w:spacing w:line="300" w:lineRule="auto"/>
        <w:jc w:val="center"/>
        <w:rPr>
          <w:rFonts w:ascii="宋体" w:hAnsi="宋体"/>
          <w:b/>
          <w:color w:val="auto"/>
          <w:szCs w:val="21"/>
          <w:highlight w:val="none"/>
        </w:rPr>
      </w:pPr>
      <w:r>
        <w:rPr>
          <w:rFonts w:hint="eastAsia" w:ascii="宋体" w:hAnsi="宋体"/>
          <w:b/>
          <w:color w:val="auto"/>
          <w:szCs w:val="21"/>
          <w:highlight w:val="none"/>
        </w:rPr>
        <w:t>（本合同仅为合同的参考文本，合同签订双方可根据项目的具体要求进行修订。）</w:t>
      </w:r>
    </w:p>
    <w:p>
      <w:pPr>
        <w:spacing w:line="300" w:lineRule="auto"/>
        <w:jc w:val="center"/>
        <w:rPr>
          <w:rFonts w:ascii="宋体" w:hAnsi="宋体"/>
          <w:b/>
          <w:color w:val="auto"/>
          <w:szCs w:val="21"/>
          <w:highlight w:val="none"/>
        </w:rPr>
      </w:pPr>
    </w:p>
    <w:p>
      <w:pPr>
        <w:tabs>
          <w:tab w:val="left" w:pos="720"/>
        </w:tabs>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国家税务总局罗定市税务局机关及下属税务分局物业管理服务项目政府采购</w:t>
      </w:r>
    </w:p>
    <w:p>
      <w:pPr>
        <w:tabs>
          <w:tab w:val="left" w:pos="720"/>
        </w:tabs>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合 同 书</w:t>
      </w:r>
    </w:p>
    <w:p>
      <w:pPr>
        <w:tabs>
          <w:tab w:val="left" w:pos="720"/>
        </w:tabs>
        <w:spacing w:line="360" w:lineRule="auto"/>
        <w:jc w:val="center"/>
        <w:rPr>
          <w:rFonts w:ascii="仿宋_GB2312" w:hAnsi="仿宋" w:eastAsia="仿宋_GB2312"/>
          <w:b/>
          <w:color w:val="auto"/>
          <w:sz w:val="44"/>
          <w:szCs w:val="44"/>
          <w:highlight w:val="none"/>
        </w:rPr>
      </w:pPr>
      <w:r>
        <w:rPr>
          <w:rFonts w:hint="eastAsia" w:ascii="仿宋_GB2312" w:hAnsi="仿宋" w:eastAsia="仿宋_GB2312"/>
          <w:b/>
          <w:color w:val="auto"/>
          <w:sz w:val="44"/>
          <w:szCs w:val="44"/>
          <w:highlight w:val="none"/>
        </w:rPr>
        <w:t>（</w:t>
      </w:r>
      <w:r>
        <w:rPr>
          <w:rFonts w:hint="eastAsia" w:ascii="仿宋_GB2312" w:hAnsi="仿宋" w:eastAsia="仿宋_GB2312"/>
          <w:b/>
          <w:color w:val="auto"/>
          <w:sz w:val="44"/>
          <w:szCs w:val="44"/>
          <w:highlight w:val="none"/>
        </w:rPr>
        <w:t>服务类</w:t>
      </w:r>
      <w:r>
        <w:rPr>
          <w:rFonts w:hint="eastAsia" w:ascii="仿宋_GB2312" w:hAnsi="仿宋" w:eastAsia="仿宋_GB2312"/>
          <w:b/>
          <w:color w:val="auto"/>
          <w:sz w:val="44"/>
          <w:szCs w:val="44"/>
          <w:highlight w:val="none"/>
        </w:rPr>
        <w:t>）</w:t>
      </w:r>
    </w:p>
    <w:p>
      <w:pPr>
        <w:tabs>
          <w:tab w:val="left" w:pos="720"/>
        </w:tabs>
        <w:spacing w:line="360" w:lineRule="auto"/>
        <w:rPr>
          <w:rFonts w:ascii="宋体" w:hAnsi="宋体"/>
          <w:b/>
          <w:color w:val="auto"/>
          <w:sz w:val="28"/>
          <w:szCs w:val="28"/>
          <w:highlight w:val="none"/>
        </w:rPr>
      </w:pPr>
    </w:p>
    <w:p>
      <w:pPr>
        <w:tabs>
          <w:tab w:val="left" w:pos="720"/>
        </w:tabs>
        <w:spacing w:line="360" w:lineRule="auto"/>
        <w:rPr>
          <w:rFonts w:ascii="宋体" w:hAnsi="宋体"/>
          <w:b/>
          <w:color w:val="auto"/>
          <w:sz w:val="28"/>
          <w:szCs w:val="28"/>
          <w:highlight w:val="none"/>
        </w:rPr>
      </w:pPr>
    </w:p>
    <w:p>
      <w:pPr>
        <w:tabs>
          <w:tab w:val="left" w:pos="720"/>
        </w:tabs>
        <w:spacing w:line="360" w:lineRule="auto"/>
        <w:rPr>
          <w:rFonts w:ascii="宋体" w:hAnsi="宋体"/>
          <w:b/>
          <w:color w:val="auto"/>
          <w:sz w:val="28"/>
          <w:szCs w:val="28"/>
          <w:highlight w:val="none"/>
        </w:rPr>
      </w:pPr>
    </w:p>
    <w:tbl>
      <w:tblPr>
        <w:tblStyle w:val="64"/>
        <w:tblW w:w="0" w:type="auto"/>
        <w:jc w:val="center"/>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hAnsi="宋体"/>
                <w:b/>
                <w:color w:val="auto"/>
                <w:sz w:val="24"/>
                <w:highlight w:val="none"/>
                <w:u w:val="single"/>
              </w:rPr>
            </w:pPr>
            <w:r>
              <w:rPr>
                <w:rFonts w:hint="eastAsia" w:ascii="宋体" w:hAnsi="宋体"/>
                <w:b/>
                <w:color w:val="auto"/>
                <w:sz w:val="24"/>
                <w:highlight w:val="none"/>
              </w:rPr>
              <w:t>采购编号：</w:t>
            </w:r>
            <w:r>
              <w:rPr>
                <w:rFonts w:hint="eastAsia" w:ascii="宋体" w:hAnsi="宋体"/>
                <w:b/>
                <w:color w:val="auto"/>
                <w:sz w:val="24"/>
                <w:highlight w:val="none"/>
                <w:u w:val="single"/>
              </w:rPr>
              <w:t xml:space="preserve">0877-23GZTP01Y774                         </w:t>
            </w:r>
            <w:r>
              <w:rPr>
                <w:rFonts w:hint="eastAsia" w:ascii="宋体" w:hAnsi="宋体"/>
                <w:b/>
                <w:color w:val="auto"/>
                <w:sz w:val="24"/>
                <w:highlight w:val="none"/>
              </w:rPr>
              <w:t xml:space="preserve">           </w:t>
            </w: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hAnsi="宋体"/>
                <w:b/>
                <w:color w:val="auto"/>
                <w:sz w:val="24"/>
                <w:highlight w:val="none"/>
                <w:u w:val="single"/>
              </w:rPr>
            </w:pP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hAnsi="宋体"/>
                <w:b/>
                <w:color w:val="auto"/>
                <w:sz w:val="24"/>
                <w:highlight w:val="none"/>
              </w:rPr>
            </w:pPr>
            <w:r>
              <w:rPr>
                <w:rFonts w:hint="eastAsia" w:ascii="宋体" w:hAnsi="宋体"/>
                <w:b/>
                <w:color w:val="auto"/>
                <w:sz w:val="24"/>
                <w:highlight w:val="none"/>
              </w:rPr>
              <w:t>项目名称：</w:t>
            </w:r>
            <w:r>
              <w:rPr>
                <w:rFonts w:hint="eastAsia" w:ascii="宋体" w:hAnsi="宋体"/>
                <w:b/>
                <w:color w:val="auto"/>
                <w:sz w:val="24"/>
                <w:highlight w:val="none"/>
                <w:u w:val="single"/>
              </w:rPr>
              <w:t xml:space="preserve">国家税务总局罗定市税务局机关及下属税务分局物业管理服务项目                           </w:t>
            </w:r>
          </w:p>
        </w:tc>
      </w:tr>
      <w:tr>
        <w:tblPrEx>
          <w:tblCellMar>
            <w:top w:w="0" w:type="dxa"/>
            <w:left w:w="108" w:type="dxa"/>
            <w:bottom w:w="0" w:type="dxa"/>
            <w:right w:w="108" w:type="dxa"/>
          </w:tblCellMar>
        </w:tblPrEx>
        <w:trPr>
          <w:trHeight w:val="460" w:hRule="atLeast"/>
          <w:jc w:val="center"/>
        </w:trPr>
        <w:tc>
          <w:tcPr>
            <w:tcW w:w="5400" w:type="dxa"/>
          </w:tcPr>
          <w:p>
            <w:pPr>
              <w:tabs>
                <w:tab w:val="left" w:pos="720"/>
              </w:tabs>
              <w:spacing w:line="360" w:lineRule="auto"/>
              <w:rPr>
                <w:rFonts w:ascii="宋体" w:hAnsi="宋体"/>
                <w:b/>
                <w:color w:val="auto"/>
                <w:sz w:val="24"/>
                <w:highlight w:val="none"/>
              </w:rPr>
            </w:pPr>
          </w:p>
        </w:tc>
      </w:tr>
    </w:tbl>
    <w:p>
      <w:pPr>
        <w:spacing w:line="360" w:lineRule="auto"/>
        <w:rPr>
          <w:rFonts w:ascii="宋体" w:hAnsi="宋体"/>
          <w:color w:val="auto"/>
          <w:szCs w:val="21"/>
          <w:highlight w:val="none"/>
        </w:rPr>
      </w:pPr>
    </w:p>
    <w:p>
      <w:pPr>
        <w:spacing w:line="300" w:lineRule="auto"/>
        <w:rPr>
          <w:rFonts w:ascii="宋体" w:hAnsi="宋体"/>
          <w:b/>
          <w:color w:val="auto"/>
          <w:szCs w:val="21"/>
          <w:highlight w:val="none"/>
        </w:rPr>
      </w:pPr>
    </w:p>
    <w:p>
      <w:pPr>
        <w:spacing w:line="300" w:lineRule="auto"/>
        <w:rPr>
          <w:rFonts w:ascii="宋体" w:hAnsi="宋体"/>
          <w:b/>
          <w:color w:val="auto"/>
          <w:szCs w:val="21"/>
          <w:highlight w:val="none"/>
        </w:rPr>
      </w:pPr>
    </w:p>
    <w:p>
      <w:pPr>
        <w:spacing w:line="300" w:lineRule="auto"/>
        <w:rPr>
          <w:rFonts w:ascii="宋体" w:hAnsi="宋体"/>
          <w:b/>
          <w:color w:val="auto"/>
          <w:szCs w:val="21"/>
          <w:highlight w:val="none"/>
        </w:rPr>
      </w:pPr>
    </w:p>
    <w:p>
      <w:pPr>
        <w:spacing w:line="300" w:lineRule="auto"/>
        <w:rPr>
          <w:rFonts w:ascii="宋体" w:hAnsi="宋体"/>
          <w:b/>
          <w:color w:val="auto"/>
          <w:szCs w:val="21"/>
          <w:highlight w:val="none"/>
        </w:rPr>
      </w:pPr>
      <w:r>
        <w:rPr>
          <w:rFonts w:hint="eastAsia" w:ascii="宋体" w:hAnsi="宋体"/>
          <w:b/>
          <w:color w:val="auto"/>
          <w:szCs w:val="21"/>
          <w:highlight w:val="none"/>
        </w:rPr>
        <w:t>注：本合同仅为合同的参考文本，合同签订双方可根据项目的具体要求进行修订。</w:t>
      </w:r>
    </w:p>
    <w:p>
      <w:pPr>
        <w:spacing w:line="360" w:lineRule="auto"/>
        <w:rPr>
          <w:rFonts w:ascii="宋体" w:hAnsi="宋体"/>
          <w:b/>
          <w:color w:val="auto"/>
          <w:sz w:val="24"/>
          <w:highlight w:val="none"/>
        </w:rPr>
      </w:pPr>
      <w:r>
        <w:rPr>
          <w:rFonts w:hint="eastAsia" w:ascii="宋体" w:hAnsi="宋体" w:cs="宋体"/>
          <w:color w:val="auto"/>
          <w:szCs w:val="21"/>
          <w:highlight w:val="none"/>
        </w:rPr>
        <w:br w:type="page"/>
      </w:r>
      <w:r>
        <w:rPr>
          <w:rFonts w:hint="eastAsia" w:ascii="宋体" w:hAnsi="宋体"/>
          <w:b/>
          <w:color w:val="auto"/>
          <w:sz w:val="24"/>
          <w:highlight w:val="none"/>
        </w:rPr>
        <w:t>甲</w:t>
      </w:r>
      <w:r>
        <w:rPr>
          <w:rFonts w:hint="eastAsia" w:ascii="宋体" w:hAnsi="宋体"/>
          <w:color w:val="auto"/>
          <w:sz w:val="24"/>
          <w:highlight w:val="none"/>
        </w:rPr>
        <w:t xml:space="preserve">  </w:t>
      </w:r>
      <w:r>
        <w:rPr>
          <w:rFonts w:hint="eastAsia" w:ascii="宋体" w:hAnsi="宋体"/>
          <w:b/>
          <w:color w:val="auto"/>
          <w:sz w:val="24"/>
          <w:highlight w:val="none"/>
        </w:rPr>
        <w:t>方：</w:t>
      </w:r>
      <w:r>
        <w:rPr>
          <w:rFonts w:hint="eastAsia" w:ascii="宋体" w:hAnsi="宋体"/>
          <w:b/>
          <w:color w:val="auto"/>
          <w:sz w:val="24"/>
          <w:highlight w:val="none"/>
          <w:u w:val="single"/>
        </w:rPr>
        <w:t>国家税务总局罗定市税务局</w:t>
      </w:r>
      <w:r>
        <w:rPr>
          <w:rFonts w:ascii="宋体" w:hAnsi="宋体" w:cs="FangSong_GB2312,Bold"/>
          <w:b/>
          <w:bCs/>
          <w:color w:val="auto"/>
          <w:kern w:val="0"/>
          <w:sz w:val="24"/>
          <w:highlight w:val="none"/>
          <w:u w:val="single"/>
        </w:rPr>
        <w:t xml:space="preserve">                         </w:t>
      </w:r>
    </w:p>
    <w:p>
      <w:pPr>
        <w:spacing w:line="360" w:lineRule="auto"/>
        <w:rPr>
          <w:rFonts w:ascii="宋体" w:hAnsi="宋体"/>
          <w:color w:val="auto"/>
          <w:sz w:val="24"/>
          <w:highlight w:val="none"/>
          <w:u w:val="single"/>
        </w:rPr>
      </w:pPr>
      <w:r>
        <w:rPr>
          <w:rFonts w:hint="eastAsia" w:ascii="宋体" w:hAnsi="宋体"/>
          <w:color w:val="auto"/>
          <w:sz w:val="24"/>
          <w:highlight w:val="none"/>
        </w:rPr>
        <w:t>电  话：</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地  址：</w:t>
      </w:r>
      <w:r>
        <w:rPr>
          <w:rFonts w:hint="eastAsia" w:ascii="宋体" w:hAnsi="宋体"/>
          <w:b/>
          <w:color w:val="auto"/>
          <w:sz w:val="24"/>
          <w:highlight w:val="none"/>
          <w:u w:val="single"/>
        </w:rPr>
        <w:t xml:space="preserve">      </w:t>
      </w:r>
      <w:r>
        <w:rPr>
          <w:rFonts w:ascii="宋体" w:hAnsi="宋体" w:cs="FangSong_GB2312,Bold"/>
          <w:b/>
          <w:bCs/>
          <w:color w:val="auto"/>
          <w:kern w:val="0"/>
          <w:sz w:val="24"/>
          <w:highlight w:val="none"/>
          <w:u w:val="single"/>
        </w:rPr>
        <w:t xml:space="preserve">                   </w:t>
      </w:r>
    </w:p>
    <w:p>
      <w:pPr>
        <w:spacing w:line="360" w:lineRule="auto"/>
        <w:rPr>
          <w:rFonts w:ascii="宋体" w:hAnsi="宋体"/>
          <w:b/>
          <w:color w:val="auto"/>
          <w:sz w:val="24"/>
          <w:highlight w:val="none"/>
          <w:u w:val="single"/>
        </w:rPr>
      </w:pPr>
      <w:r>
        <w:rPr>
          <w:rFonts w:hint="eastAsia" w:ascii="宋体" w:hAnsi="宋体"/>
          <w:b/>
          <w:color w:val="auto"/>
          <w:sz w:val="24"/>
          <w:highlight w:val="none"/>
        </w:rPr>
        <w:t>乙</w:t>
      </w:r>
      <w:r>
        <w:rPr>
          <w:rFonts w:hint="eastAsia" w:ascii="宋体" w:hAnsi="宋体"/>
          <w:color w:val="auto"/>
          <w:sz w:val="24"/>
          <w:highlight w:val="none"/>
        </w:rPr>
        <w:t xml:space="preserve">  </w:t>
      </w:r>
      <w:r>
        <w:rPr>
          <w:rFonts w:hint="eastAsia" w:ascii="宋体" w:hAnsi="宋体"/>
          <w:b/>
          <w:color w:val="auto"/>
          <w:sz w:val="24"/>
          <w:highlight w:val="none"/>
        </w:rPr>
        <w:t>方：</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电  话：</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地  址：</w:t>
      </w:r>
      <w:r>
        <w:rPr>
          <w:rFonts w:ascii="宋体" w:hAnsi="宋体" w:cs="FangSong_GB2312,Bold"/>
          <w:b/>
          <w:bCs/>
          <w:color w:val="auto"/>
          <w:kern w:val="0"/>
          <w:sz w:val="24"/>
          <w:highlight w:val="none"/>
          <w:u w:val="single"/>
        </w:rPr>
        <w:t xml:space="preserve">                             </w:t>
      </w:r>
    </w:p>
    <w:p>
      <w:pPr>
        <w:spacing w:line="360" w:lineRule="auto"/>
        <w:rPr>
          <w:color w:val="auto"/>
          <w:sz w:val="24"/>
          <w:highlight w:val="none"/>
        </w:rPr>
      </w:pPr>
      <w:r>
        <w:rPr>
          <w:rFonts w:hint="eastAsia" w:ascii="宋体" w:hAnsi="宋体" w:cs="宋体"/>
          <w:color w:val="auto"/>
          <w:sz w:val="24"/>
          <w:highlight w:val="none"/>
        </w:rPr>
        <w:t xml:space="preserve">     </w:t>
      </w:r>
      <w:r>
        <w:rPr>
          <w:rFonts w:hint="eastAsia"/>
          <w:color w:val="auto"/>
          <w:sz w:val="24"/>
          <w:highlight w:val="none"/>
        </w:rPr>
        <w:t>根据</w:t>
      </w:r>
      <w:r>
        <w:rPr>
          <w:rFonts w:hint="eastAsia" w:ascii="宋体" w:hAnsi="宋体"/>
          <w:b/>
          <w:color w:val="auto"/>
          <w:sz w:val="24"/>
          <w:highlight w:val="none"/>
          <w:u w:val="single"/>
        </w:rPr>
        <w:t>国家税务总局罗定市税务局及下属税务分局物业管理服务</w:t>
      </w:r>
      <w:r>
        <w:rPr>
          <w:rFonts w:ascii="宋体" w:hAnsi="宋体" w:cs="FangSong_GB2312,Bold"/>
          <w:b/>
          <w:bCs/>
          <w:color w:val="auto"/>
          <w:kern w:val="0"/>
          <w:sz w:val="24"/>
          <w:highlight w:val="none"/>
          <w:u w:val="single"/>
        </w:rPr>
        <w:t xml:space="preserve"> </w:t>
      </w:r>
      <w:r>
        <w:rPr>
          <w:rFonts w:hint="eastAsia"/>
          <w:color w:val="auto"/>
          <w:sz w:val="24"/>
          <w:highlight w:val="none"/>
        </w:rPr>
        <w:t>项目的采购结果，按照《中华人民共和国政府采购法》、《中华人民共和国民法典》的规定，经双方协商，本着平等互利和诚实信用的原则，一致同意签订本合同如下。</w:t>
      </w:r>
    </w:p>
    <w:p>
      <w:pPr>
        <w:numPr>
          <w:ilvl w:val="0"/>
          <w:numId w:val="31"/>
        </w:numPr>
        <w:spacing w:line="360" w:lineRule="auto"/>
        <w:ind w:left="420" w:leftChars="200"/>
        <w:rPr>
          <w:b/>
          <w:bCs/>
          <w:color w:val="auto"/>
          <w:sz w:val="24"/>
          <w:highlight w:val="none"/>
        </w:rPr>
      </w:pPr>
      <w:r>
        <w:rPr>
          <w:rFonts w:hint="eastAsia"/>
          <w:b/>
          <w:bCs/>
          <w:color w:val="auto"/>
          <w:sz w:val="24"/>
          <w:highlight w:val="none"/>
        </w:rPr>
        <w:t>项目主要内容及实现功能目标：</w:t>
      </w:r>
    </w:p>
    <w:p>
      <w:pPr>
        <w:spacing w:line="360" w:lineRule="auto"/>
        <w:ind w:firstLine="480" w:firstLineChars="200"/>
        <w:rPr>
          <w:color w:val="auto"/>
          <w:sz w:val="24"/>
          <w:highlight w:val="none"/>
        </w:rPr>
      </w:pPr>
      <w:r>
        <w:rPr>
          <w:rFonts w:hint="eastAsia"/>
          <w:color w:val="auto"/>
          <w:sz w:val="24"/>
          <w:highlight w:val="none"/>
        </w:rPr>
        <w:t>包括</w:t>
      </w:r>
      <w:r>
        <w:rPr>
          <w:color w:val="auto"/>
          <w:sz w:val="24"/>
          <w:highlight w:val="none"/>
        </w:rPr>
        <w:t>但不限于</w:t>
      </w:r>
      <w:r>
        <w:rPr>
          <w:rFonts w:hint="eastAsia"/>
          <w:color w:val="auto"/>
          <w:sz w:val="24"/>
          <w:highlight w:val="none"/>
        </w:rPr>
        <w:t>保安服务、保洁服务、会务接待服务等，</w:t>
      </w:r>
      <w:r>
        <w:rPr>
          <w:color w:val="auto"/>
          <w:sz w:val="24"/>
          <w:highlight w:val="none"/>
        </w:rPr>
        <w:t>详见</w:t>
      </w:r>
      <w:r>
        <w:rPr>
          <w:rFonts w:hint="eastAsia"/>
          <w:color w:val="auto"/>
          <w:sz w:val="24"/>
          <w:highlight w:val="none"/>
        </w:rPr>
        <w:t>本项目附件（附件一、附件二）。</w:t>
      </w:r>
    </w:p>
    <w:p>
      <w:pPr>
        <w:spacing w:line="360" w:lineRule="auto"/>
        <w:ind w:left="420" w:leftChars="200"/>
        <w:rPr>
          <w:b/>
          <w:bCs/>
          <w:color w:val="auto"/>
          <w:sz w:val="24"/>
          <w:highlight w:val="none"/>
        </w:rPr>
      </w:pPr>
      <w:r>
        <w:rPr>
          <w:rFonts w:hint="eastAsia"/>
          <w:b/>
          <w:bCs/>
          <w:color w:val="auto"/>
          <w:sz w:val="24"/>
          <w:highlight w:val="none"/>
        </w:rPr>
        <w:t>二、服务供应清单：见附件三。</w:t>
      </w:r>
    </w:p>
    <w:p>
      <w:pPr>
        <w:spacing w:line="360" w:lineRule="auto"/>
        <w:ind w:left="420" w:leftChars="200"/>
        <w:rPr>
          <w:b/>
          <w:bCs/>
          <w:color w:val="auto"/>
          <w:sz w:val="24"/>
          <w:highlight w:val="none"/>
        </w:rPr>
      </w:pPr>
      <w:r>
        <w:rPr>
          <w:rFonts w:hint="eastAsia"/>
          <w:b/>
          <w:bCs/>
          <w:color w:val="auto"/>
          <w:sz w:val="24"/>
          <w:highlight w:val="none"/>
        </w:rPr>
        <w:t>三、基本合同条款一览表</w:t>
      </w:r>
    </w:p>
    <w:p>
      <w:pPr>
        <w:spacing w:line="360" w:lineRule="auto"/>
        <w:ind w:firstLine="480" w:firstLineChars="200"/>
        <w:rPr>
          <w:color w:val="auto"/>
          <w:sz w:val="24"/>
          <w:highlight w:val="none"/>
        </w:rPr>
      </w:pPr>
      <w:r>
        <w:rPr>
          <w:rFonts w:hint="eastAsia"/>
          <w:color w:val="auto"/>
          <w:sz w:val="24"/>
          <w:highlight w:val="none"/>
        </w:rPr>
        <w:t>本项目商务通用条款一览表（中标服务期内）</w:t>
      </w:r>
    </w:p>
    <w:p>
      <w:pPr>
        <w:numPr>
          <w:ilvl w:val="0"/>
          <w:numId w:val="32"/>
        </w:numPr>
        <w:spacing w:line="360" w:lineRule="auto"/>
        <w:ind w:firstLine="480" w:firstLineChars="200"/>
        <w:rPr>
          <w:color w:val="auto"/>
          <w:sz w:val="24"/>
          <w:highlight w:val="none"/>
        </w:rPr>
      </w:pPr>
      <w:r>
        <w:rPr>
          <w:rFonts w:hint="eastAsia"/>
          <w:color w:val="auto"/>
          <w:sz w:val="24"/>
          <w:highlight w:val="none"/>
        </w:rPr>
        <w:t xml:space="preserve">中标总金额：人民币  小写：     元，大写：   </w:t>
      </w:r>
      <w:r>
        <w:rPr>
          <w:rFonts w:hint="eastAsia" w:ascii="宋体" w:hAnsi="宋体" w:cs="宋体"/>
          <w:color w:val="auto"/>
          <w:sz w:val="24"/>
          <w:highlight w:val="none"/>
        </w:rPr>
        <w:t>元</w:t>
      </w:r>
      <w:r>
        <w:rPr>
          <w:rFonts w:hint="eastAsia"/>
          <w:color w:val="auto"/>
          <w:sz w:val="24"/>
          <w:highlight w:val="none"/>
        </w:rPr>
        <w:t xml:space="preserve">      </w:t>
      </w:r>
    </w:p>
    <w:p>
      <w:pPr>
        <w:numPr>
          <w:ilvl w:val="0"/>
          <w:numId w:val="32"/>
        </w:numPr>
        <w:spacing w:line="360" w:lineRule="auto"/>
        <w:ind w:firstLine="480" w:firstLineChars="200"/>
        <w:rPr>
          <w:color w:val="auto"/>
          <w:sz w:val="24"/>
          <w:highlight w:val="none"/>
        </w:rPr>
      </w:pPr>
      <w:r>
        <w:rPr>
          <w:rFonts w:hint="eastAsia"/>
          <w:color w:val="auto"/>
          <w:sz w:val="24"/>
          <w:highlight w:val="none"/>
        </w:rPr>
        <w:t>合同金额组成：</w:t>
      </w:r>
      <w:r>
        <w:rPr>
          <w:rFonts w:hint="eastAsia" w:ascii="宋体" w:hAnsi="宋体" w:cs="宋体"/>
          <w:color w:val="auto"/>
          <w:sz w:val="24"/>
          <w:highlight w:val="none"/>
        </w:rPr>
        <w:t>合同金额为完成本次服务项目的全部费用价格，包含但不限于其派出人员的工资、福利、补助、管理费用、相关税费、劳保、培训、服装、吃、住、加班费、高温等恶劣环境作业费、离职补偿费、办公经费和差旅费等费用及合同签订过程中可预见和不可预见费用等完成本项目所需的所有成本与费用。</w:t>
      </w:r>
    </w:p>
    <w:p>
      <w:pPr>
        <w:numPr>
          <w:ilvl w:val="0"/>
          <w:numId w:val="32"/>
        </w:numPr>
        <w:spacing w:line="360" w:lineRule="auto"/>
        <w:ind w:firstLine="480" w:firstLineChars="200"/>
        <w:rPr>
          <w:color w:val="auto"/>
          <w:sz w:val="24"/>
          <w:highlight w:val="none"/>
        </w:rPr>
      </w:pPr>
      <w:r>
        <w:rPr>
          <w:rFonts w:hint="eastAsia" w:ascii="宋体" w:hAnsi="宋体" w:cs="宋体"/>
          <w:color w:val="auto"/>
          <w:sz w:val="24"/>
          <w:highlight w:val="none"/>
        </w:rPr>
        <w:t>项目服务地点：甲方指定地点</w:t>
      </w:r>
    </w:p>
    <w:p>
      <w:pPr>
        <w:numPr>
          <w:ilvl w:val="0"/>
          <w:numId w:val="32"/>
        </w:numPr>
        <w:spacing w:line="360" w:lineRule="auto"/>
        <w:ind w:firstLine="480" w:firstLineChars="200"/>
        <w:rPr>
          <w:color w:val="auto"/>
          <w:sz w:val="24"/>
          <w:highlight w:val="none"/>
        </w:rPr>
      </w:pPr>
      <w:r>
        <w:rPr>
          <w:rFonts w:hint="eastAsia" w:ascii="宋体" w:hAnsi="宋体" w:cs="宋体"/>
          <w:color w:val="auto"/>
          <w:sz w:val="24"/>
          <w:highlight w:val="none"/>
        </w:rPr>
        <w:t>服务范围：具体详见合同附件及招标文件中各</w:t>
      </w:r>
      <w:r>
        <w:rPr>
          <w:rFonts w:ascii="宋体" w:hAnsi="宋体" w:cs="宋体"/>
          <w:color w:val="auto"/>
          <w:sz w:val="24"/>
          <w:highlight w:val="none"/>
        </w:rPr>
        <w:t>包组</w:t>
      </w:r>
      <w:r>
        <w:rPr>
          <w:rFonts w:hint="eastAsia" w:ascii="宋体" w:hAnsi="宋体" w:cs="宋体"/>
          <w:color w:val="auto"/>
          <w:sz w:val="24"/>
          <w:highlight w:val="none"/>
        </w:rPr>
        <w:t>服务内容</w:t>
      </w:r>
    </w:p>
    <w:p>
      <w:pPr>
        <w:numPr>
          <w:ilvl w:val="0"/>
          <w:numId w:val="32"/>
        </w:numPr>
        <w:spacing w:line="360" w:lineRule="auto"/>
        <w:ind w:firstLine="480" w:firstLineChars="200"/>
        <w:rPr>
          <w:color w:val="auto"/>
          <w:sz w:val="24"/>
          <w:highlight w:val="none"/>
        </w:rPr>
      </w:pPr>
      <w:r>
        <w:rPr>
          <w:rFonts w:hint="eastAsia" w:ascii="宋体" w:hAnsi="宋体" w:cs="宋体"/>
          <w:color w:val="auto"/>
          <w:sz w:val="24"/>
          <w:highlight w:val="none"/>
        </w:rPr>
        <w:t>合同签订方式：项目服务</w:t>
      </w:r>
      <w:r>
        <w:rPr>
          <w:rFonts w:ascii="宋体" w:hAnsi="宋体" w:cs="宋体"/>
          <w:color w:val="auto"/>
          <w:sz w:val="24"/>
          <w:highlight w:val="none"/>
        </w:rPr>
        <w:t>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年，合同期限一年。</w:t>
      </w:r>
    </w:p>
    <w:p>
      <w:pPr>
        <w:numPr>
          <w:ilvl w:val="0"/>
          <w:numId w:val="32"/>
        </w:numPr>
        <w:spacing w:line="360" w:lineRule="auto"/>
        <w:ind w:firstLine="480" w:firstLineChars="200"/>
        <w:rPr>
          <w:color w:val="auto"/>
          <w:sz w:val="24"/>
          <w:highlight w:val="none"/>
        </w:rPr>
      </w:pPr>
      <w:r>
        <w:rPr>
          <w:rFonts w:hint="eastAsia" w:ascii="宋体" w:hAnsi="宋体" w:cs="宋体"/>
          <w:color w:val="auto"/>
          <w:sz w:val="24"/>
          <w:highlight w:val="none"/>
        </w:rPr>
        <w:t>服务期：   年   月   日至     年   月   日</w:t>
      </w:r>
    </w:p>
    <w:p>
      <w:pPr>
        <w:numPr>
          <w:ilvl w:val="0"/>
          <w:numId w:val="32"/>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付款方式：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（1）乙方应于每月10日前与甲方共同核实上月实际发生项目费用，当月支付上月的物业管理服务费。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（2）乙方凭以下有效文件与甲方结算：</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①</w:t>
      </w:r>
      <w:r>
        <w:rPr>
          <w:rFonts w:hint="eastAsia" w:ascii="宋体" w:hAnsi="宋体" w:cs="宋体"/>
          <w:color w:val="auto"/>
          <w:sz w:val="24"/>
          <w:highlight w:val="none"/>
        </w:rPr>
        <w:t>合同；</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②</w:t>
      </w:r>
      <w:r>
        <w:rPr>
          <w:rFonts w:hint="eastAsia" w:ascii="宋体" w:hAnsi="宋体" w:cs="宋体"/>
          <w:color w:val="auto"/>
          <w:sz w:val="24"/>
          <w:highlight w:val="none"/>
        </w:rPr>
        <w:t>乙方开具的正式发票；</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③</w:t>
      </w:r>
      <w:r>
        <w:rPr>
          <w:rFonts w:hint="eastAsia" w:ascii="宋体" w:hAnsi="宋体" w:cs="宋体"/>
          <w:color w:val="auto"/>
          <w:sz w:val="24"/>
          <w:highlight w:val="none"/>
        </w:rPr>
        <w:t>中标通知书；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④验收/成果报告等甲方要求的其他相关结算资料。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（3）甲方在收到乙方发票后30日内办理支付申请手续（不含甲方审核的时间），在规定时间内提出支付申请手续后即视为甲方已经按期支付。</w:t>
      </w:r>
    </w:p>
    <w:p>
      <w:pPr>
        <w:numPr>
          <w:ilvl w:val="0"/>
          <w:numId w:val="32"/>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项目交接时间要求：</w:t>
      </w:r>
      <w:r>
        <w:rPr>
          <w:rFonts w:hint="eastAsia"/>
          <w:color w:val="auto"/>
          <w:sz w:val="24"/>
          <w:highlight w:val="none"/>
        </w:rPr>
        <w:t>乙方在签订合同后一个月内，与原有物业公司完成各项交接。</w:t>
      </w:r>
    </w:p>
    <w:p>
      <w:pPr>
        <w:numPr>
          <w:ilvl w:val="0"/>
          <w:numId w:val="32"/>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物业服务质量要求：</w:t>
      </w:r>
      <w:r>
        <w:rPr>
          <w:rFonts w:hint="eastAsia"/>
          <w:color w:val="auto"/>
          <w:sz w:val="24"/>
          <w:highlight w:val="none"/>
        </w:rPr>
        <w:t>合同（包括所有附件）有约定的按合同约定执行，无约定按《物业管理条例》、《广东省物业管理条例》以及国家和地方政府的有关规定、行业标准执行。</w:t>
      </w:r>
    </w:p>
    <w:p>
      <w:pPr>
        <w:spacing w:line="360" w:lineRule="auto"/>
        <w:ind w:left="420" w:leftChars="200"/>
        <w:rPr>
          <w:b/>
          <w:bCs/>
          <w:color w:val="auto"/>
          <w:sz w:val="24"/>
          <w:highlight w:val="none"/>
        </w:rPr>
      </w:pPr>
      <w:r>
        <w:rPr>
          <w:rFonts w:hint="eastAsia"/>
          <w:b/>
          <w:bCs/>
          <w:color w:val="auto"/>
          <w:sz w:val="24"/>
          <w:highlight w:val="none"/>
        </w:rPr>
        <w:t>四、其他事项：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提供保安服务的人员应符合《保安服务管理条例》规定的保安员条件及相关规定。</w:t>
      </w:r>
    </w:p>
    <w:p>
      <w:pPr>
        <w:spacing w:line="360" w:lineRule="auto"/>
        <w:ind w:left="420" w:leftChars="200"/>
        <w:rPr>
          <w:b/>
          <w:bCs/>
          <w:color w:val="auto"/>
          <w:sz w:val="24"/>
          <w:highlight w:val="none"/>
        </w:rPr>
      </w:pPr>
      <w:r>
        <w:rPr>
          <w:rFonts w:hint="eastAsia"/>
          <w:b/>
          <w:bCs/>
          <w:color w:val="auto"/>
          <w:sz w:val="24"/>
          <w:highlight w:val="none"/>
        </w:rPr>
        <w:t>五、项目管理质量要求：</w:t>
      </w:r>
    </w:p>
    <w:p>
      <w:pPr>
        <w:spacing w:line="360" w:lineRule="auto"/>
        <w:ind w:left="425"/>
        <w:rPr>
          <w:rFonts w:ascii="宋体" w:hAnsi="宋体" w:cs="宋体"/>
          <w:color w:val="auto"/>
          <w:sz w:val="24"/>
          <w:highlight w:val="none"/>
        </w:rPr>
      </w:pPr>
      <w:r>
        <w:rPr>
          <w:rFonts w:hint="eastAsia" w:ascii="宋体" w:hAnsi="宋体" w:cs="宋体"/>
          <w:color w:val="auto"/>
          <w:sz w:val="24"/>
          <w:highlight w:val="none"/>
        </w:rPr>
        <w:t>乙方应牢固树立对外形象，对内抓管理的工作理念，按相关规定及时完成服务需求。</w:t>
      </w:r>
    </w:p>
    <w:p>
      <w:pPr>
        <w:spacing w:line="360" w:lineRule="auto"/>
        <w:ind w:left="420" w:leftChars="200"/>
        <w:rPr>
          <w:b/>
          <w:bCs/>
          <w:color w:val="auto"/>
          <w:sz w:val="24"/>
          <w:highlight w:val="none"/>
        </w:rPr>
      </w:pPr>
      <w:r>
        <w:rPr>
          <w:rFonts w:hint="eastAsia"/>
          <w:b/>
          <w:bCs/>
          <w:color w:val="auto"/>
          <w:sz w:val="24"/>
          <w:highlight w:val="none"/>
        </w:rPr>
        <w:t>六、质量及安全文明要求：</w:t>
      </w:r>
    </w:p>
    <w:p>
      <w:pPr>
        <w:numPr>
          <w:ilvl w:val="0"/>
          <w:numId w:val="33"/>
        </w:numPr>
        <w:spacing w:line="360" w:lineRule="auto"/>
        <w:ind w:left="0" w:firstLine="425"/>
        <w:rPr>
          <w:rFonts w:ascii="宋体" w:hAnsi="宋体" w:cs="宋体"/>
          <w:color w:val="auto"/>
          <w:sz w:val="24"/>
          <w:highlight w:val="none"/>
        </w:rPr>
      </w:pPr>
      <w:r>
        <w:rPr>
          <w:rFonts w:hint="eastAsia" w:ascii="宋体" w:hAnsi="宋体" w:cs="宋体"/>
          <w:color w:val="auto"/>
          <w:sz w:val="24"/>
          <w:highlight w:val="none"/>
        </w:rPr>
        <w:t>乙方须做好物业管理服务人员的安全教育培训和安全措施，保证员工的安全，乙方的员工在甲方委托的物业范围内发生的事故及侵害、违法、违规、犯罪等行为，一切后果和责任依法由乙方承担。</w:t>
      </w:r>
    </w:p>
    <w:p>
      <w:pPr>
        <w:numPr>
          <w:ilvl w:val="0"/>
          <w:numId w:val="33"/>
        </w:numPr>
        <w:spacing w:line="360" w:lineRule="auto"/>
        <w:ind w:left="0" w:firstLine="425"/>
        <w:rPr>
          <w:rFonts w:ascii="宋体" w:hAnsi="宋体" w:cs="宋体"/>
          <w:color w:val="auto"/>
          <w:sz w:val="24"/>
          <w:highlight w:val="none"/>
        </w:rPr>
      </w:pPr>
      <w:r>
        <w:rPr>
          <w:rFonts w:hint="eastAsia" w:ascii="宋体" w:hAnsi="宋体" w:cs="宋体"/>
          <w:color w:val="auto"/>
          <w:sz w:val="24"/>
          <w:highlight w:val="none"/>
        </w:rPr>
        <w:t>乙方在本项目合同执行期间，在服务范围内须保证无管理瑕疵导致刑事治安案件，无消防责任事故，无机械设备操作责任事故。</w:t>
      </w:r>
    </w:p>
    <w:p>
      <w:pPr>
        <w:spacing w:line="360" w:lineRule="auto"/>
        <w:ind w:left="420" w:leftChars="200"/>
        <w:rPr>
          <w:b/>
          <w:bCs/>
          <w:color w:val="auto"/>
          <w:sz w:val="24"/>
          <w:highlight w:val="none"/>
        </w:rPr>
      </w:pPr>
      <w:r>
        <w:rPr>
          <w:rFonts w:hint="eastAsia"/>
          <w:b/>
          <w:bCs/>
          <w:color w:val="auto"/>
          <w:sz w:val="24"/>
          <w:highlight w:val="none"/>
        </w:rPr>
        <w:t>七、组织管理要求：</w:t>
      </w:r>
    </w:p>
    <w:p>
      <w:pPr>
        <w:numPr>
          <w:ilvl w:val="0"/>
          <w:numId w:val="34"/>
        </w:numPr>
        <w:spacing w:line="360" w:lineRule="auto"/>
        <w:ind w:left="0" w:firstLine="425"/>
        <w:rPr>
          <w:rFonts w:ascii="宋体" w:hAnsi="宋体" w:cs="宋体"/>
          <w:color w:val="auto"/>
          <w:sz w:val="24"/>
          <w:highlight w:val="none"/>
        </w:rPr>
      </w:pPr>
      <w:r>
        <w:rPr>
          <w:rFonts w:hint="eastAsia" w:ascii="宋体" w:hAnsi="宋体" w:cs="宋体"/>
          <w:color w:val="auto"/>
          <w:sz w:val="24"/>
          <w:highlight w:val="none"/>
        </w:rPr>
        <w:t>乙方应根据有关法律法规及本项目合同的约定，结合各岗位的特点制定物业管理制度、工作规程、考核办法和实施细则。</w:t>
      </w:r>
    </w:p>
    <w:p>
      <w:pPr>
        <w:numPr>
          <w:ilvl w:val="0"/>
          <w:numId w:val="34"/>
        </w:numPr>
        <w:spacing w:line="360" w:lineRule="auto"/>
        <w:ind w:left="0" w:firstLine="425"/>
        <w:rPr>
          <w:rFonts w:ascii="宋体" w:hAnsi="宋体" w:cs="宋体"/>
          <w:color w:val="auto"/>
          <w:sz w:val="24"/>
          <w:highlight w:val="none"/>
        </w:rPr>
      </w:pPr>
      <w:r>
        <w:rPr>
          <w:rFonts w:hint="eastAsia" w:ascii="宋体" w:hAnsi="宋体" w:cs="宋体"/>
          <w:color w:val="auto"/>
          <w:sz w:val="24"/>
          <w:highlight w:val="none"/>
        </w:rPr>
        <w:t>乙方严格按照甲方要求及乙方投标文件中承诺的配备有相关岗位经验和足够数量的工作人员，且全部人员按国家规定购买相应的社会保险，发放节日补助。乙方按照国家规定和劳动合同的约定向工作人员及时足额支付劳动报酬，一切劳动合同及产生的劳务纠纷均由乙方负责。如乙方人员因劳动纠纷原因对甲方造成损失的，甲方有权扣减物业管理费用作为抵偿。</w:t>
      </w:r>
    </w:p>
    <w:p>
      <w:pPr>
        <w:numPr>
          <w:ilvl w:val="0"/>
          <w:numId w:val="34"/>
        </w:numPr>
        <w:spacing w:line="360" w:lineRule="auto"/>
        <w:ind w:left="0" w:firstLine="425"/>
        <w:rPr>
          <w:rFonts w:ascii="宋体" w:hAnsi="宋体" w:cs="宋体"/>
          <w:color w:val="auto"/>
          <w:sz w:val="24"/>
          <w:highlight w:val="none"/>
        </w:rPr>
      </w:pPr>
      <w:r>
        <w:rPr>
          <w:rFonts w:hint="eastAsia" w:ascii="宋体" w:hAnsi="宋体" w:cs="宋体"/>
          <w:color w:val="auto"/>
          <w:sz w:val="24"/>
          <w:highlight w:val="none"/>
        </w:rPr>
        <w:t>乙方应保证各部门人员接受培训学习后有持续的服务时限，避免核心技术人员流失严重影响服务质量。</w:t>
      </w:r>
    </w:p>
    <w:p>
      <w:pPr>
        <w:numPr>
          <w:ilvl w:val="0"/>
          <w:numId w:val="34"/>
        </w:numPr>
        <w:spacing w:line="360" w:lineRule="auto"/>
        <w:ind w:left="0" w:firstLine="425"/>
        <w:rPr>
          <w:rFonts w:ascii="宋体" w:hAnsi="宋体" w:cs="宋体"/>
          <w:color w:val="auto"/>
          <w:sz w:val="24"/>
          <w:highlight w:val="none"/>
        </w:rPr>
      </w:pPr>
      <w:r>
        <w:rPr>
          <w:rFonts w:hint="eastAsia" w:ascii="宋体" w:hAnsi="宋体" w:cs="宋体"/>
          <w:color w:val="auto"/>
          <w:sz w:val="24"/>
          <w:highlight w:val="none"/>
        </w:rPr>
        <w:t>乙方对甲方委托的物业设施不得擅自占用和改变其使用功能。</w:t>
      </w:r>
    </w:p>
    <w:p>
      <w:pPr>
        <w:numPr>
          <w:ilvl w:val="0"/>
          <w:numId w:val="34"/>
        </w:numPr>
        <w:spacing w:line="360" w:lineRule="auto"/>
        <w:ind w:left="0" w:firstLine="425"/>
        <w:rPr>
          <w:rFonts w:ascii="宋体" w:hAnsi="宋体" w:cs="宋体"/>
          <w:color w:val="auto"/>
          <w:sz w:val="24"/>
          <w:highlight w:val="none"/>
        </w:rPr>
      </w:pPr>
      <w:r>
        <w:rPr>
          <w:rFonts w:hint="eastAsia" w:ascii="宋体" w:hAnsi="宋体" w:cs="宋体"/>
          <w:color w:val="auto"/>
          <w:sz w:val="24"/>
          <w:highlight w:val="none"/>
        </w:rPr>
        <w:t>乙方应遵守甲方的规章制度和管理规定，不得损害甲方的利益，一切管理服务工作的实施，必须以服从服务于甲方工作需要为前提，以方便甲方为原则，避免因实施不当给甲方造成不利的影响；如乙方制定的管理制度与甲方的规章制度有抵触的，应以甲方的规章制度为依据进行合理调整，调整方案报甲方审核后方可实施。</w:t>
      </w:r>
    </w:p>
    <w:p>
      <w:pPr>
        <w:numPr>
          <w:ilvl w:val="0"/>
          <w:numId w:val="34"/>
        </w:numPr>
        <w:spacing w:line="360" w:lineRule="auto"/>
        <w:ind w:left="0" w:firstLine="425"/>
        <w:rPr>
          <w:rFonts w:ascii="宋体" w:hAnsi="宋体" w:cs="宋体"/>
          <w:color w:val="auto"/>
          <w:sz w:val="24"/>
          <w:highlight w:val="none"/>
        </w:rPr>
      </w:pPr>
      <w:r>
        <w:rPr>
          <w:rFonts w:hint="eastAsia" w:ascii="宋体" w:hAnsi="宋体" w:cs="宋体"/>
          <w:color w:val="auto"/>
          <w:sz w:val="24"/>
          <w:highlight w:val="none"/>
        </w:rPr>
        <w:t>乙方若使用甲方提供的房屋、设备物品和其他资料，应配合甲方做好交接登记，登记文书一式两份，盖章签收，乙方和甲方双方各执一份，乙方对甲方提供的设施设备负有保管责任，如有遗失损坏，按物品原价赔偿。</w:t>
      </w:r>
    </w:p>
    <w:p>
      <w:pPr>
        <w:numPr>
          <w:ilvl w:val="0"/>
          <w:numId w:val="34"/>
        </w:numPr>
        <w:spacing w:line="360" w:lineRule="auto"/>
        <w:ind w:left="0" w:firstLine="425"/>
        <w:rPr>
          <w:rFonts w:ascii="宋体" w:hAnsi="宋体" w:cs="宋体"/>
          <w:color w:val="auto"/>
          <w:sz w:val="24"/>
          <w:highlight w:val="none"/>
        </w:rPr>
      </w:pPr>
      <w:r>
        <w:rPr>
          <w:rFonts w:hint="eastAsia" w:ascii="宋体" w:hAnsi="宋体" w:cs="宋体"/>
          <w:color w:val="auto"/>
          <w:sz w:val="24"/>
          <w:highlight w:val="none"/>
        </w:rPr>
        <w:t>本项目合同终止时，乙方必须5日内无条件向甲方移交全部物业管理档案资料。</w:t>
      </w:r>
    </w:p>
    <w:p>
      <w:pPr>
        <w:spacing w:line="360" w:lineRule="auto"/>
        <w:ind w:left="420" w:leftChars="200"/>
        <w:rPr>
          <w:b/>
          <w:bCs/>
          <w:color w:val="auto"/>
          <w:sz w:val="24"/>
          <w:highlight w:val="none"/>
        </w:rPr>
      </w:pPr>
      <w:r>
        <w:rPr>
          <w:rFonts w:hint="eastAsia"/>
          <w:b/>
          <w:bCs/>
          <w:color w:val="auto"/>
          <w:sz w:val="24"/>
          <w:highlight w:val="none"/>
        </w:rPr>
        <w:t>八、物业管理服务对照执行标准：</w:t>
      </w:r>
    </w:p>
    <w:p>
      <w:pPr>
        <w:numPr>
          <w:ilvl w:val="0"/>
          <w:numId w:val="35"/>
        </w:numPr>
        <w:spacing w:line="360" w:lineRule="auto"/>
        <w:ind w:left="0" w:firstLine="425"/>
        <w:rPr>
          <w:rFonts w:ascii="宋体" w:hAnsi="宋体" w:cs="宋体"/>
          <w:color w:val="auto"/>
          <w:sz w:val="24"/>
          <w:highlight w:val="none"/>
        </w:rPr>
      </w:pPr>
      <w:r>
        <w:rPr>
          <w:rFonts w:hint="eastAsia" w:ascii="宋体" w:hAnsi="宋体" w:cs="宋体"/>
          <w:color w:val="auto"/>
          <w:sz w:val="24"/>
          <w:highlight w:val="none"/>
        </w:rPr>
        <w:t>符合国家《物业管理条例》、《广东省物业管理条例》、《保安服务管理条例》；</w:t>
      </w:r>
    </w:p>
    <w:p>
      <w:pPr>
        <w:numPr>
          <w:ilvl w:val="0"/>
          <w:numId w:val="35"/>
        </w:numPr>
        <w:spacing w:line="360" w:lineRule="auto"/>
        <w:ind w:left="0" w:firstLine="425"/>
        <w:rPr>
          <w:rFonts w:ascii="宋体" w:hAnsi="宋体" w:cs="宋体"/>
          <w:color w:val="auto"/>
          <w:sz w:val="24"/>
          <w:highlight w:val="none"/>
        </w:rPr>
      </w:pPr>
      <w:r>
        <w:rPr>
          <w:rFonts w:hint="eastAsia" w:ascii="宋体" w:hAnsi="宋体" w:cs="宋体"/>
          <w:color w:val="auto"/>
          <w:sz w:val="24"/>
          <w:highlight w:val="none"/>
        </w:rPr>
        <w:t>符合中华人民共和国国家和履约地相关安全质量标准、行业技术规范标准；</w:t>
      </w:r>
    </w:p>
    <w:p>
      <w:pPr>
        <w:numPr>
          <w:ilvl w:val="0"/>
          <w:numId w:val="35"/>
        </w:numPr>
        <w:spacing w:line="360" w:lineRule="auto"/>
        <w:ind w:left="0" w:firstLine="425"/>
        <w:rPr>
          <w:rFonts w:ascii="宋体" w:hAnsi="宋体" w:cs="宋体"/>
          <w:color w:val="auto"/>
          <w:sz w:val="24"/>
          <w:highlight w:val="none"/>
        </w:rPr>
      </w:pPr>
      <w:r>
        <w:rPr>
          <w:rFonts w:hint="eastAsia" w:ascii="宋体" w:hAnsi="宋体" w:cs="宋体"/>
          <w:color w:val="auto"/>
          <w:sz w:val="24"/>
          <w:highlight w:val="none"/>
        </w:rPr>
        <w:t>符合采购文件和响应承诺中各方共同认可的合理要求；</w:t>
      </w:r>
    </w:p>
    <w:p>
      <w:pPr>
        <w:numPr>
          <w:ilvl w:val="0"/>
          <w:numId w:val="35"/>
        </w:numPr>
        <w:spacing w:line="360" w:lineRule="auto"/>
        <w:ind w:left="0" w:firstLine="425"/>
        <w:rPr>
          <w:rFonts w:ascii="宋体" w:hAnsi="宋体" w:cs="宋体"/>
          <w:color w:val="auto"/>
          <w:sz w:val="24"/>
          <w:highlight w:val="none"/>
        </w:rPr>
      </w:pPr>
      <w:r>
        <w:rPr>
          <w:rFonts w:hint="eastAsia" w:ascii="宋体" w:hAnsi="宋体" w:cs="宋体"/>
          <w:color w:val="auto"/>
          <w:sz w:val="24"/>
          <w:highlight w:val="none"/>
        </w:rPr>
        <w:t>上述各类标准与法规必须是有关官方机构最新发布的现行标准版本，如规范标准不一致的以最高者为准。</w:t>
      </w:r>
    </w:p>
    <w:p>
      <w:pPr>
        <w:spacing w:line="360" w:lineRule="auto"/>
        <w:ind w:left="420" w:leftChars="200"/>
        <w:rPr>
          <w:b/>
          <w:bCs/>
          <w:color w:val="auto"/>
          <w:sz w:val="24"/>
          <w:highlight w:val="none"/>
        </w:rPr>
      </w:pPr>
      <w:r>
        <w:rPr>
          <w:rFonts w:hint="eastAsia"/>
          <w:b/>
          <w:bCs/>
          <w:color w:val="auto"/>
          <w:sz w:val="24"/>
          <w:highlight w:val="none"/>
        </w:rPr>
        <w:t>九、违约责任：</w:t>
      </w:r>
    </w:p>
    <w:p>
      <w:pPr>
        <w:numPr>
          <w:ilvl w:val="0"/>
          <w:numId w:val="36"/>
        </w:numPr>
        <w:spacing w:line="360" w:lineRule="auto"/>
        <w:ind w:left="0" w:firstLine="425"/>
        <w:rPr>
          <w:rFonts w:ascii="宋体" w:hAnsi="宋体" w:cs="宋体"/>
          <w:color w:val="auto"/>
          <w:sz w:val="24"/>
          <w:highlight w:val="none"/>
        </w:rPr>
      </w:pPr>
      <w:r>
        <w:rPr>
          <w:rFonts w:hint="eastAsia" w:ascii="宋体" w:hAnsi="宋体" w:cs="宋体"/>
          <w:color w:val="auto"/>
          <w:sz w:val="24"/>
          <w:highlight w:val="none"/>
        </w:rPr>
        <w:t>乙方未按要求履行合同义务时，须从违约之日起每日按合同总额的万分之五比例向甲方支付违约金；逾期15日以上时，甲方有权终止合同，乙方需一次性支付本合同总额10%违约金，且由此造成甲方的经济损失由乙方承担。违约金不足以弥补损失的，乙方应按全额赔偿。如因乙方违反本合同约定所需承担的违约金、赔偿金等，甲方有权直接于应付款中扣除。</w:t>
      </w:r>
    </w:p>
    <w:p>
      <w:pPr>
        <w:numPr>
          <w:ilvl w:val="0"/>
          <w:numId w:val="36"/>
        </w:numPr>
        <w:spacing w:line="360" w:lineRule="auto"/>
        <w:ind w:left="0" w:firstLine="425"/>
        <w:rPr>
          <w:rFonts w:ascii="宋体" w:hAnsi="宋体" w:cs="宋体"/>
          <w:color w:val="auto"/>
          <w:sz w:val="24"/>
          <w:highlight w:val="none"/>
        </w:rPr>
      </w:pPr>
      <w:r>
        <w:rPr>
          <w:rFonts w:hint="eastAsia" w:ascii="宋体" w:hAnsi="宋体" w:cs="宋体"/>
          <w:color w:val="auto"/>
          <w:sz w:val="24"/>
          <w:highlight w:val="none"/>
        </w:rPr>
        <w:t>甲方如未按要求履行合同义务时，或无故拖延验收、付款时，乙方有权要求甲方向乙方支付拖欠违约金，标准为每日按逾期应付款总额的万分之五计算，累计不超过应付款总额5%，甲方连续拖欠款项达两个月以上，乙方有权解除协议，并依法追回欠款和违约金。</w:t>
      </w:r>
    </w:p>
    <w:p>
      <w:pPr>
        <w:numPr>
          <w:ilvl w:val="0"/>
          <w:numId w:val="36"/>
        </w:numPr>
        <w:spacing w:line="360" w:lineRule="auto"/>
        <w:ind w:left="0" w:firstLine="425"/>
        <w:rPr>
          <w:rFonts w:ascii="宋体" w:hAnsi="宋体" w:cs="宋体"/>
          <w:color w:val="auto"/>
          <w:sz w:val="24"/>
          <w:highlight w:val="none"/>
        </w:rPr>
      </w:pPr>
      <w:r>
        <w:rPr>
          <w:rFonts w:hint="eastAsia" w:ascii="宋体" w:hAnsi="宋体" w:cs="宋体"/>
          <w:color w:val="auto"/>
          <w:sz w:val="24"/>
          <w:highlight w:val="none"/>
        </w:rPr>
        <w:t>本合同履行过程中一方违约的，违约方应赔偿守约方的损失，包括但不限于律师费、诉讼/仲裁费、公证费、差旅费、保全费、担保保函费等费用。</w:t>
      </w:r>
    </w:p>
    <w:p>
      <w:pPr>
        <w:numPr>
          <w:ilvl w:val="0"/>
          <w:numId w:val="36"/>
        </w:numPr>
        <w:spacing w:line="360" w:lineRule="auto"/>
        <w:ind w:left="0" w:firstLine="425"/>
        <w:rPr>
          <w:rFonts w:ascii="宋体" w:hAnsi="宋体" w:cs="宋体"/>
          <w:color w:val="auto"/>
          <w:sz w:val="24"/>
          <w:highlight w:val="none"/>
        </w:rPr>
      </w:pPr>
      <w:r>
        <w:rPr>
          <w:rFonts w:hint="eastAsia" w:ascii="宋体" w:hAnsi="宋体" w:cs="仿宋_GB2312"/>
          <w:color w:val="auto"/>
          <w:kern w:val="0"/>
          <w:sz w:val="24"/>
          <w:highlight w:val="none"/>
        </w:rPr>
        <w:t>其它违约责任按《中华人民共和国民法典》处理。</w:t>
      </w:r>
    </w:p>
    <w:p>
      <w:pPr>
        <w:spacing w:line="360" w:lineRule="auto"/>
        <w:ind w:left="420" w:leftChars="200"/>
        <w:rPr>
          <w:b/>
          <w:bCs/>
          <w:color w:val="auto"/>
          <w:sz w:val="24"/>
          <w:highlight w:val="none"/>
        </w:rPr>
      </w:pPr>
      <w:r>
        <w:rPr>
          <w:rFonts w:hint="eastAsia"/>
          <w:b/>
          <w:bCs/>
          <w:color w:val="auto"/>
          <w:sz w:val="24"/>
          <w:highlight w:val="none"/>
        </w:rPr>
        <w:t>十、提出异议的时间和方法：</w:t>
      </w:r>
    </w:p>
    <w:p>
      <w:pPr>
        <w:numPr>
          <w:ilvl w:val="0"/>
          <w:numId w:val="37"/>
        </w:numPr>
        <w:spacing w:line="360" w:lineRule="auto"/>
        <w:ind w:left="0" w:firstLine="425"/>
        <w:rPr>
          <w:rFonts w:ascii="宋体" w:hAnsi="宋体" w:cs="宋体"/>
          <w:color w:val="auto"/>
          <w:sz w:val="24"/>
          <w:highlight w:val="none"/>
        </w:rPr>
      </w:pPr>
      <w:r>
        <w:rPr>
          <w:rFonts w:hint="eastAsia" w:ascii="宋体" w:hAnsi="宋体" w:cs="宋体"/>
          <w:color w:val="auto"/>
          <w:sz w:val="24"/>
          <w:highlight w:val="none"/>
        </w:rPr>
        <w:t>甲方有异议时，应向乙方提出整改意见（电话或微信）。甲乙双方各安排一名工作人员进行对接。甲方代表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，微信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；乙方代表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，微信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p>
    <w:p>
      <w:pPr>
        <w:numPr>
          <w:ilvl w:val="0"/>
          <w:numId w:val="37"/>
        </w:numPr>
        <w:spacing w:line="360" w:lineRule="auto"/>
        <w:ind w:left="0" w:firstLine="425"/>
        <w:rPr>
          <w:rFonts w:ascii="宋体" w:hAnsi="宋体" w:cs="宋体"/>
          <w:color w:val="auto"/>
          <w:sz w:val="24"/>
          <w:highlight w:val="none"/>
        </w:rPr>
      </w:pPr>
      <w:r>
        <w:rPr>
          <w:rFonts w:hint="eastAsia" w:ascii="宋体" w:hAnsi="宋体" w:cs="宋体"/>
          <w:color w:val="auto"/>
          <w:sz w:val="24"/>
          <w:highlight w:val="none"/>
        </w:rPr>
        <w:t>乙方在接到甲方异议后，应在3天内负责处理并函复甲方处理情况，否则，即视为默认甲方提出的异议和处理意见。</w:t>
      </w:r>
    </w:p>
    <w:p>
      <w:pPr>
        <w:numPr>
          <w:ilvl w:val="0"/>
          <w:numId w:val="37"/>
        </w:numPr>
        <w:spacing w:line="360" w:lineRule="auto"/>
        <w:ind w:left="0" w:firstLine="425"/>
        <w:rPr>
          <w:rFonts w:ascii="宋体" w:hAnsi="宋体" w:cs="宋体"/>
          <w:color w:val="auto"/>
          <w:sz w:val="24"/>
          <w:highlight w:val="none"/>
        </w:rPr>
      </w:pPr>
      <w:r>
        <w:rPr>
          <w:rFonts w:hint="eastAsia" w:ascii="宋体" w:hAnsi="宋体" w:cs="宋体"/>
          <w:color w:val="auto"/>
          <w:sz w:val="24"/>
          <w:highlight w:val="none"/>
        </w:rPr>
        <w:t>乙方利用专业技术和行业信息优势之便，以不道德的手段，故意隐瞒和掩盖自身过失，违背投标承诺和未尽义务，损害了甲方的合法权益，甲方在任何时候均可追究乙方的违约责任并索取赔偿，且不受验收程序、服务期和合同时效的限制。</w:t>
      </w:r>
    </w:p>
    <w:p>
      <w:pPr>
        <w:spacing w:line="360" w:lineRule="auto"/>
        <w:ind w:left="420" w:leftChars="200"/>
        <w:rPr>
          <w:b/>
          <w:bCs/>
          <w:color w:val="auto"/>
          <w:sz w:val="24"/>
          <w:highlight w:val="none"/>
        </w:rPr>
      </w:pPr>
      <w:r>
        <w:rPr>
          <w:rFonts w:hint="eastAsia"/>
          <w:b/>
          <w:bCs/>
          <w:color w:val="auto"/>
          <w:sz w:val="24"/>
          <w:highlight w:val="none"/>
        </w:rPr>
        <w:t>十一、争议的解决：</w:t>
      </w:r>
    </w:p>
    <w:p>
      <w:pPr>
        <w:numPr>
          <w:ilvl w:val="0"/>
          <w:numId w:val="38"/>
        </w:numPr>
        <w:spacing w:line="360" w:lineRule="auto"/>
        <w:ind w:left="0" w:firstLine="425"/>
        <w:rPr>
          <w:rFonts w:ascii="宋体" w:hAnsi="宋体" w:cs="宋体"/>
          <w:color w:val="auto"/>
          <w:sz w:val="24"/>
          <w:highlight w:val="none"/>
        </w:rPr>
      </w:pPr>
      <w:r>
        <w:rPr>
          <w:rFonts w:hint="eastAsia" w:ascii="宋体" w:hAnsi="宋体" w:cs="宋体"/>
          <w:color w:val="auto"/>
          <w:sz w:val="24"/>
          <w:highlight w:val="none"/>
        </w:rPr>
        <w:t>合同履行过程中发生的任何争议，如双方未能通过友好协商解决，应向甲方所在地有管辖权的人民法院提起诉讼。</w:t>
      </w:r>
    </w:p>
    <w:p>
      <w:pPr>
        <w:numPr>
          <w:ilvl w:val="0"/>
          <w:numId w:val="38"/>
        </w:numPr>
        <w:spacing w:line="360" w:lineRule="auto"/>
        <w:ind w:left="0" w:firstLine="425"/>
        <w:rPr>
          <w:rFonts w:ascii="宋体" w:hAnsi="宋体" w:cs="宋体"/>
          <w:color w:val="auto"/>
          <w:sz w:val="24"/>
          <w:highlight w:val="none"/>
        </w:rPr>
      </w:pPr>
      <w:r>
        <w:rPr>
          <w:rFonts w:hint="eastAsia" w:ascii="宋体" w:hAnsi="宋体" w:cs="宋体"/>
          <w:color w:val="auto"/>
          <w:sz w:val="24"/>
          <w:highlight w:val="none"/>
        </w:rPr>
        <w:t>法院审理期间，除提交法院审理的事项外，其它无争议的事项和条款仍应继续履行。</w:t>
      </w:r>
    </w:p>
    <w:p>
      <w:pPr>
        <w:spacing w:line="360" w:lineRule="auto"/>
        <w:ind w:left="420" w:leftChars="200"/>
        <w:rPr>
          <w:b/>
          <w:bCs/>
          <w:color w:val="auto"/>
          <w:sz w:val="24"/>
          <w:highlight w:val="none"/>
        </w:rPr>
      </w:pPr>
      <w:r>
        <w:rPr>
          <w:rFonts w:hint="eastAsia"/>
          <w:b/>
          <w:bCs/>
          <w:color w:val="auto"/>
          <w:sz w:val="24"/>
          <w:highlight w:val="none"/>
        </w:rPr>
        <w:t xml:space="preserve">十二、不可抗力：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任何一方由于不可抗力原因不能履行合同时，应在不可抗力事件结束后48小时内向对方通报，以减轻可能给对方造成的损失，在取得有关机构的不可抗力证明或双方谅解确认后，允许延期履行或修订合同，并根据情况可部分或全部免于承担违约责任。</w:t>
      </w:r>
    </w:p>
    <w:p>
      <w:pPr>
        <w:spacing w:line="360" w:lineRule="auto"/>
        <w:ind w:left="420" w:leftChars="200"/>
        <w:rPr>
          <w:b/>
          <w:bCs/>
          <w:color w:val="auto"/>
          <w:sz w:val="24"/>
          <w:highlight w:val="none"/>
        </w:rPr>
      </w:pPr>
      <w:r>
        <w:rPr>
          <w:rFonts w:hint="eastAsia"/>
          <w:b/>
          <w:bCs/>
          <w:color w:val="auto"/>
          <w:sz w:val="24"/>
          <w:highlight w:val="none"/>
        </w:rPr>
        <w:t>十三、税费：</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本合同实施过程中所发生的一切税费及不可预见费均由乙方承担。</w:t>
      </w:r>
    </w:p>
    <w:p>
      <w:pPr>
        <w:spacing w:line="360" w:lineRule="auto"/>
        <w:ind w:left="420" w:leftChars="200"/>
        <w:rPr>
          <w:b/>
          <w:bCs/>
          <w:color w:val="auto"/>
          <w:sz w:val="24"/>
          <w:highlight w:val="none"/>
        </w:rPr>
      </w:pPr>
      <w:r>
        <w:rPr>
          <w:rFonts w:hint="eastAsia"/>
          <w:b/>
          <w:bCs/>
          <w:color w:val="auto"/>
          <w:sz w:val="24"/>
          <w:highlight w:val="none"/>
        </w:rPr>
        <w:t>十四、合同生效与合同备案：</w:t>
      </w:r>
    </w:p>
    <w:p>
      <w:pPr>
        <w:numPr>
          <w:ilvl w:val="0"/>
          <w:numId w:val="39"/>
        </w:numPr>
        <w:spacing w:line="360" w:lineRule="auto"/>
        <w:ind w:left="0" w:firstLine="425"/>
        <w:rPr>
          <w:rFonts w:ascii="宋体" w:hAnsi="宋体" w:cs="宋体"/>
          <w:color w:val="auto"/>
          <w:sz w:val="24"/>
          <w:highlight w:val="none"/>
        </w:rPr>
      </w:pPr>
      <w:r>
        <w:rPr>
          <w:rFonts w:hint="eastAsia" w:ascii="宋体" w:hAnsi="宋体" w:cs="宋体"/>
          <w:color w:val="auto"/>
          <w:sz w:val="24"/>
          <w:highlight w:val="none"/>
        </w:rPr>
        <w:t>本合同在甲乙双方法人代表或其授权代表签字并盖章后生效。</w:t>
      </w:r>
    </w:p>
    <w:p>
      <w:pPr>
        <w:spacing w:line="360" w:lineRule="auto"/>
        <w:ind w:left="420" w:leftChars="200"/>
        <w:rPr>
          <w:b/>
          <w:bCs/>
          <w:color w:val="auto"/>
          <w:sz w:val="24"/>
          <w:highlight w:val="none"/>
        </w:rPr>
      </w:pPr>
      <w:r>
        <w:rPr>
          <w:rFonts w:hint="eastAsia"/>
          <w:b/>
          <w:bCs/>
          <w:color w:val="auto"/>
          <w:sz w:val="24"/>
          <w:highlight w:val="none"/>
        </w:rPr>
        <w:t>十五、其它：</w:t>
      </w:r>
    </w:p>
    <w:p>
      <w:pPr>
        <w:numPr>
          <w:ilvl w:val="0"/>
          <w:numId w:val="40"/>
        </w:numPr>
        <w:spacing w:line="360" w:lineRule="auto"/>
        <w:ind w:left="0" w:firstLine="425"/>
        <w:rPr>
          <w:rFonts w:ascii="宋体" w:hAnsi="宋体" w:cs="宋体"/>
          <w:color w:val="auto"/>
          <w:sz w:val="24"/>
          <w:highlight w:val="none"/>
        </w:rPr>
      </w:pPr>
      <w:r>
        <w:rPr>
          <w:rFonts w:hint="eastAsia" w:ascii="宋体" w:hAnsi="宋体" w:cs="宋体"/>
          <w:color w:val="auto"/>
          <w:sz w:val="24"/>
          <w:highlight w:val="none"/>
        </w:rPr>
        <w:t>乙方在合同履行期间不得“围猎”甲方相关工作人员，若乙方存在“围猎”甲方工作人员的行为（指以获取不正当利益为目的，采取馈赠礼品礼金，邀请娱乐旅游消费，提供便利条件等非正常交往手段，“围猎”工作人员及其亲属），自甲方或甲方主管机关做出认定之日起三年内，甲方可以拒绝乙方参与其政府采购活动。</w:t>
      </w:r>
    </w:p>
    <w:p>
      <w:pPr>
        <w:numPr>
          <w:ilvl w:val="0"/>
          <w:numId w:val="40"/>
        </w:numPr>
        <w:spacing w:line="360" w:lineRule="auto"/>
        <w:ind w:left="0" w:firstLine="425"/>
        <w:rPr>
          <w:rFonts w:ascii="宋体" w:hAnsi="宋体" w:cs="宋体"/>
          <w:color w:val="auto"/>
          <w:sz w:val="24"/>
          <w:highlight w:val="none"/>
        </w:rPr>
      </w:pPr>
      <w:r>
        <w:rPr>
          <w:rFonts w:hint="eastAsia" w:ascii="宋体" w:hAnsi="宋体" w:cs="宋体"/>
          <w:color w:val="auto"/>
          <w:sz w:val="24"/>
          <w:highlight w:val="none"/>
        </w:rPr>
        <w:t>所有双方共同签署确认的文件（包括会议纪要、补充协议）、采购文件、要约文件和响应承诺文件、合同附件及《中标通知书》均为本合同不可分割的有效组成部分，与本合同具有同等的法律效力和履约义务，其缔约生效日期为有效签署或盖章确认之日期。如上述文件出现不一致情形的，按上述文件所列顺序确定优先适用次序。</w:t>
      </w:r>
    </w:p>
    <w:p>
      <w:pPr>
        <w:numPr>
          <w:ilvl w:val="0"/>
          <w:numId w:val="40"/>
        </w:numPr>
        <w:spacing w:line="360" w:lineRule="auto"/>
        <w:ind w:left="0" w:firstLine="425"/>
        <w:rPr>
          <w:rFonts w:ascii="宋体" w:hAnsi="宋体" w:cs="宋体"/>
          <w:color w:val="auto"/>
          <w:sz w:val="24"/>
          <w:highlight w:val="none"/>
        </w:rPr>
      </w:pPr>
      <w:r>
        <w:rPr>
          <w:rFonts w:hint="eastAsia" w:ascii="宋体" w:hAnsi="宋体" w:cs="宋体"/>
          <w:color w:val="auto"/>
          <w:sz w:val="24"/>
          <w:highlight w:val="none"/>
        </w:rPr>
        <w:t>如一方地址、电话、传真号码有变更，应在变更当日内书面通知对方，否则，应承担相应责任。</w:t>
      </w:r>
    </w:p>
    <w:p>
      <w:pPr>
        <w:numPr>
          <w:ilvl w:val="0"/>
          <w:numId w:val="40"/>
        </w:numPr>
        <w:spacing w:line="360" w:lineRule="auto"/>
        <w:ind w:left="0" w:firstLine="425"/>
        <w:rPr>
          <w:rFonts w:ascii="宋体" w:hAnsi="宋体" w:cs="宋体"/>
          <w:color w:val="auto"/>
          <w:sz w:val="24"/>
          <w:highlight w:val="none"/>
        </w:rPr>
      </w:pPr>
      <w:r>
        <w:rPr>
          <w:rFonts w:hint="eastAsia" w:ascii="宋体" w:hAnsi="宋体" w:cs="宋体"/>
          <w:color w:val="auto"/>
          <w:sz w:val="24"/>
          <w:highlight w:val="none"/>
        </w:rPr>
        <w:t>未经甲方书面同意，乙方不得擅自向第三方转让或部分转让其本合同项下义务。</w:t>
      </w:r>
    </w:p>
    <w:p>
      <w:pPr>
        <w:numPr>
          <w:ilvl w:val="0"/>
          <w:numId w:val="40"/>
        </w:numPr>
        <w:spacing w:line="360" w:lineRule="auto"/>
        <w:ind w:left="0" w:firstLine="425"/>
        <w:rPr>
          <w:rFonts w:ascii="宋体" w:hAnsi="宋体" w:cs="宋体"/>
          <w:color w:val="auto"/>
          <w:sz w:val="24"/>
          <w:highlight w:val="none"/>
        </w:rPr>
      </w:pPr>
      <w:r>
        <w:rPr>
          <w:rFonts w:hint="eastAsia" w:ascii="宋体" w:hAnsi="宋体" w:cs="宋体"/>
          <w:color w:val="auto"/>
          <w:sz w:val="24"/>
          <w:highlight w:val="none"/>
        </w:rPr>
        <w:t>本合同签约履约地点：广东省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市</w:t>
      </w:r>
      <w:r>
        <w:rPr>
          <w:rFonts w:ascii="宋体" w:hAnsi="宋体" w:cs="宋体"/>
          <w:color w:val="auto"/>
          <w:sz w:val="24"/>
          <w:highlight w:val="none"/>
          <w:u w:val="single"/>
        </w:rPr>
        <w:t xml:space="preserve">     </w:t>
      </w:r>
      <w:r>
        <w:rPr>
          <w:rFonts w:hint="eastAsia" w:ascii="宋体" w:hAnsi="宋体" w:cs="宋体"/>
          <w:color w:val="auto"/>
          <w:sz w:val="24"/>
          <w:highlight w:val="none"/>
        </w:rPr>
        <w:t>区。</w:t>
      </w:r>
    </w:p>
    <w:p>
      <w:pPr>
        <w:numPr>
          <w:ilvl w:val="0"/>
          <w:numId w:val="40"/>
        </w:numPr>
        <w:spacing w:line="360" w:lineRule="auto"/>
        <w:ind w:left="0" w:firstLine="425"/>
        <w:rPr>
          <w:rFonts w:ascii="宋体" w:hAnsi="宋体" w:cs="宋体"/>
          <w:color w:val="auto"/>
          <w:sz w:val="24"/>
          <w:highlight w:val="none"/>
        </w:rPr>
      </w:pPr>
      <w:r>
        <w:rPr>
          <w:rFonts w:hint="eastAsia" w:ascii="宋体" w:hAnsi="宋体" w:cs="宋体"/>
          <w:color w:val="auto"/>
          <w:sz w:val="24"/>
          <w:highlight w:val="none"/>
        </w:rPr>
        <w:t>本合同（含附件）共计    页，缺页之合同为无效合同。</w:t>
      </w:r>
    </w:p>
    <w:p>
      <w:pPr>
        <w:numPr>
          <w:ilvl w:val="0"/>
          <w:numId w:val="40"/>
        </w:numPr>
        <w:spacing w:line="360" w:lineRule="auto"/>
        <w:ind w:left="0" w:firstLine="425"/>
        <w:rPr>
          <w:rFonts w:ascii="宋体" w:hAnsi="宋体" w:cs="宋体"/>
          <w:color w:val="auto"/>
          <w:sz w:val="24"/>
          <w:highlight w:val="none"/>
        </w:rPr>
      </w:pPr>
      <w:r>
        <w:rPr>
          <w:rFonts w:hint="eastAsia" w:ascii="宋体" w:hAnsi="宋体" w:cs="宋体"/>
          <w:color w:val="auto"/>
          <w:sz w:val="24"/>
          <w:highlight w:val="none"/>
        </w:rPr>
        <w:t>本合同在甲乙双方法人代表或其授权代表签字并盖章后生效。</w:t>
      </w:r>
    </w:p>
    <w:p>
      <w:pPr>
        <w:numPr>
          <w:ilvl w:val="0"/>
          <w:numId w:val="40"/>
        </w:numPr>
        <w:spacing w:line="360" w:lineRule="auto"/>
        <w:ind w:left="0" w:firstLine="425"/>
        <w:rPr>
          <w:rFonts w:ascii="宋体" w:hAnsi="宋体" w:cs="宋体"/>
          <w:color w:val="auto"/>
          <w:sz w:val="24"/>
          <w:highlight w:val="none"/>
        </w:rPr>
      </w:pPr>
      <w:r>
        <w:rPr>
          <w:rFonts w:hint="eastAsia" w:ascii="宋体" w:hAnsi="宋体" w:cs="宋体"/>
          <w:color w:val="auto"/>
          <w:sz w:val="24"/>
          <w:highlight w:val="none"/>
        </w:rPr>
        <w:t>本合同一式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份，乙方执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w:t>
      </w:r>
      <w:r>
        <w:rPr>
          <w:rFonts w:ascii="宋体" w:hAnsi="宋体" w:cs="宋体"/>
          <w:color w:val="auto"/>
          <w:sz w:val="24"/>
          <w:highlight w:val="none"/>
        </w:rPr>
        <w:t>效力等</w:t>
      </w:r>
      <w:r>
        <w:rPr>
          <w:rFonts w:hint="eastAsia" w:ascii="宋体" w:hAnsi="宋体" w:cs="宋体"/>
          <w:color w:val="auto"/>
          <w:sz w:val="24"/>
          <w:highlight w:val="none"/>
        </w:rPr>
        <w:t>同。</w:t>
      </w:r>
    </w:p>
    <w:p>
      <w:pPr>
        <w:numPr>
          <w:ilvl w:val="0"/>
          <w:numId w:val="40"/>
        </w:numPr>
        <w:spacing w:line="360" w:lineRule="auto"/>
        <w:ind w:left="0" w:firstLine="425"/>
        <w:rPr>
          <w:rFonts w:ascii="宋体" w:hAnsi="宋体" w:cs="宋体"/>
          <w:color w:val="auto"/>
          <w:sz w:val="24"/>
          <w:highlight w:val="none"/>
        </w:rPr>
      </w:pPr>
      <w:r>
        <w:rPr>
          <w:rFonts w:hint="eastAsia" w:ascii="宋体" w:hAnsi="宋体" w:cs="宋体"/>
          <w:color w:val="auto"/>
          <w:sz w:val="24"/>
          <w:highlight w:val="none"/>
        </w:rPr>
        <w:t>双方均已对以上各条款及附件作充分了解，并明确理解由此而产生的相关权责。</w:t>
      </w:r>
    </w:p>
    <w:p>
      <w:pPr>
        <w:tabs>
          <w:tab w:val="left" w:pos="4395"/>
        </w:tabs>
        <w:adjustRightInd w:val="0"/>
        <w:snapToGrid w:val="0"/>
        <w:spacing w:line="312" w:lineRule="auto"/>
        <w:rPr>
          <w:rFonts w:ascii="宋体" w:hAnsi="宋体"/>
          <w:b/>
          <w:color w:val="auto"/>
          <w:sz w:val="24"/>
          <w:highlight w:val="none"/>
        </w:rPr>
      </w:pPr>
    </w:p>
    <w:p>
      <w:pPr>
        <w:tabs>
          <w:tab w:val="left" w:pos="4395"/>
        </w:tabs>
        <w:adjustRightInd w:val="0"/>
        <w:snapToGrid w:val="0"/>
        <w:spacing w:line="312" w:lineRule="auto"/>
        <w:rPr>
          <w:rFonts w:ascii="宋体" w:hAnsi="宋体"/>
          <w:b/>
          <w:color w:val="auto"/>
          <w:sz w:val="24"/>
          <w:highlight w:val="none"/>
        </w:rPr>
      </w:pPr>
    </w:p>
    <w:p>
      <w:pPr>
        <w:tabs>
          <w:tab w:val="left" w:pos="4395"/>
        </w:tabs>
        <w:adjustRightInd w:val="0"/>
        <w:snapToGrid w:val="0"/>
        <w:spacing w:line="312" w:lineRule="auto"/>
        <w:rPr>
          <w:rFonts w:ascii="宋体" w:hAnsi="宋体"/>
          <w:b/>
          <w:color w:val="auto"/>
          <w:sz w:val="24"/>
          <w:highlight w:val="none"/>
        </w:rPr>
      </w:pPr>
      <w:r>
        <w:rPr>
          <w:rFonts w:hint="eastAsia" w:ascii="宋体" w:hAnsi="宋体"/>
          <w:b/>
          <w:color w:val="auto"/>
          <w:sz w:val="24"/>
          <w:highlight w:val="none"/>
        </w:rPr>
        <w:t>甲方（盖章）：</w:t>
      </w:r>
      <w:r>
        <w:rPr>
          <w:rFonts w:hint="eastAsia" w:ascii="宋体" w:hAnsi="宋体"/>
          <w:b/>
          <w:color w:val="auto"/>
          <w:sz w:val="24"/>
          <w:highlight w:val="none"/>
        </w:rPr>
        <w:tab/>
      </w:r>
      <w:r>
        <w:rPr>
          <w:rFonts w:hint="eastAsia" w:ascii="宋体" w:hAnsi="宋体"/>
          <w:b/>
          <w:color w:val="auto"/>
          <w:sz w:val="24"/>
          <w:highlight w:val="none"/>
        </w:rPr>
        <w:t>乙方（盖章）：</w:t>
      </w:r>
    </w:p>
    <w:p>
      <w:pPr>
        <w:tabs>
          <w:tab w:val="left" w:pos="4395"/>
        </w:tabs>
        <w:adjustRightInd w:val="0"/>
        <w:snapToGrid w:val="0"/>
        <w:spacing w:line="312" w:lineRule="auto"/>
        <w:rPr>
          <w:rFonts w:ascii="宋体" w:hAnsi="宋体"/>
          <w:b/>
          <w:color w:val="auto"/>
          <w:sz w:val="24"/>
          <w:highlight w:val="none"/>
        </w:rPr>
      </w:pPr>
      <w:r>
        <w:rPr>
          <w:rFonts w:hint="eastAsia" w:ascii="宋体" w:hAnsi="宋体"/>
          <w:b/>
          <w:color w:val="auto"/>
          <w:sz w:val="24"/>
          <w:highlight w:val="none"/>
        </w:rPr>
        <w:t>代表：</w:t>
      </w:r>
      <w:r>
        <w:rPr>
          <w:rFonts w:hint="eastAsia" w:ascii="宋体" w:hAnsi="宋体"/>
          <w:b/>
          <w:color w:val="auto"/>
          <w:sz w:val="24"/>
          <w:highlight w:val="none"/>
        </w:rPr>
        <w:tab/>
      </w:r>
      <w:r>
        <w:rPr>
          <w:rFonts w:hint="eastAsia" w:ascii="宋体" w:hAnsi="宋体"/>
          <w:b/>
          <w:color w:val="auto"/>
          <w:sz w:val="24"/>
          <w:highlight w:val="none"/>
        </w:rPr>
        <w:t>代表：</w:t>
      </w:r>
    </w:p>
    <w:p>
      <w:pPr>
        <w:tabs>
          <w:tab w:val="left" w:pos="4395"/>
        </w:tabs>
        <w:adjustRightInd w:val="0"/>
        <w:snapToGrid w:val="0"/>
        <w:spacing w:line="312" w:lineRule="auto"/>
        <w:rPr>
          <w:rFonts w:ascii="宋体" w:hAnsi="宋体"/>
          <w:color w:val="auto"/>
          <w:sz w:val="24"/>
          <w:highlight w:val="none"/>
        </w:rPr>
      </w:pPr>
      <w:r>
        <w:rPr>
          <w:rFonts w:hint="eastAsia" w:ascii="宋体" w:hAnsi="宋体"/>
          <w:color w:val="auto"/>
          <w:sz w:val="24"/>
          <w:highlight w:val="none"/>
        </w:rPr>
        <w:t>签定地点：</w:t>
      </w:r>
      <w:r>
        <w:rPr>
          <w:rFonts w:ascii="宋体" w:hAnsi="宋体"/>
          <w:color w:val="auto"/>
          <w:sz w:val="24"/>
          <w:highlight w:val="none"/>
        </w:rPr>
        <w:t xml:space="preserve"> </w:t>
      </w:r>
    </w:p>
    <w:p>
      <w:pPr>
        <w:tabs>
          <w:tab w:val="left" w:pos="4395"/>
        </w:tabs>
        <w:adjustRightInd w:val="0"/>
        <w:snapToGrid w:val="0"/>
        <w:spacing w:line="312" w:lineRule="auto"/>
        <w:rPr>
          <w:rFonts w:ascii="宋体" w:hAnsi="宋体"/>
          <w:color w:val="auto"/>
          <w:sz w:val="24"/>
          <w:highlight w:val="none"/>
        </w:rPr>
      </w:pPr>
      <w:r>
        <w:rPr>
          <w:rFonts w:hint="eastAsia" w:ascii="宋体" w:hAnsi="宋体"/>
          <w:color w:val="auto"/>
          <w:sz w:val="24"/>
          <w:highlight w:val="none"/>
        </w:rPr>
        <w:t>签定日期：   年  月  日</w:t>
      </w:r>
      <w:r>
        <w:rPr>
          <w:rFonts w:hint="eastAsia" w:ascii="宋体" w:hAnsi="宋体"/>
          <w:color w:val="auto"/>
          <w:sz w:val="24"/>
          <w:highlight w:val="none"/>
        </w:rPr>
        <w:tab/>
      </w:r>
      <w:r>
        <w:rPr>
          <w:rFonts w:hint="eastAsia" w:ascii="宋体" w:hAnsi="宋体"/>
          <w:color w:val="auto"/>
          <w:sz w:val="24"/>
          <w:highlight w:val="none"/>
        </w:rPr>
        <w:t>签定日期：   年  月  日</w:t>
      </w:r>
    </w:p>
    <w:p>
      <w:pPr>
        <w:tabs>
          <w:tab w:val="left" w:pos="4395"/>
        </w:tabs>
        <w:adjustRightInd w:val="0"/>
        <w:snapToGrid w:val="0"/>
        <w:spacing w:line="312" w:lineRule="auto"/>
        <w:rPr>
          <w:rFonts w:ascii="宋体" w:hAnsi="宋体"/>
          <w:color w:val="auto"/>
          <w:sz w:val="24"/>
          <w:highlight w:val="none"/>
        </w:rPr>
      </w:pPr>
      <w:r>
        <w:rPr>
          <w:rFonts w:hint="eastAsia" w:ascii="宋体" w:hAnsi="宋体"/>
          <w:color w:val="auto"/>
          <w:sz w:val="24"/>
          <w:highlight w:val="none"/>
        </w:rPr>
        <w:tab/>
      </w:r>
      <w:r>
        <w:rPr>
          <w:rFonts w:hint="eastAsia" w:ascii="宋体" w:hAnsi="宋体"/>
          <w:color w:val="auto"/>
          <w:sz w:val="24"/>
          <w:highlight w:val="none"/>
        </w:rPr>
        <w:t>开户名称：</w:t>
      </w:r>
    </w:p>
    <w:p>
      <w:pPr>
        <w:tabs>
          <w:tab w:val="left" w:pos="4395"/>
        </w:tabs>
        <w:adjustRightInd w:val="0"/>
        <w:snapToGrid w:val="0"/>
        <w:spacing w:line="312" w:lineRule="auto"/>
        <w:rPr>
          <w:rFonts w:ascii="宋体" w:hAnsi="宋体"/>
          <w:color w:val="auto"/>
          <w:sz w:val="24"/>
          <w:highlight w:val="none"/>
        </w:rPr>
      </w:pPr>
      <w:r>
        <w:rPr>
          <w:rFonts w:hint="eastAsia" w:ascii="宋体" w:hAnsi="宋体"/>
          <w:color w:val="auto"/>
          <w:sz w:val="24"/>
          <w:highlight w:val="none"/>
        </w:rPr>
        <w:tab/>
      </w:r>
      <w:r>
        <w:rPr>
          <w:rFonts w:hint="eastAsia" w:ascii="宋体" w:hAnsi="宋体"/>
          <w:color w:val="auto"/>
          <w:sz w:val="24"/>
          <w:highlight w:val="none"/>
        </w:rPr>
        <w:t>银行帐号：</w:t>
      </w:r>
    </w:p>
    <w:p>
      <w:pPr>
        <w:tabs>
          <w:tab w:val="left" w:pos="4395"/>
        </w:tabs>
        <w:adjustRightInd w:val="0"/>
        <w:snapToGrid w:val="0"/>
        <w:spacing w:line="312" w:lineRule="auto"/>
        <w:rPr>
          <w:rFonts w:ascii="宋体" w:hAnsi="宋体"/>
          <w:color w:val="auto"/>
          <w:sz w:val="24"/>
          <w:highlight w:val="none"/>
        </w:rPr>
      </w:pPr>
      <w:r>
        <w:rPr>
          <w:rFonts w:hint="eastAsia" w:ascii="宋体" w:hAnsi="宋体"/>
          <w:color w:val="auto"/>
          <w:sz w:val="24"/>
          <w:highlight w:val="none"/>
        </w:rPr>
        <w:tab/>
      </w:r>
      <w:r>
        <w:rPr>
          <w:rFonts w:hint="eastAsia" w:ascii="宋体" w:hAnsi="宋体"/>
          <w:color w:val="auto"/>
          <w:sz w:val="24"/>
          <w:highlight w:val="none"/>
        </w:rPr>
        <w:t>开 户 行：</w:t>
      </w:r>
    </w:p>
    <w:p>
      <w:pPr>
        <w:autoSpaceDE w:val="0"/>
        <w:autoSpaceDN w:val="0"/>
        <w:adjustRightInd w:val="0"/>
        <w:spacing w:line="360" w:lineRule="auto"/>
        <w:jc w:val="left"/>
        <w:rPr>
          <w:rFonts w:ascii="宋体" w:hAnsi="宋体"/>
          <w:b/>
          <w:color w:val="auto"/>
          <w:kern w:val="0"/>
          <w:sz w:val="24"/>
          <w:highlight w:val="none"/>
        </w:rPr>
      </w:pPr>
    </w:p>
    <w:p>
      <w:pPr>
        <w:autoSpaceDE w:val="0"/>
        <w:autoSpaceDN w:val="0"/>
        <w:adjustRightInd w:val="0"/>
        <w:spacing w:line="360" w:lineRule="auto"/>
        <w:jc w:val="left"/>
        <w:rPr>
          <w:rFonts w:ascii="宋体" w:hAnsi="宋体"/>
          <w:b/>
          <w:color w:val="auto"/>
          <w:kern w:val="0"/>
          <w:sz w:val="24"/>
          <w:highlight w:val="none"/>
        </w:rPr>
      </w:pPr>
    </w:p>
    <w:p>
      <w:pPr>
        <w:autoSpaceDE w:val="0"/>
        <w:autoSpaceDN w:val="0"/>
        <w:adjustRightInd w:val="0"/>
        <w:spacing w:line="360" w:lineRule="auto"/>
        <w:jc w:val="left"/>
        <w:rPr>
          <w:rFonts w:ascii="宋体" w:hAnsi="宋体"/>
          <w:b/>
          <w:color w:val="auto"/>
          <w:kern w:val="0"/>
          <w:sz w:val="24"/>
          <w:highlight w:val="none"/>
        </w:rPr>
      </w:pPr>
      <w:r>
        <w:rPr>
          <w:rFonts w:hint="eastAsia" w:ascii="宋体" w:hAnsi="宋体"/>
          <w:b/>
          <w:color w:val="auto"/>
          <w:kern w:val="0"/>
          <w:sz w:val="24"/>
          <w:highlight w:val="none"/>
        </w:rPr>
        <w:t>附件1：招标文件</w:t>
      </w:r>
    </w:p>
    <w:p>
      <w:pPr>
        <w:autoSpaceDE w:val="0"/>
        <w:autoSpaceDN w:val="0"/>
        <w:adjustRightInd w:val="0"/>
        <w:spacing w:line="360" w:lineRule="auto"/>
        <w:jc w:val="left"/>
        <w:rPr>
          <w:rFonts w:ascii="宋体" w:hAnsi="宋体"/>
          <w:b/>
          <w:color w:val="auto"/>
          <w:kern w:val="0"/>
          <w:sz w:val="24"/>
          <w:highlight w:val="none"/>
        </w:rPr>
      </w:pPr>
      <w:r>
        <w:rPr>
          <w:rFonts w:hint="eastAsia" w:ascii="宋体" w:hAnsi="宋体"/>
          <w:b/>
          <w:color w:val="auto"/>
          <w:kern w:val="0"/>
          <w:sz w:val="24"/>
          <w:highlight w:val="none"/>
        </w:rPr>
        <w:t>附件2：投标文件</w:t>
      </w:r>
    </w:p>
    <w:p>
      <w:pPr>
        <w:autoSpaceDE w:val="0"/>
        <w:autoSpaceDN w:val="0"/>
        <w:adjustRightInd w:val="0"/>
        <w:spacing w:line="360" w:lineRule="auto"/>
        <w:jc w:val="left"/>
        <w:rPr>
          <w:rFonts w:ascii="宋体" w:hAnsi="宋体"/>
          <w:b/>
          <w:color w:val="auto"/>
          <w:kern w:val="0"/>
          <w:sz w:val="24"/>
          <w:highlight w:val="none"/>
        </w:rPr>
      </w:pPr>
      <w:r>
        <w:rPr>
          <w:rFonts w:hint="eastAsia" w:ascii="宋体" w:hAnsi="宋体"/>
          <w:b/>
          <w:color w:val="auto"/>
          <w:kern w:val="0"/>
          <w:sz w:val="24"/>
          <w:highlight w:val="none"/>
        </w:rPr>
        <w:t>附件3：报价清单明细</w:t>
      </w:r>
    </w:p>
    <w:p>
      <w:pPr>
        <w:autoSpaceDE w:val="0"/>
        <w:autoSpaceDN w:val="0"/>
        <w:adjustRightInd w:val="0"/>
        <w:spacing w:line="360" w:lineRule="auto"/>
        <w:jc w:val="left"/>
        <w:rPr>
          <w:rFonts w:ascii="宋体" w:hAnsi="宋体"/>
          <w:b/>
          <w:color w:val="auto"/>
          <w:kern w:val="0"/>
          <w:sz w:val="24"/>
          <w:highlight w:val="none"/>
        </w:rPr>
      </w:pPr>
      <w:r>
        <w:rPr>
          <w:rFonts w:hint="eastAsia" w:ascii="宋体" w:hAnsi="宋体"/>
          <w:b/>
          <w:color w:val="auto"/>
          <w:kern w:val="0"/>
          <w:sz w:val="24"/>
          <w:highlight w:val="none"/>
        </w:rPr>
        <w:t>附件4：中标通知书</w:t>
      </w:r>
    </w:p>
    <w:p>
      <w:pPr>
        <w:autoSpaceDE w:val="0"/>
        <w:autoSpaceDN w:val="0"/>
        <w:adjustRightInd w:val="0"/>
        <w:spacing w:line="360" w:lineRule="auto"/>
        <w:jc w:val="left"/>
        <w:rPr>
          <w:rFonts w:ascii="宋体" w:hAnsi="宋体"/>
          <w:b/>
          <w:color w:val="auto"/>
          <w:kern w:val="0"/>
          <w:sz w:val="24"/>
          <w:highlight w:val="none"/>
        </w:rPr>
      </w:pPr>
      <w:r>
        <w:rPr>
          <w:rFonts w:hint="eastAsia" w:ascii="宋体" w:hAnsi="宋体"/>
          <w:b/>
          <w:color w:val="auto"/>
          <w:kern w:val="0"/>
          <w:sz w:val="24"/>
          <w:highlight w:val="none"/>
        </w:rPr>
        <w:t>附件5：廉政协议</w:t>
      </w:r>
    </w:p>
    <w:p>
      <w:pPr>
        <w:autoSpaceDE w:val="0"/>
        <w:autoSpaceDN w:val="0"/>
        <w:adjustRightInd w:val="0"/>
        <w:spacing w:line="360" w:lineRule="auto"/>
        <w:jc w:val="center"/>
        <w:rPr>
          <w:rFonts w:ascii="宋体" w:hAnsi="宋体"/>
          <w:b/>
          <w:color w:val="auto"/>
          <w:kern w:val="0"/>
          <w:sz w:val="32"/>
          <w:szCs w:val="32"/>
          <w:highlight w:val="none"/>
        </w:rPr>
      </w:pPr>
    </w:p>
    <w:p>
      <w:pPr>
        <w:autoSpaceDE w:val="0"/>
        <w:autoSpaceDN w:val="0"/>
        <w:adjustRightInd w:val="0"/>
        <w:spacing w:line="360" w:lineRule="auto"/>
        <w:jc w:val="center"/>
        <w:rPr>
          <w:rFonts w:ascii="宋体" w:hAnsi="宋体"/>
          <w:b/>
          <w:color w:val="auto"/>
          <w:kern w:val="0"/>
          <w:sz w:val="32"/>
          <w:szCs w:val="32"/>
          <w:highlight w:val="none"/>
        </w:rPr>
      </w:pPr>
    </w:p>
    <w:p>
      <w:pPr>
        <w:autoSpaceDE w:val="0"/>
        <w:autoSpaceDN w:val="0"/>
        <w:adjustRightInd w:val="0"/>
        <w:spacing w:line="360" w:lineRule="auto"/>
        <w:jc w:val="center"/>
        <w:rPr>
          <w:rFonts w:ascii="宋体" w:hAnsi="宋体"/>
          <w:b/>
          <w:color w:val="auto"/>
          <w:kern w:val="0"/>
          <w:sz w:val="32"/>
          <w:szCs w:val="32"/>
          <w:highlight w:val="none"/>
        </w:rPr>
      </w:pPr>
    </w:p>
    <w:p>
      <w:pPr>
        <w:autoSpaceDE w:val="0"/>
        <w:autoSpaceDN w:val="0"/>
        <w:adjustRightInd w:val="0"/>
        <w:spacing w:line="360" w:lineRule="auto"/>
        <w:jc w:val="center"/>
        <w:rPr>
          <w:rFonts w:ascii="宋体" w:hAnsi="宋体"/>
          <w:b/>
          <w:color w:val="auto"/>
          <w:kern w:val="0"/>
          <w:sz w:val="32"/>
          <w:szCs w:val="32"/>
          <w:highlight w:val="none"/>
        </w:rPr>
      </w:pPr>
    </w:p>
    <w:p>
      <w:pPr>
        <w:autoSpaceDE w:val="0"/>
        <w:autoSpaceDN w:val="0"/>
        <w:adjustRightInd w:val="0"/>
        <w:spacing w:line="360" w:lineRule="auto"/>
        <w:jc w:val="center"/>
        <w:rPr>
          <w:rFonts w:ascii="宋体" w:hAnsi="宋体"/>
          <w:b/>
          <w:color w:val="auto"/>
          <w:kern w:val="0"/>
          <w:sz w:val="32"/>
          <w:szCs w:val="32"/>
          <w:highlight w:val="none"/>
        </w:rPr>
      </w:pPr>
    </w:p>
    <w:p>
      <w:pPr>
        <w:autoSpaceDE w:val="0"/>
        <w:autoSpaceDN w:val="0"/>
        <w:adjustRightInd w:val="0"/>
        <w:spacing w:line="360" w:lineRule="auto"/>
        <w:jc w:val="center"/>
        <w:rPr>
          <w:rFonts w:ascii="宋体" w:hAnsi="宋体"/>
          <w:b/>
          <w:color w:val="auto"/>
          <w:kern w:val="0"/>
          <w:sz w:val="32"/>
          <w:szCs w:val="32"/>
          <w:highlight w:val="none"/>
        </w:rPr>
      </w:pPr>
    </w:p>
    <w:p>
      <w:pPr>
        <w:autoSpaceDE w:val="0"/>
        <w:autoSpaceDN w:val="0"/>
        <w:adjustRightInd w:val="0"/>
        <w:spacing w:line="360" w:lineRule="auto"/>
        <w:jc w:val="center"/>
        <w:rPr>
          <w:rFonts w:ascii="宋体" w:hAnsi="宋体"/>
          <w:b/>
          <w:color w:val="auto"/>
          <w:kern w:val="0"/>
          <w:sz w:val="32"/>
          <w:szCs w:val="32"/>
          <w:highlight w:val="none"/>
        </w:rPr>
      </w:pPr>
    </w:p>
    <w:p>
      <w:pPr>
        <w:autoSpaceDE w:val="0"/>
        <w:autoSpaceDN w:val="0"/>
        <w:adjustRightInd w:val="0"/>
        <w:spacing w:line="360" w:lineRule="auto"/>
        <w:jc w:val="center"/>
        <w:rPr>
          <w:rFonts w:ascii="宋体" w:hAnsi="宋体"/>
          <w:b/>
          <w:color w:val="auto"/>
          <w:kern w:val="0"/>
          <w:sz w:val="32"/>
          <w:szCs w:val="32"/>
          <w:highlight w:val="none"/>
        </w:rPr>
      </w:pPr>
    </w:p>
    <w:p>
      <w:pPr>
        <w:autoSpaceDE w:val="0"/>
        <w:autoSpaceDN w:val="0"/>
        <w:adjustRightInd w:val="0"/>
        <w:spacing w:line="360" w:lineRule="auto"/>
        <w:jc w:val="center"/>
        <w:rPr>
          <w:rFonts w:ascii="宋体" w:hAnsi="宋体"/>
          <w:b/>
          <w:color w:val="auto"/>
          <w:kern w:val="0"/>
          <w:sz w:val="32"/>
          <w:szCs w:val="32"/>
          <w:highlight w:val="none"/>
        </w:rPr>
      </w:pPr>
    </w:p>
    <w:p>
      <w:pPr>
        <w:autoSpaceDE w:val="0"/>
        <w:autoSpaceDN w:val="0"/>
        <w:adjustRightInd w:val="0"/>
        <w:spacing w:line="360" w:lineRule="auto"/>
        <w:jc w:val="center"/>
        <w:rPr>
          <w:rFonts w:ascii="宋体" w:hAnsi="宋体"/>
          <w:b/>
          <w:color w:val="auto"/>
          <w:kern w:val="0"/>
          <w:sz w:val="32"/>
          <w:szCs w:val="32"/>
          <w:highlight w:val="none"/>
        </w:rPr>
      </w:pPr>
    </w:p>
    <w:p>
      <w:pPr>
        <w:autoSpaceDE w:val="0"/>
        <w:autoSpaceDN w:val="0"/>
        <w:adjustRightInd w:val="0"/>
        <w:spacing w:line="360" w:lineRule="auto"/>
        <w:jc w:val="center"/>
        <w:rPr>
          <w:rFonts w:ascii="宋体" w:hAnsi="宋体"/>
          <w:b/>
          <w:color w:val="auto"/>
          <w:kern w:val="0"/>
          <w:sz w:val="32"/>
          <w:szCs w:val="32"/>
          <w:highlight w:val="none"/>
        </w:rPr>
      </w:pPr>
    </w:p>
    <w:p>
      <w:pPr>
        <w:autoSpaceDE w:val="0"/>
        <w:autoSpaceDN w:val="0"/>
        <w:adjustRightInd w:val="0"/>
        <w:spacing w:line="360" w:lineRule="auto"/>
        <w:jc w:val="center"/>
        <w:rPr>
          <w:rFonts w:ascii="宋体" w:hAnsi="宋体"/>
          <w:b/>
          <w:color w:val="auto"/>
          <w:kern w:val="0"/>
          <w:sz w:val="32"/>
          <w:szCs w:val="32"/>
          <w:highlight w:val="none"/>
        </w:rPr>
      </w:pPr>
    </w:p>
    <w:p>
      <w:pPr>
        <w:autoSpaceDE w:val="0"/>
        <w:autoSpaceDN w:val="0"/>
        <w:adjustRightInd w:val="0"/>
        <w:spacing w:line="360" w:lineRule="auto"/>
        <w:rPr>
          <w:rFonts w:ascii="宋体" w:hAnsi="宋体"/>
          <w:b/>
          <w:color w:val="auto"/>
          <w:kern w:val="0"/>
          <w:sz w:val="32"/>
          <w:szCs w:val="32"/>
          <w:highlight w:val="none"/>
        </w:rPr>
      </w:pPr>
    </w:p>
    <w:p>
      <w:pPr>
        <w:autoSpaceDE w:val="0"/>
        <w:autoSpaceDN w:val="0"/>
        <w:adjustRightInd w:val="0"/>
        <w:spacing w:line="360" w:lineRule="auto"/>
        <w:jc w:val="center"/>
        <w:rPr>
          <w:rFonts w:ascii="宋体" w:hAnsi="宋体"/>
          <w:color w:val="auto"/>
          <w:kern w:val="0"/>
          <w:sz w:val="32"/>
          <w:szCs w:val="32"/>
          <w:highlight w:val="none"/>
        </w:rPr>
      </w:pPr>
      <w:r>
        <w:rPr>
          <w:rFonts w:hint="eastAsia" w:ascii="宋体" w:hAnsi="宋体"/>
          <w:b/>
          <w:color w:val="auto"/>
          <w:kern w:val="0"/>
          <w:sz w:val="32"/>
          <w:szCs w:val="32"/>
          <w:highlight w:val="none"/>
        </w:rPr>
        <w:t xml:space="preserve">廉 政 协 议 </w:t>
      </w:r>
    </w:p>
    <w:p>
      <w:pPr>
        <w:autoSpaceDE w:val="0"/>
        <w:autoSpaceDN w:val="0"/>
        <w:adjustRightInd w:val="0"/>
        <w:spacing w:line="400" w:lineRule="exact"/>
        <w:rPr>
          <w:rFonts w:ascii="宋体" w:hAnsi="宋体"/>
          <w:color w:val="auto"/>
          <w:kern w:val="0"/>
          <w:sz w:val="24"/>
          <w:highlight w:val="none"/>
          <w:u w:val="single"/>
        </w:rPr>
      </w:pPr>
      <w:r>
        <w:rPr>
          <w:rFonts w:hint="eastAsia" w:ascii="宋体" w:hAnsi="宋体"/>
          <w:color w:val="auto"/>
          <w:kern w:val="0"/>
          <w:sz w:val="24"/>
          <w:highlight w:val="none"/>
        </w:rPr>
        <w:t>甲方：（全称）</w:t>
      </w:r>
      <w:r>
        <w:rPr>
          <w:rFonts w:hint="eastAsia" w:ascii="宋体" w:hAnsi="宋体"/>
          <w:color w:val="auto"/>
          <w:kern w:val="0"/>
          <w:sz w:val="24"/>
          <w:highlight w:val="none"/>
          <w:u w:val="single"/>
        </w:rPr>
        <w:t xml:space="preserve">      </w:t>
      </w:r>
    </w:p>
    <w:p>
      <w:pPr>
        <w:autoSpaceDE w:val="0"/>
        <w:autoSpaceDN w:val="0"/>
        <w:adjustRightInd w:val="0"/>
        <w:spacing w:line="400" w:lineRule="exact"/>
        <w:rPr>
          <w:rFonts w:ascii="宋体" w:hAnsi="宋体"/>
          <w:color w:val="auto"/>
          <w:kern w:val="0"/>
          <w:sz w:val="24"/>
          <w:highlight w:val="none"/>
          <w:u w:val="single"/>
        </w:rPr>
      </w:pPr>
      <w:r>
        <w:rPr>
          <w:rFonts w:hint="eastAsia" w:ascii="宋体" w:hAnsi="宋体"/>
          <w:color w:val="auto"/>
          <w:kern w:val="0"/>
          <w:sz w:val="24"/>
          <w:highlight w:val="none"/>
        </w:rPr>
        <w:t>乙方：（全称）</w:t>
      </w:r>
      <w:r>
        <w:rPr>
          <w:rFonts w:hint="eastAsia" w:ascii="宋体" w:hAnsi="宋体"/>
          <w:color w:val="auto"/>
          <w:kern w:val="0"/>
          <w:sz w:val="24"/>
          <w:highlight w:val="none"/>
          <w:u w:val="single"/>
        </w:rPr>
        <w:t xml:space="preserve">      </w:t>
      </w:r>
    </w:p>
    <w:p>
      <w:pPr>
        <w:autoSpaceDE w:val="0"/>
        <w:autoSpaceDN w:val="0"/>
        <w:adjustRightInd w:val="0"/>
        <w:spacing w:line="400" w:lineRule="exact"/>
        <w:rPr>
          <w:rFonts w:ascii="宋体" w:hAnsi="宋体"/>
          <w:color w:val="auto"/>
          <w:kern w:val="0"/>
          <w:sz w:val="24"/>
          <w:highlight w:val="none"/>
        </w:rPr>
      </w:pPr>
      <w:r>
        <w:rPr>
          <w:rFonts w:hint="eastAsia" w:ascii="宋体" w:hAnsi="宋体"/>
          <w:color w:val="auto"/>
          <w:kern w:val="0"/>
          <w:sz w:val="24"/>
          <w:highlight w:val="none"/>
        </w:rPr>
        <w:t xml:space="preserve">    </w:t>
      </w:r>
    </w:p>
    <w:p>
      <w:pPr>
        <w:autoSpaceDE w:val="0"/>
        <w:autoSpaceDN w:val="0"/>
        <w:adjustRightInd w:val="0"/>
        <w:spacing w:line="400" w:lineRule="exact"/>
        <w:ind w:firstLine="480" w:firstLineChars="200"/>
        <w:rPr>
          <w:rFonts w:ascii="宋体" w:hAnsi="宋体"/>
          <w:color w:val="auto"/>
          <w:kern w:val="0"/>
          <w:sz w:val="24"/>
          <w:highlight w:val="none"/>
        </w:rPr>
      </w:pPr>
      <w:r>
        <w:rPr>
          <w:rFonts w:hint="eastAsia" w:ascii="宋体" w:hAnsi="宋体" w:cs="宋体"/>
          <w:color w:val="auto"/>
          <w:kern w:val="0"/>
          <w:sz w:val="24"/>
          <w:highlight w:val="none"/>
          <w:lang w:val="zh-CN"/>
        </w:rPr>
        <w:t>根据国家、省有关廉政建设的规定，为做好</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的廉政建设，保证项目质量，提高资金的有效使用和投资效益，合同双方当事人就加强合同项目的廉政建设，订立本合同</w:t>
      </w:r>
      <w:r>
        <w:rPr>
          <w:rFonts w:hint="eastAsia" w:ascii="宋体" w:hAnsi="宋体"/>
          <w:color w:val="auto"/>
          <w:kern w:val="0"/>
          <w:sz w:val="24"/>
          <w:highlight w:val="none"/>
        </w:rPr>
        <w:t>。</w:t>
      </w:r>
    </w:p>
    <w:p>
      <w:pPr>
        <w:autoSpaceDE w:val="0"/>
        <w:autoSpaceDN w:val="0"/>
        <w:adjustRightInd w:val="0"/>
        <w:spacing w:line="400" w:lineRule="exact"/>
        <w:ind w:firstLine="482" w:firstLineChars="200"/>
        <w:rPr>
          <w:rFonts w:ascii="宋体" w:hAnsi="宋体"/>
          <w:b/>
          <w:bCs/>
          <w:color w:val="auto"/>
          <w:kern w:val="0"/>
          <w:sz w:val="24"/>
          <w:highlight w:val="none"/>
        </w:rPr>
      </w:pPr>
      <w:r>
        <w:rPr>
          <w:rFonts w:hint="eastAsia" w:ascii="宋体" w:hAnsi="宋体"/>
          <w:b/>
          <w:bCs/>
          <w:color w:val="auto"/>
          <w:kern w:val="0"/>
          <w:sz w:val="24"/>
          <w:highlight w:val="none"/>
        </w:rPr>
        <w:t>1  双方权利和义务</w:t>
      </w:r>
    </w:p>
    <w:p>
      <w:pPr>
        <w:autoSpaceDE w:val="0"/>
        <w:autoSpaceDN w:val="0"/>
        <w:adjustRightInd w:val="0"/>
        <w:spacing w:line="40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1.1  严格遵守国家、省有关法律法规的规定。</w:t>
      </w:r>
    </w:p>
    <w:p>
      <w:pPr>
        <w:autoSpaceDE w:val="0"/>
        <w:autoSpaceDN w:val="0"/>
        <w:adjustRightInd w:val="0"/>
        <w:spacing w:line="40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1.2  严格执行合同项目一切合同文件，自觉按合同办事。</w:t>
      </w:r>
    </w:p>
    <w:p>
      <w:pPr>
        <w:autoSpaceDE w:val="0"/>
        <w:autoSpaceDN w:val="0"/>
        <w:adjustRightInd w:val="0"/>
        <w:spacing w:line="40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 xml:space="preserve">1.3  </w:t>
      </w:r>
      <w:r>
        <w:rPr>
          <w:rFonts w:hint="eastAsia" w:ascii="宋体" w:hAnsi="宋体" w:cs="宋体"/>
          <w:color w:val="auto"/>
          <w:kern w:val="0"/>
          <w:sz w:val="24"/>
          <w:highlight w:val="none"/>
          <w:lang w:val="zh-CN"/>
        </w:rPr>
        <w:t>合同双方当事人的业务活动应坚持公平、公开、公正和诚信的原则（法律认定的商业</w:t>
      </w:r>
      <w:r>
        <w:rPr>
          <w:rFonts w:ascii="宋体" w:hAnsi="宋体" w:cs="Arial"/>
          <w:color w:val="auto"/>
          <w:kern w:val="0"/>
          <w:sz w:val="24"/>
          <w:highlight w:val="none"/>
        </w:rPr>
        <w:t xml:space="preserve"> </w:t>
      </w:r>
      <w:r>
        <w:rPr>
          <w:rFonts w:hint="eastAsia" w:ascii="宋体" w:hAnsi="宋体" w:cs="宋体"/>
          <w:color w:val="auto"/>
          <w:kern w:val="0"/>
          <w:sz w:val="24"/>
          <w:highlight w:val="none"/>
          <w:lang w:val="zh-CN"/>
        </w:rPr>
        <w:t>秘密和合同文件另有规定除外），不得损害国家和集体利益，不得违反</w:t>
      </w:r>
      <w:r>
        <w:rPr>
          <w:rFonts w:hint="eastAsia" w:ascii="宋体" w:hAnsi="宋体" w:cs="宋体"/>
          <w:color w:val="auto"/>
          <w:kern w:val="0"/>
          <w:sz w:val="24"/>
          <w:highlight w:val="none"/>
        </w:rPr>
        <w:t>有关</w:t>
      </w:r>
      <w:r>
        <w:rPr>
          <w:rFonts w:hint="eastAsia" w:ascii="宋体" w:hAnsi="宋体" w:cs="宋体"/>
          <w:color w:val="auto"/>
          <w:kern w:val="0"/>
          <w:sz w:val="24"/>
          <w:highlight w:val="none"/>
          <w:lang w:val="zh-CN"/>
        </w:rPr>
        <w:t>管理规章制度</w:t>
      </w:r>
      <w:r>
        <w:rPr>
          <w:rFonts w:hint="eastAsia" w:ascii="宋体" w:hAnsi="宋体"/>
          <w:color w:val="auto"/>
          <w:kern w:val="0"/>
          <w:sz w:val="24"/>
          <w:highlight w:val="none"/>
        </w:rPr>
        <w:t>。</w:t>
      </w:r>
    </w:p>
    <w:p>
      <w:pPr>
        <w:autoSpaceDE w:val="0"/>
        <w:autoSpaceDN w:val="0"/>
        <w:adjustRightInd w:val="0"/>
        <w:spacing w:line="40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1.4  建立健全廉政制度，开展廉政教育，设立廉政告示牌，公布举报电话，监督并认真查处违法违纪行为。</w:t>
      </w:r>
    </w:p>
    <w:p>
      <w:pPr>
        <w:autoSpaceDE w:val="0"/>
        <w:autoSpaceDN w:val="0"/>
        <w:adjustRightInd w:val="0"/>
        <w:spacing w:line="40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1.5  发现对方在业务活动中有违反廉政建设规定的行为，应及时给予提醒和纠正。</w:t>
      </w:r>
    </w:p>
    <w:p>
      <w:pPr>
        <w:autoSpaceDE w:val="0"/>
        <w:autoSpaceDN w:val="0"/>
        <w:adjustRightInd w:val="0"/>
        <w:spacing w:line="40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1.6  发现对方严重违反合同的行为，有向其上级部门举报、建议给予处理并要求告知处理结果的权利。</w:t>
      </w:r>
    </w:p>
    <w:p>
      <w:pPr>
        <w:autoSpaceDE w:val="0"/>
        <w:autoSpaceDN w:val="0"/>
        <w:adjustRightInd w:val="0"/>
        <w:spacing w:line="400" w:lineRule="exact"/>
        <w:ind w:firstLine="482" w:firstLineChars="200"/>
        <w:rPr>
          <w:rFonts w:ascii="宋体" w:hAnsi="宋体"/>
          <w:b/>
          <w:bCs/>
          <w:color w:val="auto"/>
          <w:kern w:val="0"/>
          <w:sz w:val="24"/>
          <w:highlight w:val="none"/>
        </w:rPr>
      </w:pPr>
      <w:r>
        <w:rPr>
          <w:rFonts w:hint="eastAsia" w:ascii="宋体" w:hAnsi="宋体"/>
          <w:b/>
          <w:bCs/>
          <w:color w:val="auto"/>
          <w:kern w:val="0"/>
          <w:sz w:val="24"/>
          <w:highlight w:val="none"/>
        </w:rPr>
        <w:t>2  甲方义务</w:t>
      </w:r>
    </w:p>
    <w:p>
      <w:pPr>
        <w:autoSpaceDE w:val="0"/>
        <w:autoSpaceDN w:val="0"/>
        <w:adjustRightInd w:val="0"/>
        <w:spacing w:line="40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2.1  甲方及其工作人员不得索要或接受乙方的礼金、有价证券和贵重物品，不得在乙方报销任何应由甲方或工作人员个人支付的费用等。</w:t>
      </w:r>
    </w:p>
    <w:p>
      <w:pPr>
        <w:autoSpaceDE w:val="0"/>
        <w:autoSpaceDN w:val="0"/>
        <w:adjustRightInd w:val="0"/>
        <w:spacing w:line="40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2.2  甲方及其工作人员不得参加乙方安排的宴请（工作餐除外）和娱乐活动；不得接受乙方提供的通讯工具、交通工具和高档办公用品等。</w:t>
      </w:r>
    </w:p>
    <w:p>
      <w:pPr>
        <w:autoSpaceDE w:val="0"/>
        <w:autoSpaceDN w:val="0"/>
        <w:adjustRightInd w:val="0"/>
        <w:spacing w:line="40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2.3  甲方及其工作人员不得要求或者接受乙方为其住房装修、婚丧嫁娶活动、配偶子女的工作安排以及出国出境、旅游等提供方便等。</w:t>
      </w:r>
    </w:p>
    <w:p>
      <w:pPr>
        <w:autoSpaceDE w:val="0"/>
        <w:autoSpaceDN w:val="0"/>
        <w:adjustRightInd w:val="0"/>
        <w:spacing w:line="40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 xml:space="preserve">2.4  </w:t>
      </w:r>
      <w:r>
        <w:rPr>
          <w:rFonts w:hint="eastAsia" w:ascii="宋体" w:hAnsi="宋体" w:cs="宋体"/>
          <w:color w:val="auto"/>
          <w:kern w:val="0"/>
          <w:sz w:val="24"/>
          <w:highlight w:val="none"/>
          <w:lang w:val="zh-CN"/>
        </w:rPr>
        <w:t>甲方及其工作人员不得以任何理由向乙方推荐分包人、推销材料和工程设备，不得要求乙方购买合同以外的材料和工程设备</w:t>
      </w:r>
      <w:r>
        <w:rPr>
          <w:rFonts w:hint="eastAsia" w:ascii="宋体" w:hAnsi="宋体"/>
          <w:color w:val="auto"/>
          <w:kern w:val="0"/>
          <w:sz w:val="24"/>
          <w:highlight w:val="none"/>
        </w:rPr>
        <w:t>。</w:t>
      </w:r>
    </w:p>
    <w:p>
      <w:pPr>
        <w:autoSpaceDE w:val="0"/>
        <w:autoSpaceDN w:val="0"/>
        <w:adjustRightInd w:val="0"/>
        <w:spacing w:line="40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 xml:space="preserve">2.5  </w:t>
      </w:r>
      <w:r>
        <w:rPr>
          <w:rFonts w:hint="eastAsia" w:ascii="宋体" w:hAnsi="宋体" w:cs="宋体"/>
          <w:color w:val="auto"/>
          <w:kern w:val="0"/>
          <w:sz w:val="24"/>
          <w:highlight w:val="none"/>
          <w:lang w:val="zh-CN"/>
        </w:rPr>
        <w:t>甲方及其工作人员要秉公办事，不准营私舞弊，不准利用职权私自为合同工程安排施工队伍，也不得从事与合同工程有关的各种有偿中介活动</w:t>
      </w:r>
      <w:r>
        <w:rPr>
          <w:rFonts w:hint="eastAsia" w:ascii="宋体" w:hAnsi="宋体"/>
          <w:color w:val="auto"/>
          <w:kern w:val="0"/>
          <w:sz w:val="24"/>
          <w:highlight w:val="none"/>
        </w:rPr>
        <w:t>。</w:t>
      </w:r>
    </w:p>
    <w:p>
      <w:pPr>
        <w:autoSpaceDE w:val="0"/>
        <w:autoSpaceDN w:val="0"/>
        <w:adjustRightInd w:val="0"/>
        <w:spacing w:line="40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 xml:space="preserve">2.6  </w:t>
      </w:r>
      <w:r>
        <w:rPr>
          <w:rFonts w:hint="eastAsia" w:ascii="宋体" w:hAnsi="宋体" w:cs="宋体"/>
          <w:color w:val="auto"/>
          <w:kern w:val="0"/>
          <w:sz w:val="24"/>
          <w:highlight w:val="none"/>
          <w:lang w:val="zh-CN"/>
        </w:rPr>
        <w:t>甲方及其工作人员（含其配偶、子女）不得从事与合同有关的材料和工程设备供应、工程分包、劳务等经济活动</w:t>
      </w:r>
      <w:r>
        <w:rPr>
          <w:rFonts w:hint="eastAsia" w:ascii="宋体" w:hAnsi="宋体"/>
          <w:color w:val="auto"/>
          <w:kern w:val="0"/>
          <w:sz w:val="24"/>
          <w:highlight w:val="none"/>
        </w:rPr>
        <w:t>。</w:t>
      </w:r>
    </w:p>
    <w:p>
      <w:pPr>
        <w:autoSpaceDE w:val="0"/>
        <w:autoSpaceDN w:val="0"/>
        <w:adjustRightInd w:val="0"/>
        <w:spacing w:line="400" w:lineRule="exact"/>
        <w:ind w:firstLine="482" w:firstLineChars="200"/>
        <w:rPr>
          <w:rFonts w:ascii="宋体" w:hAnsi="宋体"/>
          <w:b/>
          <w:bCs/>
          <w:color w:val="auto"/>
          <w:kern w:val="0"/>
          <w:sz w:val="24"/>
          <w:highlight w:val="none"/>
        </w:rPr>
      </w:pPr>
      <w:r>
        <w:rPr>
          <w:rFonts w:hint="eastAsia" w:ascii="宋体" w:hAnsi="宋体"/>
          <w:b/>
          <w:bCs/>
          <w:color w:val="auto"/>
          <w:kern w:val="0"/>
          <w:sz w:val="24"/>
          <w:highlight w:val="none"/>
        </w:rPr>
        <w:t>3  乙方义务</w:t>
      </w:r>
    </w:p>
    <w:p>
      <w:pPr>
        <w:autoSpaceDE w:val="0"/>
        <w:autoSpaceDN w:val="0"/>
        <w:adjustRightInd w:val="0"/>
        <w:spacing w:line="40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3.1  乙方不得以任何理由向甲方及其工作人员行贿或馈赠礼金、有价证券、贵重礼品。</w:t>
      </w:r>
    </w:p>
    <w:p>
      <w:pPr>
        <w:autoSpaceDE w:val="0"/>
        <w:autoSpaceDN w:val="0"/>
        <w:adjustRightInd w:val="0"/>
        <w:spacing w:line="40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3.2  乙方不得以任何名义为甲方及其工作人员报销应由甲方或工作人员个人支付的任何费用。</w:t>
      </w:r>
    </w:p>
    <w:p>
      <w:pPr>
        <w:autoSpaceDE w:val="0"/>
        <w:autoSpaceDN w:val="0"/>
        <w:adjustRightInd w:val="0"/>
        <w:spacing w:line="40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3.3  乙方不得以任何理由安排甲方及其工作人员参加宴请（工作餐除外）及娱乐活动。</w:t>
      </w:r>
    </w:p>
    <w:p>
      <w:pPr>
        <w:autoSpaceDE w:val="0"/>
        <w:autoSpaceDN w:val="0"/>
        <w:adjustRightInd w:val="0"/>
        <w:spacing w:line="40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3.4  乙方不得为甲方和个人购置或提供通讯工具、交通工具和高档办公用品等。</w:t>
      </w:r>
    </w:p>
    <w:p>
      <w:pPr>
        <w:autoSpaceDE w:val="0"/>
        <w:autoSpaceDN w:val="0"/>
        <w:adjustRightInd w:val="0"/>
        <w:spacing w:line="40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 xml:space="preserve">3.5  </w:t>
      </w:r>
      <w:r>
        <w:rPr>
          <w:rFonts w:hint="eastAsia" w:ascii="宋体" w:hAnsi="宋体" w:cs="宋体"/>
          <w:color w:val="auto"/>
          <w:kern w:val="0"/>
          <w:sz w:val="24"/>
          <w:highlight w:val="none"/>
          <w:lang w:val="zh-CN"/>
        </w:rPr>
        <w:t>乙方不得为甲方及其工作人员的住房装修、婚丧嫁娶活动、配偶子女工作安排以及出国出境、旅游等提供方便。</w:t>
      </w:r>
    </w:p>
    <w:p>
      <w:pPr>
        <w:tabs>
          <w:tab w:val="left" w:pos="900"/>
        </w:tabs>
        <w:autoSpaceDE w:val="0"/>
        <w:autoSpaceDN w:val="0"/>
        <w:adjustRightInd w:val="0"/>
        <w:spacing w:line="400" w:lineRule="exact"/>
        <w:ind w:firstLine="482" w:firstLineChars="200"/>
        <w:rPr>
          <w:rFonts w:ascii="宋体" w:hAnsi="宋体"/>
          <w:b/>
          <w:bCs/>
          <w:color w:val="auto"/>
          <w:kern w:val="0"/>
          <w:sz w:val="24"/>
          <w:highlight w:val="none"/>
        </w:rPr>
      </w:pPr>
      <w:r>
        <w:rPr>
          <w:rFonts w:hint="eastAsia" w:ascii="宋体" w:hAnsi="宋体"/>
          <w:b/>
          <w:bCs/>
          <w:color w:val="auto"/>
          <w:kern w:val="0"/>
          <w:sz w:val="24"/>
          <w:highlight w:val="none"/>
        </w:rPr>
        <w:t>4  违约责任</w:t>
      </w:r>
    </w:p>
    <w:p>
      <w:pPr>
        <w:autoSpaceDE w:val="0"/>
        <w:autoSpaceDN w:val="0"/>
        <w:adjustRightInd w:val="0"/>
        <w:spacing w:line="40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4.1  甲方及其工作人员违反本合同第1条和第2条规定，应依据有关规定给予廉政建设规定的处分；涉嫌犯罪的，移交司法机关追究刑事责任；给乙方造成经济损失的，应予赔偿。</w:t>
      </w:r>
    </w:p>
    <w:p>
      <w:pPr>
        <w:autoSpaceDE w:val="0"/>
        <w:autoSpaceDN w:val="0"/>
        <w:adjustRightInd w:val="0"/>
        <w:spacing w:line="40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 xml:space="preserve">4.2  </w:t>
      </w:r>
      <w:r>
        <w:rPr>
          <w:rFonts w:hint="eastAsia" w:ascii="宋体" w:hAnsi="宋体" w:cs="宋体"/>
          <w:color w:val="auto"/>
          <w:kern w:val="0"/>
          <w:sz w:val="24"/>
          <w:highlight w:val="none"/>
          <w:lang w:val="zh-CN"/>
        </w:rPr>
        <w:t>乙方及其工作人员违反本合同第</w:t>
      </w:r>
      <w:r>
        <w:rPr>
          <w:rFonts w:ascii="宋体" w:hAnsi="宋体"/>
          <w:color w:val="auto"/>
          <w:kern w:val="0"/>
          <w:sz w:val="24"/>
          <w:highlight w:val="none"/>
        </w:rPr>
        <w:t xml:space="preserve"> 1</w:t>
      </w:r>
      <w:r>
        <w:rPr>
          <w:rFonts w:ascii="宋体" w:hAnsi="宋体" w:cs="Arial"/>
          <w:color w:val="auto"/>
          <w:kern w:val="0"/>
          <w:sz w:val="24"/>
          <w:highlight w:val="none"/>
        </w:rPr>
        <w:t xml:space="preserve"> </w:t>
      </w:r>
      <w:r>
        <w:rPr>
          <w:rFonts w:hint="eastAsia" w:ascii="宋体" w:hAnsi="宋体" w:cs="宋体"/>
          <w:color w:val="auto"/>
          <w:kern w:val="0"/>
          <w:sz w:val="24"/>
          <w:highlight w:val="none"/>
          <w:lang w:val="zh-CN"/>
        </w:rPr>
        <w:t>条和第</w:t>
      </w:r>
      <w:r>
        <w:rPr>
          <w:rFonts w:ascii="宋体" w:hAnsi="宋体"/>
          <w:color w:val="auto"/>
          <w:kern w:val="0"/>
          <w:sz w:val="24"/>
          <w:highlight w:val="none"/>
        </w:rPr>
        <w:t xml:space="preserve"> 3</w:t>
      </w:r>
      <w:r>
        <w:rPr>
          <w:rFonts w:ascii="宋体" w:hAnsi="宋体" w:cs="Arial"/>
          <w:color w:val="auto"/>
          <w:kern w:val="0"/>
          <w:sz w:val="24"/>
          <w:highlight w:val="none"/>
        </w:rPr>
        <w:t xml:space="preserve"> </w:t>
      </w:r>
      <w:r>
        <w:rPr>
          <w:rFonts w:hint="eastAsia" w:ascii="宋体" w:hAnsi="宋体" w:cs="宋体"/>
          <w:color w:val="auto"/>
          <w:kern w:val="0"/>
          <w:sz w:val="24"/>
          <w:highlight w:val="none"/>
          <w:lang w:val="zh-CN"/>
        </w:rPr>
        <w:t>条规定，应按照廉政建设的有关规定给</w:t>
      </w:r>
      <w:r>
        <w:rPr>
          <w:rFonts w:ascii="宋体" w:hAnsi="宋体" w:cs="Arial"/>
          <w:color w:val="auto"/>
          <w:kern w:val="0"/>
          <w:sz w:val="24"/>
          <w:highlight w:val="none"/>
        </w:rPr>
        <w:t xml:space="preserve"> </w:t>
      </w:r>
      <w:r>
        <w:rPr>
          <w:rFonts w:hint="eastAsia" w:ascii="宋体" w:hAnsi="宋体" w:cs="宋体"/>
          <w:color w:val="auto"/>
          <w:kern w:val="0"/>
          <w:sz w:val="24"/>
          <w:highlight w:val="none"/>
          <w:lang w:val="zh-CN"/>
        </w:rPr>
        <w:t>予处分；情节严重的，给予乙方</w:t>
      </w:r>
      <w:r>
        <w:rPr>
          <w:rFonts w:ascii="宋体" w:hAnsi="宋体" w:cs="Arial"/>
          <w:color w:val="auto"/>
          <w:kern w:val="0"/>
          <w:sz w:val="24"/>
          <w:highlight w:val="none"/>
        </w:rPr>
        <w:t xml:space="preserve"> 1</w:t>
      </w:r>
      <w:r>
        <w:rPr>
          <w:rFonts w:hint="eastAsia" w:ascii="宋体" w:hAnsi="宋体" w:cs="宋体"/>
          <w:color w:val="auto"/>
          <w:kern w:val="0"/>
          <w:sz w:val="24"/>
          <w:highlight w:val="none"/>
          <w:lang w:val="zh-CN"/>
        </w:rPr>
        <w:t>～</w:t>
      </w:r>
      <w:r>
        <w:rPr>
          <w:rFonts w:ascii="宋体" w:hAnsi="宋体"/>
          <w:color w:val="auto"/>
          <w:kern w:val="0"/>
          <w:sz w:val="24"/>
          <w:highlight w:val="none"/>
        </w:rPr>
        <w:t>3</w:t>
      </w:r>
      <w:r>
        <w:rPr>
          <w:rFonts w:ascii="宋体" w:hAnsi="宋体" w:cs="Arial"/>
          <w:color w:val="auto"/>
          <w:kern w:val="0"/>
          <w:sz w:val="24"/>
          <w:highlight w:val="none"/>
        </w:rPr>
        <w:t xml:space="preserve"> </w:t>
      </w:r>
      <w:r>
        <w:rPr>
          <w:rFonts w:hint="eastAsia" w:ascii="宋体" w:hAnsi="宋体" w:cs="宋体"/>
          <w:color w:val="auto"/>
          <w:kern w:val="0"/>
          <w:sz w:val="24"/>
          <w:highlight w:val="none"/>
          <w:lang w:val="zh-CN"/>
        </w:rPr>
        <w:t>年内不得进入工程建设市场的处罚；涉嫌犯罪的，移交</w:t>
      </w:r>
      <w:r>
        <w:rPr>
          <w:rFonts w:ascii="宋体" w:hAnsi="宋体" w:cs="Arial"/>
          <w:color w:val="auto"/>
          <w:kern w:val="0"/>
          <w:sz w:val="24"/>
          <w:highlight w:val="none"/>
        </w:rPr>
        <w:t xml:space="preserve"> </w:t>
      </w:r>
      <w:r>
        <w:rPr>
          <w:rFonts w:hint="eastAsia" w:ascii="宋体" w:hAnsi="宋体" w:cs="宋体"/>
          <w:color w:val="auto"/>
          <w:kern w:val="0"/>
          <w:sz w:val="24"/>
          <w:highlight w:val="none"/>
          <w:lang w:val="zh-CN"/>
        </w:rPr>
        <w:t>司法机关追究刑事责任；给甲方造成损失的，应予赔偿；</w:t>
      </w:r>
    </w:p>
    <w:p>
      <w:pPr>
        <w:autoSpaceDE w:val="0"/>
        <w:autoSpaceDN w:val="0"/>
        <w:adjustRightInd w:val="0"/>
        <w:spacing w:line="400" w:lineRule="exact"/>
        <w:ind w:left="480"/>
        <w:rPr>
          <w:rFonts w:ascii="宋体" w:hAnsi="宋体"/>
          <w:b/>
          <w:bCs/>
          <w:color w:val="auto"/>
          <w:kern w:val="0"/>
          <w:sz w:val="24"/>
          <w:highlight w:val="none"/>
        </w:rPr>
      </w:pPr>
      <w:r>
        <w:rPr>
          <w:rFonts w:hint="eastAsia" w:ascii="宋体" w:hAnsi="宋体"/>
          <w:b/>
          <w:bCs/>
          <w:color w:val="auto"/>
          <w:kern w:val="0"/>
          <w:sz w:val="24"/>
          <w:highlight w:val="none"/>
        </w:rPr>
        <w:t>5  双方约定</w:t>
      </w:r>
    </w:p>
    <w:p>
      <w:pPr>
        <w:autoSpaceDE w:val="0"/>
        <w:autoSpaceDN w:val="0"/>
        <w:adjustRightInd w:val="0"/>
        <w:spacing w:after="120" w:line="400" w:lineRule="exact"/>
        <w:ind w:firstLine="480" w:firstLineChars="200"/>
        <w:rPr>
          <w:rFonts w:ascii="宋体" w:hAnsi="宋体"/>
          <w:color w:val="auto"/>
          <w:kern w:val="0"/>
          <w:sz w:val="24"/>
          <w:highlight w:val="none"/>
        </w:rPr>
      </w:pPr>
      <w:r>
        <w:rPr>
          <w:rFonts w:hint="eastAsia" w:ascii="宋体" w:hAnsi="宋体" w:cs="宋体"/>
          <w:color w:val="auto"/>
          <w:kern w:val="0"/>
          <w:sz w:val="24"/>
          <w:highlight w:val="none"/>
          <w:lang w:val="zh-CN"/>
        </w:rPr>
        <w:t>本合同由合同双方当事人或其上级部门负责监督执行，并由合同双方当事人或其上级部门</w:t>
      </w:r>
      <w:r>
        <w:rPr>
          <w:rFonts w:ascii="宋体" w:hAnsi="宋体" w:cs="Arial"/>
          <w:color w:val="auto"/>
          <w:kern w:val="0"/>
          <w:sz w:val="24"/>
          <w:highlight w:val="none"/>
        </w:rPr>
        <w:t xml:space="preserve"> </w:t>
      </w:r>
      <w:r>
        <w:rPr>
          <w:rFonts w:hint="eastAsia" w:ascii="宋体" w:hAnsi="宋体" w:cs="宋体"/>
          <w:color w:val="auto"/>
          <w:kern w:val="0"/>
          <w:sz w:val="24"/>
          <w:highlight w:val="none"/>
          <w:lang w:val="zh-CN"/>
        </w:rPr>
        <w:t>相互约请对本合同执行情况进行检查</w:t>
      </w:r>
      <w:r>
        <w:rPr>
          <w:rFonts w:hint="eastAsia" w:ascii="宋体" w:hAnsi="宋体"/>
          <w:color w:val="auto"/>
          <w:kern w:val="0"/>
          <w:sz w:val="24"/>
          <w:highlight w:val="none"/>
        </w:rPr>
        <w:t>。</w:t>
      </w:r>
    </w:p>
    <w:p>
      <w:pPr>
        <w:autoSpaceDE w:val="0"/>
        <w:autoSpaceDN w:val="0"/>
        <w:adjustRightInd w:val="0"/>
        <w:spacing w:line="400" w:lineRule="exact"/>
        <w:ind w:firstLine="482" w:firstLineChars="200"/>
        <w:rPr>
          <w:rFonts w:ascii="宋体" w:hAnsi="宋体"/>
          <w:b/>
          <w:bCs/>
          <w:color w:val="auto"/>
          <w:kern w:val="0"/>
          <w:sz w:val="24"/>
          <w:highlight w:val="none"/>
        </w:rPr>
      </w:pPr>
      <w:r>
        <w:rPr>
          <w:rFonts w:hint="eastAsia" w:ascii="宋体" w:hAnsi="宋体"/>
          <w:b/>
          <w:bCs/>
          <w:color w:val="auto"/>
          <w:kern w:val="0"/>
          <w:sz w:val="24"/>
          <w:highlight w:val="none"/>
        </w:rPr>
        <w:t>6  合同法律效力</w:t>
      </w:r>
    </w:p>
    <w:p>
      <w:pPr>
        <w:autoSpaceDE w:val="0"/>
        <w:autoSpaceDN w:val="0"/>
        <w:adjustRightInd w:val="0"/>
        <w:spacing w:line="40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本合同作为</w:t>
      </w:r>
      <w:r>
        <w:rPr>
          <w:rFonts w:hint="eastAsia" w:ascii="宋体" w:hAnsi="宋体"/>
          <w:bCs/>
          <w:color w:val="auto"/>
          <w:sz w:val="24"/>
          <w:highlight w:val="none"/>
        </w:rPr>
        <w:t>委托代理协议</w:t>
      </w:r>
      <w:r>
        <w:rPr>
          <w:rFonts w:hint="eastAsia" w:ascii="宋体" w:hAnsi="宋体"/>
          <w:color w:val="auto"/>
          <w:kern w:val="0"/>
          <w:sz w:val="24"/>
          <w:highlight w:val="none"/>
        </w:rPr>
        <w:t>的附件，与</w:t>
      </w:r>
      <w:r>
        <w:rPr>
          <w:rFonts w:hint="eastAsia" w:ascii="宋体" w:hAnsi="宋体"/>
          <w:bCs/>
          <w:color w:val="auto"/>
          <w:sz w:val="24"/>
          <w:highlight w:val="none"/>
        </w:rPr>
        <w:t>委托代理协议</w:t>
      </w:r>
      <w:r>
        <w:rPr>
          <w:rFonts w:hint="eastAsia" w:ascii="宋体" w:hAnsi="宋体"/>
          <w:color w:val="auto"/>
          <w:kern w:val="0"/>
          <w:sz w:val="24"/>
          <w:highlight w:val="none"/>
        </w:rPr>
        <w:t>具有同等的法律效力。</w:t>
      </w:r>
    </w:p>
    <w:p>
      <w:pPr>
        <w:autoSpaceDE w:val="0"/>
        <w:autoSpaceDN w:val="0"/>
        <w:adjustRightInd w:val="0"/>
        <w:spacing w:line="400" w:lineRule="exact"/>
        <w:ind w:firstLine="472" w:firstLineChars="196"/>
        <w:rPr>
          <w:rFonts w:ascii="宋体" w:hAnsi="宋体"/>
          <w:b/>
          <w:bCs/>
          <w:color w:val="auto"/>
          <w:kern w:val="0"/>
          <w:sz w:val="24"/>
          <w:highlight w:val="none"/>
        </w:rPr>
      </w:pPr>
      <w:r>
        <w:rPr>
          <w:rFonts w:hint="eastAsia" w:ascii="宋体" w:hAnsi="宋体"/>
          <w:b/>
          <w:bCs/>
          <w:color w:val="auto"/>
          <w:kern w:val="0"/>
          <w:sz w:val="24"/>
          <w:highlight w:val="none"/>
        </w:rPr>
        <w:t>7  合同份数</w:t>
      </w:r>
    </w:p>
    <w:p>
      <w:pPr>
        <w:autoSpaceDE w:val="0"/>
        <w:autoSpaceDN w:val="0"/>
        <w:adjustRightInd w:val="0"/>
        <w:spacing w:line="40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本合同一式</w:t>
      </w:r>
      <w:r>
        <w:rPr>
          <w:rFonts w:hint="eastAsia" w:ascii="宋体" w:hAnsi="宋体"/>
          <w:color w:val="auto"/>
          <w:kern w:val="0"/>
          <w:sz w:val="24"/>
          <w:highlight w:val="none"/>
          <w:u w:val="single"/>
        </w:rPr>
        <w:t xml:space="preserve">  贰 </w:t>
      </w:r>
      <w:r>
        <w:rPr>
          <w:rFonts w:hint="eastAsia" w:ascii="宋体" w:hAnsi="宋体"/>
          <w:color w:val="auto"/>
          <w:kern w:val="0"/>
          <w:sz w:val="24"/>
          <w:highlight w:val="none"/>
        </w:rPr>
        <w:t>份，甲方执</w:t>
      </w:r>
      <w:r>
        <w:rPr>
          <w:rFonts w:hint="eastAsia" w:ascii="宋体" w:hAnsi="宋体"/>
          <w:color w:val="auto"/>
          <w:kern w:val="0"/>
          <w:sz w:val="24"/>
          <w:highlight w:val="none"/>
          <w:u w:val="single"/>
        </w:rPr>
        <w:t xml:space="preserve"> 壹 </w:t>
      </w:r>
      <w:r>
        <w:rPr>
          <w:rFonts w:hint="eastAsia" w:ascii="宋体" w:hAnsi="宋体"/>
          <w:color w:val="auto"/>
          <w:kern w:val="0"/>
          <w:sz w:val="24"/>
          <w:highlight w:val="none"/>
        </w:rPr>
        <w:t>份，乙方执</w:t>
      </w:r>
      <w:r>
        <w:rPr>
          <w:rFonts w:hint="eastAsia" w:ascii="宋体" w:hAnsi="宋体"/>
          <w:color w:val="auto"/>
          <w:kern w:val="0"/>
          <w:sz w:val="24"/>
          <w:highlight w:val="none"/>
          <w:u w:val="single"/>
        </w:rPr>
        <w:t xml:space="preserve"> </w:t>
      </w:r>
      <w:r>
        <w:rPr>
          <w:rFonts w:ascii="宋体" w:hAnsi="宋体"/>
          <w:color w:val="auto"/>
          <w:kern w:val="0"/>
          <w:sz w:val="24"/>
          <w:highlight w:val="none"/>
          <w:u w:val="single"/>
        </w:rPr>
        <w:t>壹</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份。</w:t>
      </w:r>
    </w:p>
    <w:p>
      <w:pPr>
        <w:autoSpaceDE w:val="0"/>
        <w:autoSpaceDN w:val="0"/>
        <w:adjustRightInd w:val="0"/>
        <w:spacing w:line="400" w:lineRule="exact"/>
        <w:ind w:firstLine="480" w:firstLineChars="200"/>
        <w:rPr>
          <w:rFonts w:ascii="宋体" w:hAnsi="宋体"/>
          <w:color w:val="auto"/>
          <w:kern w:val="0"/>
          <w:sz w:val="24"/>
          <w:highlight w:val="none"/>
        </w:rPr>
      </w:pPr>
    </w:p>
    <w:p>
      <w:pPr>
        <w:autoSpaceDE w:val="0"/>
        <w:autoSpaceDN w:val="0"/>
        <w:adjustRightInd w:val="0"/>
        <w:spacing w:line="400" w:lineRule="exact"/>
        <w:rPr>
          <w:rFonts w:ascii="宋体" w:hAnsi="宋体"/>
          <w:color w:val="auto"/>
          <w:kern w:val="0"/>
          <w:sz w:val="24"/>
          <w:highlight w:val="none"/>
        </w:rPr>
      </w:pPr>
    </w:p>
    <w:p>
      <w:pPr>
        <w:autoSpaceDE w:val="0"/>
        <w:autoSpaceDN w:val="0"/>
        <w:adjustRightInd w:val="0"/>
        <w:spacing w:line="400" w:lineRule="exact"/>
        <w:rPr>
          <w:rFonts w:ascii="宋体" w:hAnsi="宋体"/>
          <w:color w:val="auto"/>
          <w:kern w:val="0"/>
          <w:sz w:val="24"/>
          <w:highlight w:val="none"/>
        </w:rPr>
      </w:pPr>
    </w:p>
    <w:p>
      <w:pPr>
        <w:autoSpaceDE w:val="0"/>
        <w:autoSpaceDN w:val="0"/>
        <w:adjustRightInd w:val="0"/>
        <w:spacing w:line="400" w:lineRule="exact"/>
        <w:rPr>
          <w:rFonts w:ascii="宋体" w:hAnsi="宋体"/>
          <w:color w:val="auto"/>
          <w:kern w:val="0"/>
          <w:sz w:val="24"/>
          <w:highlight w:val="none"/>
        </w:rPr>
      </w:pPr>
    </w:p>
    <w:p>
      <w:pPr>
        <w:autoSpaceDE w:val="0"/>
        <w:autoSpaceDN w:val="0"/>
        <w:adjustRightInd w:val="0"/>
        <w:spacing w:line="400" w:lineRule="exact"/>
        <w:rPr>
          <w:rFonts w:ascii="宋体" w:hAnsi="宋体"/>
          <w:color w:val="auto"/>
          <w:kern w:val="0"/>
          <w:sz w:val="24"/>
          <w:highlight w:val="none"/>
        </w:rPr>
      </w:pPr>
      <w:r>
        <w:rPr>
          <w:rFonts w:hint="eastAsia" w:ascii="宋体" w:hAnsi="宋体"/>
          <w:color w:val="auto"/>
          <w:kern w:val="0"/>
          <w:sz w:val="24"/>
          <w:highlight w:val="none"/>
        </w:rPr>
        <w:t>甲方：（盖章）                          乙方：（盖章）</w:t>
      </w:r>
    </w:p>
    <w:p>
      <w:pPr>
        <w:autoSpaceDE w:val="0"/>
        <w:autoSpaceDN w:val="0"/>
        <w:adjustRightInd w:val="0"/>
        <w:spacing w:line="400" w:lineRule="exact"/>
        <w:rPr>
          <w:rFonts w:ascii="宋体" w:hAnsi="宋体"/>
          <w:color w:val="auto"/>
          <w:kern w:val="0"/>
          <w:sz w:val="24"/>
          <w:highlight w:val="none"/>
        </w:rPr>
      </w:pPr>
      <w:r>
        <w:rPr>
          <w:rFonts w:hint="eastAsia" w:ascii="宋体" w:hAnsi="宋体"/>
          <w:color w:val="auto"/>
          <w:kern w:val="0"/>
          <w:sz w:val="24"/>
          <w:highlight w:val="none"/>
        </w:rPr>
        <w:t>委托代理人（签字或盖章）：              委托代理人（签字或盖章）：</w:t>
      </w:r>
    </w:p>
    <w:p>
      <w:pPr>
        <w:autoSpaceDE w:val="0"/>
        <w:autoSpaceDN w:val="0"/>
        <w:adjustRightInd w:val="0"/>
        <w:spacing w:line="400" w:lineRule="exact"/>
        <w:rPr>
          <w:rFonts w:ascii="宋体" w:hAnsi="宋体"/>
          <w:color w:val="auto"/>
          <w:kern w:val="0"/>
          <w:sz w:val="24"/>
          <w:highlight w:val="none"/>
          <w:u w:val="single"/>
        </w:rPr>
      </w:pPr>
      <w:r>
        <w:rPr>
          <w:rFonts w:hint="eastAsia" w:ascii="宋体" w:hAnsi="宋体"/>
          <w:color w:val="auto"/>
          <w:kern w:val="0"/>
          <w:sz w:val="24"/>
          <w:highlight w:val="none"/>
        </w:rPr>
        <w:t>联系电话：</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 xml:space="preserve">              联系电话：</w:t>
      </w:r>
      <w:r>
        <w:rPr>
          <w:rFonts w:hint="eastAsia" w:ascii="宋体" w:hAnsi="宋体"/>
          <w:color w:val="auto"/>
          <w:kern w:val="0"/>
          <w:sz w:val="24"/>
          <w:highlight w:val="none"/>
          <w:u w:val="single"/>
        </w:rPr>
        <w:t xml:space="preserve">              </w:t>
      </w:r>
    </w:p>
    <w:p>
      <w:pPr>
        <w:autoSpaceDE w:val="0"/>
        <w:autoSpaceDN w:val="0"/>
        <w:adjustRightInd w:val="0"/>
        <w:spacing w:line="400" w:lineRule="exact"/>
        <w:rPr>
          <w:rFonts w:ascii="宋体" w:hAnsi="宋体"/>
          <w:color w:val="auto"/>
          <w:sz w:val="24"/>
          <w:highlight w:val="none"/>
        </w:rPr>
      </w:pP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年</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月</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 xml:space="preserve">日            </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年</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月</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日</w:t>
      </w:r>
    </w:p>
    <w:p>
      <w:pPr>
        <w:rPr>
          <w:color w:val="auto"/>
          <w:sz w:val="24"/>
          <w:highlight w:val="none"/>
        </w:rPr>
      </w:pPr>
    </w:p>
    <w:p>
      <w:pPr>
        <w:tabs>
          <w:tab w:val="left" w:pos="720"/>
        </w:tabs>
        <w:spacing w:line="360" w:lineRule="auto"/>
        <w:rPr>
          <w:rFonts w:ascii="宋体" w:hAnsi="宋体"/>
          <w:color w:val="auto"/>
          <w:sz w:val="36"/>
          <w:szCs w:val="36"/>
          <w:highlight w:val="none"/>
        </w:rPr>
      </w:pPr>
      <w:r>
        <w:rPr>
          <w:rFonts w:hint="eastAsia" w:ascii="宋体" w:hAnsi="宋体"/>
          <w:b/>
          <w:color w:val="auto"/>
          <w:kern w:val="0"/>
          <w:szCs w:val="21"/>
          <w:highlight w:val="none"/>
        </w:rPr>
        <w:br w:type="page"/>
      </w:r>
      <w:r>
        <w:rPr>
          <w:rFonts w:hint="eastAsia" w:ascii="宋体" w:hAnsi="宋体"/>
          <w:b/>
          <w:bCs/>
          <w:color w:val="auto"/>
          <w:sz w:val="36"/>
          <w:szCs w:val="36"/>
          <w:highlight w:val="none"/>
        </w:rPr>
        <w:t>第六部分　投标文件格式</w:t>
      </w:r>
      <w:bookmarkEnd w:id="41"/>
    </w:p>
    <w:p>
      <w:pPr>
        <w:spacing w:line="30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投标人编写的投标文件应包括自查表、资格性符合性部分、商务部分、技术（服务）部分、价格部分五部分。</w:t>
      </w:r>
    </w:p>
    <w:p>
      <w:pPr>
        <w:spacing w:line="300" w:lineRule="auto"/>
        <w:rPr>
          <w:rFonts w:ascii="宋体" w:hAnsi="宋体"/>
          <w:color w:val="auto"/>
          <w:szCs w:val="21"/>
          <w:highlight w:val="none"/>
        </w:rPr>
      </w:pPr>
    </w:p>
    <w:p>
      <w:pPr>
        <w:spacing w:line="300" w:lineRule="auto"/>
        <w:rPr>
          <w:rFonts w:ascii="宋体" w:hAnsi="宋体"/>
          <w:color w:val="auto"/>
          <w:szCs w:val="21"/>
          <w:highlight w:val="none"/>
          <w:u w:val="single"/>
        </w:rPr>
      </w:pPr>
      <w:r>
        <w:rPr>
          <w:rFonts w:hint="eastAsia" w:ascii="宋体" w:hAnsi="宋体"/>
          <w:color w:val="auto"/>
          <w:szCs w:val="21"/>
          <w:highlight w:val="none"/>
        </w:rPr>
        <w:t>注：1.</w:t>
      </w:r>
      <w:r>
        <w:rPr>
          <w:rFonts w:hint="eastAsia" w:ascii="宋体" w:hAnsi="宋体"/>
          <w:color w:val="auto"/>
          <w:szCs w:val="21"/>
          <w:highlight w:val="none"/>
          <w:u w:val="single"/>
        </w:rPr>
        <w:t>请投标人按照以下文件的要求格式、内容，顺序制作投标文件，并请编制目录及页码，否则可能将影响对投标文件的评价。</w:t>
      </w:r>
    </w:p>
    <w:p>
      <w:pPr>
        <w:spacing w:line="300" w:lineRule="auto"/>
        <w:ind w:firstLine="630" w:firstLineChars="300"/>
        <w:rPr>
          <w:rFonts w:ascii="宋体" w:hAnsi="宋体"/>
          <w:color w:val="auto"/>
          <w:szCs w:val="21"/>
          <w:highlight w:val="none"/>
          <w:u w:val="single"/>
        </w:rPr>
      </w:pPr>
      <w:r>
        <w:rPr>
          <w:rFonts w:hint="eastAsia" w:ascii="宋体" w:hAnsi="宋体"/>
          <w:color w:val="auto"/>
          <w:szCs w:val="21"/>
          <w:highlight w:val="none"/>
          <w:u w:val="single"/>
        </w:rPr>
        <w:t>1.1</w:t>
      </w:r>
      <w:r>
        <w:rPr>
          <w:rFonts w:hint="eastAsia" w:ascii="宋体" w:hAnsi="宋体"/>
          <w:color w:val="auto"/>
          <w:szCs w:val="21"/>
          <w:highlight w:val="none"/>
          <w:u w:val="single"/>
        </w:rPr>
        <w:tab/>
      </w:r>
      <w:r>
        <w:rPr>
          <w:rFonts w:hint="eastAsia" w:ascii="宋体" w:hAnsi="宋体"/>
          <w:color w:val="auto"/>
          <w:szCs w:val="21"/>
          <w:highlight w:val="none"/>
          <w:u w:val="single"/>
        </w:rPr>
        <w:t>自查表</w:t>
      </w:r>
    </w:p>
    <w:p>
      <w:pPr>
        <w:spacing w:line="300" w:lineRule="auto"/>
        <w:ind w:firstLine="1047" w:firstLineChars="499"/>
        <w:rPr>
          <w:rFonts w:ascii="宋体" w:hAnsi="宋体"/>
          <w:color w:val="auto"/>
          <w:szCs w:val="21"/>
          <w:highlight w:val="none"/>
          <w:u w:val="single"/>
        </w:rPr>
      </w:pPr>
      <w:r>
        <w:rPr>
          <w:rFonts w:hint="eastAsia" w:ascii="宋体" w:hAnsi="宋体"/>
          <w:color w:val="auto"/>
          <w:szCs w:val="21"/>
          <w:highlight w:val="none"/>
          <w:u w:val="single"/>
        </w:rPr>
        <w:t>1.1.1</w:t>
      </w:r>
      <w:r>
        <w:rPr>
          <w:rFonts w:hint="eastAsia" w:ascii="宋体" w:hAnsi="宋体"/>
          <w:color w:val="auto"/>
          <w:szCs w:val="21"/>
          <w:highlight w:val="none"/>
          <w:u w:val="single"/>
        </w:rPr>
        <w:tab/>
      </w:r>
      <w:r>
        <w:rPr>
          <w:rFonts w:hint="eastAsia" w:ascii="宋体" w:hAnsi="宋体"/>
          <w:color w:val="auto"/>
          <w:szCs w:val="21"/>
          <w:highlight w:val="none"/>
          <w:u w:val="single"/>
        </w:rPr>
        <w:t>商务评分页码对应表</w:t>
      </w:r>
    </w:p>
    <w:p>
      <w:pPr>
        <w:spacing w:line="300" w:lineRule="auto"/>
        <w:ind w:firstLine="1047" w:firstLineChars="499"/>
        <w:rPr>
          <w:rFonts w:ascii="宋体" w:hAnsi="宋体"/>
          <w:color w:val="auto"/>
          <w:szCs w:val="21"/>
          <w:highlight w:val="none"/>
          <w:u w:val="single"/>
        </w:rPr>
      </w:pPr>
      <w:r>
        <w:rPr>
          <w:rFonts w:hint="eastAsia" w:ascii="宋体" w:hAnsi="宋体"/>
          <w:color w:val="auto"/>
          <w:szCs w:val="21"/>
          <w:highlight w:val="none"/>
          <w:u w:val="single"/>
        </w:rPr>
        <w:t>1.1.2</w:t>
      </w:r>
      <w:r>
        <w:rPr>
          <w:rFonts w:hint="eastAsia" w:ascii="宋体" w:hAnsi="宋体"/>
          <w:color w:val="auto"/>
          <w:szCs w:val="21"/>
          <w:highlight w:val="none"/>
          <w:u w:val="single"/>
        </w:rPr>
        <w:tab/>
      </w:r>
      <w:r>
        <w:rPr>
          <w:rFonts w:hint="eastAsia" w:ascii="宋体" w:hAnsi="宋体"/>
          <w:color w:val="auto"/>
          <w:szCs w:val="21"/>
          <w:highlight w:val="none"/>
          <w:u w:val="single"/>
        </w:rPr>
        <w:t>技术（服务）评分页码对应表</w:t>
      </w:r>
    </w:p>
    <w:p>
      <w:pPr>
        <w:spacing w:line="300" w:lineRule="auto"/>
        <w:ind w:firstLine="630" w:firstLineChars="300"/>
        <w:rPr>
          <w:rFonts w:ascii="宋体" w:hAnsi="宋体"/>
          <w:color w:val="auto"/>
          <w:szCs w:val="21"/>
          <w:highlight w:val="none"/>
          <w:u w:val="single"/>
        </w:rPr>
      </w:pPr>
      <w:r>
        <w:rPr>
          <w:rFonts w:hint="eastAsia" w:ascii="宋体" w:hAnsi="宋体"/>
          <w:color w:val="auto"/>
          <w:szCs w:val="21"/>
          <w:highlight w:val="none"/>
          <w:u w:val="single"/>
        </w:rPr>
        <w:t>1.2</w:t>
      </w:r>
      <w:r>
        <w:rPr>
          <w:rFonts w:hint="eastAsia" w:ascii="宋体" w:hAnsi="宋体"/>
          <w:color w:val="auto"/>
          <w:szCs w:val="21"/>
          <w:highlight w:val="none"/>
          <w:u w:val="single"/>
        </w:rPr>
        <w:tab/>
      </w:r>
      <w:r>
        <w:rPr>
          <w:rFonts w:hint="eastAsia" w:ascii="宋体" w:hAnsi="宋体"/>
          <w:color w:val="auto"/>
          <w:szCs w:val="21"/>
          <w:highlight w:val="none"/>
          <w:u w:val="single"/>
        </w:rPr>
        <w:t>资格性符合性部分文件</w:t>
      </w:r>
    </w:p>
    <w:p>
      <w:pPr>
        <w:spacing w:line="300" w:lineRule="auto"/>
        <w:ind w:firstLine="630" w:firstLineChars="300"/>
        <w:rPr>
          <w:rFonts w:ascii="宋体" w:hAnsi="宋体"/>
          <w:color w:val="auto"/>
          <w:szCs w:val="21"/>
          <w:highlight w:val="none"/>
          <w:u w:val="single"/>
        </w:rPr>
      </w:pPr>
      <w:r>
        <w:rPr>
          <w:rFonts w:hint="eastAsia" w:ascii="宋体" w:hAnsi="宋体"/>
          <w:color w:val="auto"/>
          <w:szCs w:val="21"/>
          <w:highlight w:val="none"/>
          <w:u w:val="single"/>
        </w:rPr>
        <w:t>1.3</w:t>
      </w:r>
      <w:r>
        <w:rPr>
          <w:rFonts w:hint="eastAsia" w:ascii="宋体" w:hAnsi="宋体"/>
          <w:color w:val="auto"/>
          <w:szCs w:val="21"/>
          <w:highlight w:val="none"/>
          <w:u w:val="single"/>
        </w:rPr>
        <w:tab/>
      </w:r>
      <w:r>
        <w:rPr>
          <w:rFonts w:hint="eastAsia" w:ascii="宋体" w:hAnsi="宋体"/>
          <w:color w:val="auto"/>
          <w:szCs w:val="21"/>
          <w:highlight w:val="none"/>
          <w:u w:val="single"/>
        </w:rPr>
        <w:t>商务部分文件</w:t>
      </w:r>
    </w:p>
    <w:p>
      <w:pPr>
        <w:spacing w:line="300" w:lineRule="auto"/>
        <w:ind w:firstLine="630" w:firstLineChars="300"/>
        <w:rPr>
          <w:rFonts w:ascii="宋体" w:hAnsi="宋体"/>
          <w:color w:val="auto"/>
          <w:szCs w:val="21"/>
          <w:highlight w:val="none"/>
          <w:u w:val="single"/>
        </w:rPr>
      </w:pPr>
      <w:r>
        <w:rPr>
          <w:rFonts w:hint="eastAsia" w:ascii="宋体" w:hAnsi="宋体"/>
          <w:color w:val="auto"/>
          <w:szCs w:val="21"/>
          <w:highlight w:val="none"/>
          <w:u w:val="single"/>
        </w:rPr>
        <w:t>1.4</w:t>
      </w:r>
      <w:r>
        <w:rPr>
          <w:rFonts w:hint="eastAsia" w:ascii="宋体" w:hAnsi="宋体"/>
          <w:color w:val="auto"/>
          <w:szCs w:val="21"/>
          <w:highlight w:val="none"/>
          <w:u w:val="single"/>
        </w:rPr>
        <w:tab/>
      </w:r>
      <w:r>
        <w:rPr>
          <w:rFonts w:hint="eastAsia" w:ascii="宋体" w:hAnsi="宋体"/>
          <w:color w:val="auto"/>
          <w:szCs w:val="21"/>
          <w:highlight w:val="none"/>
          <w:u w:val="single"/>
        </w:rPr>
        <w:t>技术（服务）部分文件</w:t>
      </w:r>
    </w:p>
    <w:p>
      <w:pPr>
        <w:spacing w:line="300" w:lineRule="auto"/>
        <w:ind w:firstLine="630" w:firstLineChars="300"/>
        <w:rPr>
          <w:rFonts w:ascii="宋体" w:hAnsi="宋体"/>
          <w:color w:val="auto"/>
          <w:szCs w:val="21"/>
          <w:highlight w:val="none"/>
          <w:u w:val="single"/>
        </w:rPr>
      </w:pPr>
      <w:r>
        <w:rPr>
          <w:rFonts w:hint="eastAsia" w:ascii="宋体" w:hAnsi="宋体"/>
          <w:color w:val="auto"/>
          <w:szCs w:val="21"/>
          <w:highlight w:val="none"/>
          <w:u w:val="single"/>
        </w:rPr>
        <w:t>1.5</w:t>
      </w:r>
      <w:r>
        <w:rPr>
          <w:rFonts w:hint="eastAsia" w:ascii="宋体" w:hAnsi="宋体"/>
          <w:color w:val="auto"/>
          <w:szCs w:val="21"/>
          <w:highlight w:val="none"/>
          <w:u w:val="single"/>
        </w:rPr>
        <w:tab/>
      </w:r>
      <w:r>
        <w:rPr>
          <w:rFonts w:hint="eastAsia" w:ascii="宋体" w:hAnsi="宋体"/>
          <w:color w:val="auto"/>
          <w:szCs w:val="21"/>
          <w:highlight w:val="none"/>
          <w:u w:val="single"/>
        </w:rPr>
        <w:t>价格部分文件</w:t>
      </w:r>
    </w:p>
    <w:p>
      <w:pPr>
        <w:spacing w:line="300" w:lineRule="auto"/>
        <w:ind w:firstLine="630" w:firstLineChars="300"/>
        <w:rPr>
          <w:rFonts w:ascii="宋体" w:hAnsi="宋体"/>
          <w:color w:val="auto"/>
          <w:szCs w:val="21"/>
          <w:highlight w:val="none"/>
          <w:u w:val="single"/>
        </w:rPr>
      </w:pPr>
    </w:p>
    <w:p>
      <w:pPr>
        <w:spacing w:line="300" w:lineRule="auto"/>
        <w:ind w:firstLine="42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唱标信封另单独分装，按以下顺序用订书机装订：</w:t>
      </w:r>
    </w:p>
    <w:p>
      <w:pPr>
        <w:numPr>
          <w:ilvl w:val="2"/>
          <w:numId w:val="22"/>
        </w:numPr>
        <w:spacing w:line="300" w:lineRule="auto"/>
        <w:rPr>
          <w:rFonts w:ascii="宋体" w:hAnsi="宋体"/>
          <w:color w:val="auto"/>
          <w:szCs w:val="21"/>
          <w:highlight w:val="none"/>
          <w:u w:val="single"/>
        </w:rPr>
      </w:pPr>
      <w:r>
        <w:rPr>
          <w:rFonts w:hint="eastAsia" w:ascii="宋体" w:hAnsi="宋体"/>
          <w:color w:val="auto"/>
          <w:szCs w:val="21"/>
          <w:highlight w:val="none"/>
          <w:u w:val="single"/>
        </w:rPr>
        <w:t>开标一览表</w:t>
      </w:r>
    </w:p>
    <w:p>
      <w:pPr>
        <w:numPr>
          <w:ilvl w:val="2"/>
          <w:numId w:val="22"/>
        </w:numPr>
        <w:spacing w:line="300" w:lineRule="auto"/>
        <w:rPr>
          <w:rFonts w:ascii="宋体" w:hAnsi="宋体"/>
          <w:color w:val="auto"/>
          <w:szCs w:val="21"/>
          <w:highlight w:val="none"/>
          <w:u w:val="single"/>
        </w:rPr>
      </w:pPr>
      <w:r>
        <w:rPr>
          <w:rFonts w:hint="eastAsia" w:ascii="宋体" w:hAnsi="宋体"/>
          <w:color w:val="auto"/>
          <w:szCs w:val="21"/>
          <w:highlight w:val="none"/>
          <w:u w:val="single"/>
        </w:rPr>
        <w:t>法定代表人资格证明书</w:t>
      </w:r>
    </w:p>
    <w:p>
      <w:pPr>
        <w:numPr>
          <w:ilvl w:val="2"/>
          <w:numId w:val="22"/>
        </w:numPr>
        <w:spacing w:line="300" w:lineRule="auto"/>
        <w:rPr>
          <w:rFonts w:ascii="宋体" w:hAnsi="宋体"/>
          <w:color w:val="auto"/>
          <w:szCs w:val="21"/>
          <w:highlight w:val="none"/>
          <w:u w:val="single"/>
        </w:rPr>
      </w:pPr>
      <w:r>
        <w:rPr>
          <w:rFonts w:hint="eastAsia" w:ascii="宋体" w:hAnsi="宋体"/>
          <w:color w:val="auto"/>
          <w:szCs w:val="21"/>
          <w:highlight w:val="none"/>
          <w:u w:val="single"/>
        </w:rPr>
        <w:t>法定代表人授权委托书</w:t>
      </w:r>
    </w:p>
    <w:p>
      <w:pPr>
        <w:spacing w:line="300" w:lineRule="auto"/>
        <w:ind w:firstLine="420"/>
        <w:rPr>
          <w:rFonts w:ascii="宋体" w:hAnsi="宋体"/>
          <w:color w:val="auto"/>
          <w:szCs w:val="21"/>
          <w:highlight w:val="none"/>
          <w:u w:val="single"/>
        </w:rPr>
      </w:pPr>
      <w:r>
        <w:rPr>
          <w:rFonts w:hint="eastAsia" w:ascii="宋体" w:hAnsi="宋体"/>
          <w:color w:val="auto"/>
          <w:szCs w:val="21"/>
          <w:highlight w:val="none"/>
          <w:u w:val="single"/>
        </w:rPr>
        <w:t>另唱标信封装有投标文件电子版的U盘1个，需贴以下标识：“【项目名称：       项目编</w:t>
      </w:r>
      <w:r>
        <w:rPr>
          <w:rFonts w:hint="eastAsia" w:ascii="宋体" w:hAnsi="宋体"/>
          <w:color w:val="auto"/>
          <w:szCs w:val="21"/>
          <w:highlight w:val="none"/>
        </w:rPr>
        <w:tab/>
      </w:r>
      <w:r>
        <w:rPr>
          <w:rFonts w:hint="eastAsia" w:ascii="宋体" w:hAnsi="宋体"/>
          <w:color w:val="auto"/>
          <w:szCs w:val="21"/>
          <w:highlight w:val="none"/>
          <w:u w:val="single"/>
        </w:rPr>
        <w:t>号：    】-投标人单位名称”</w:t>
      </w:r>
    </w:p>
    <w:p>
      <w:pPr>
        <w:spacing w:line="300" w:lineRule="auto"/>
        <w:rPr>
          <w:rFonts w:ascii="宋体" w:hAnsi="宋体"/>
          <w:color w:val="auto"/>
          <w:szCs w:val="21"/>
          <w:highlight w:val="none"/>
        </w:rPr>
      </w:pPr>
    </w:p>
    <w:p>
      <w:pPr>
        <w:tabs>
          <w:tab w:val="right" w:pos="9000"/>
        </w:tabs>
        <w:suppressAutoHyphens/>
        <w:rPr>
          <w:rFonts w:ascii="宋体" w:hAnsi="宋体" w:cs="Arial"/>
          <w:bCs/>
          <w:iCs/>
          <w:color w:val="auto"/>
          <w:sz w:val="16"/>
          <w:highlight w:val="none"/>
          <w:shd w:val="solid" w:color="auto" w:fill="auto"/>
        </w:rPr>
      </w:pPr>
    </w:p>
    <w:p>
      <w:pPr>
        <w:tabs>
          <w:tab w:val="right" w:pos="9000"/>
        </w:tabs>
        <w:suppressAutoHyphens/>
        <w:rPr>
          <w:rFonts w:ascii="宋体" w:hAnsi="宋体" w:cs="Arial"/>
          <w:bCs/>
          <w:iCs/>
          <w:color w:val="auto"/>
          <w:sz w:val="16"/>
          <w:highlight w:val="none"/>
          <w:shd w:val="solid" w:color="auto" w:fill="auto"/>
        </w:rPr>
      </w:pPr>
    </w:p>
    <w:p>
      <w:pPr>
        <w:tabs>
          <w:tab w:val="right" w:pos="9000"/>
        </w:tabs>
        <w:suppressAutoHyphens/>
        <w:rPr>
          <w:rFonts w:ascii="宋体" w:hAnsi="宋体" w:cs="Arial"/>
          <w:bCs/>
          <w:iCs/>
          <w:color w:val="auto"/>
          <w:sz w:val="16"/>
          <w:highlight w:val="none"/>
          <w:shd w:val="solid" w:color="auto" w:fill="auto"/>
        </w:rPr>
      </w:pPr>
    </w:p>
    <w:p>
      <w:pPr>
        <w:tabs>
          <w:tab w:val="right" w:pos="9000"/>
        </w:tabs>
        <w:suppressAutoHyphens/>
        <w:rPr>
          <w:rFonts w:ascii="宋体" w:hAnsi="宋体" w:cs="Arial"/>
          <w:bCs/>
          <w:iCs/>
          <w:color w:val="auto"/>
          <w:sz w:val="16"/>
          <w:highlight w:val="none"/>
          <w:shd w:val="solid" w:color="auto" w:fill="auto"/>
        </w:rPr>
      </w:pPr>
    </w:p>
    <w:p>
      <w:pPr>
        <w:tabs>
          <w:tab w:val="right" w:pos="9000"/>
        </w:tabs>
        <w:suppressAutoHyphens/>
        <w:rPr>
          <w:rFonts w:ascii="宋体" w:hAnsi="宋体" w:cs="Arial"/>
          <w:bCs/>
          <w:iCs/>
          <w:color w:val="auto"/>
          <w:sz w:val="16"/>
          <w:highlight w:val="none"/>
          <w:shd w:val="solid" w:color="auto" w:fill="auto"/>
        </w:rPr>
      </w:pPr>
    </w:p>
    <w:p>
      <w:pPr>
        <w:tabs>
          <w:tab w:val="right" w:pos="9000"/>
        </w:tabs>
        <w:suppressAutoHyphens/>
        <w:rPr>
          <w:rFonts w:ascii="宋体" w:hAnsi="宋体" w:cs="Arial"/>
          <w:bCs/>
          <w:iCs/>
          <w:color w:val="auto"/>
          <w:sz w:val="16"/>
          <w:highlight w:val="none"/>
          <w:shd w:val="solid" w:color="auto" w:fill="auto"/>
        </w:rPr>
      </w:pPr>
    </w:p>
    <w:p>
      <w:pPr>
        <w:tabs>
          <w:tab w:val="right" w:pos="9000"/>
        </w:tabs>
        <w:suppressAutoHyphens/>
        <w:rPr>
          <w:rFonts w:ascii="宋体" w:hAnsi="宋体" w:cs="Arial"/>
          <w:bCs/>
          <w:iCs/>
          <w:color w:val="auto"/>
          <w:sz w:val="16"/>
          <w:highlight w:val="none"/>
          <w:shd w:val="solid" w:color="auto" w:fill="auto"/>
        </w:rPr>
      </w:pPr>
    </w:p>
    <w:p>
      <w:pPr>
        <w:tabs>
          <w:tab w:val="right" w:pos="9000"/>
        </w:tabs>
        <w:suppressAutoHyphens/>
        <w:rPr>
          <w:rFonts w:ascii="宋体" w:hAnsi="宋体" w:cs="Arial"/>
          <w:bCs/>
          <w:iCs/>
          <w:color w:val="auto"/>
          <w:sz w:val="16"/>
          <w:highlight w:val="none"/>
          <w:shd w:val="solid" w:color="auto" w:fill="auto"/>
        </w:rPr>
      </w:pPr>
    </w:p>
    <w:p>
      <w:pPr>
        <w:tabs>
          <w:tab w:val="right" w:pos="9000"/>
        </w:tabs>
        <w:suppressAutoHyphens/>
        <w:rPr>
          <w:rFonts w:ascii="宋体" w:hAnsi="宋体" w:cs="Arial"/>
          <w:bCs/>
          <w:iCs/>
          <w:color w:val="auto"/>
          <w:sz w:val="16"/>
          <w:highlight w:val="none"/>
          <w:shd w:val="solid" w:color="auto" w:fill="auto"/>
        </w:rPr>
      </w:pPr>
    </w:p>
    <w:p>
      <w:pPr>
        <w:tabs>
          <w:tab w:val="right" w:pos="9000"/>
        </w:tabs>
        <w:suppressAutoHyphens/>
        <w:rPr>
          <w:rFonts w:ascii="宋体" w:hAnsi="宋体" w:cs="Arial"/>
          <w:bCs/>
          <w:iCs/>
          <w:color w:val="auto"/>
          <w:sz w:val="16"/>
          <w:highlight w:val="none"/>
          <w:shd w:val="solid" w:color="auto" w:fill="auto"/>
        </w:rPr>
      </w:pPr>
    </w:p>
    <w:p>
      <w:pPr>
        <w:tabs>
          <w:tab w:val="right" w:pos="9000"/>
        </w:tabs>
        <w:suppressAutoHyphens/>
        <w:rPr>
          <w:rFonts w:ascii="宋体" w:hAnsi="宋体" w:cs="Arial"/>
          <w:bCs/>
          <w:iCs/>
          <w:color w:val="auto"/>
          <w:sz w:val="16"/>
          <w:highlight w:val="none"/>
          <w:shd w:val="solid" w:color="auto" w:fill="auto"/>
        </w:rPr>
      </w:pPr>
    </w:p>
    <w:p>
      <w:pPr>
        <w:tabs>
          <w:tab w:val="right" w:pos="9000"/>
        </w:tabs>
        <w:suppressAutoHyphens/>
        <w:rPr>
          <w:rFonts w:ascii="宋体" w:hAnsi="宋体" w:cs="Arial"/>
          <w:bCs/>
          <w:iCs/>
          <w:color w:val="auto"/>
          <w:sz w:val="16"/>
          <w:highlight w:val="none"/>
          <w:shd w:val="solid" w:color="auto" w:fill="auto"/>
        </w:rPr>
      </w:pPr>
    </w:p>
    <w:p>
      <w:pPr>
        <w:tabs>
          <w:tab w:val="right" w:pos="9000"/>
        </w:tabs>
        <w:suppressAutoHyphens/>
        <w:rPr>
          <w:rFonts w:ascii="宋体" w:hAnsi="宋体" w:cs="Arial"/>
          <w:bCs/>
          <w:iCs/>
          <w:color w:val="auto"/>
          <w:sz w:val="16"/>
          <w:highlight w:val="none"/>
          <w:shd w:val="solid" w:color="auto" w:fill="auto"/>
        </w:rPr>
      </w:pPr>
    </w:p>
    <w:p>
      <w:pPr>
        <w:tabs>
          <w:tab w:val="right" w:pos="9000"/>
        </w:tabs>
        <w:suppressAutoHyphens/>
        <w:rPr>
          <w:rFonts w:ascii="宋体" w:hAnsi="宋体" w:cs="Arial"/>
          <w:bCs/>
          <w:iCs/>
          <w:color w:val="auto"/>
          <w:sz w:val="16"/>
          <w:highlight w:val="none"/>
          <w:shd w:val="solid" w:color="auto" w:fill="auto"/>
        </w:rPr>
      </w:pPr>
    </w:p>
    <w:p>
      <w:pPr>
        <w:tabs>
          <w:tab w:val="right" w:pos="9000"/>
        </w:tabs>
        <w:suppressAutoHyphens/>
        <w:rPr>
          <w:rFonts w:ascii="宋体" w:hAnsi="宋体" w:cs="Arial"/>
          <w:bCs/>
          <w:iCs/>
          <w:color w:val="auto"/>
          <w:sz w:val="16"/>
          <w:highlight w:val="none"/>
          <w:shd w:val="solid" w:color="auto" w:fill="auto"/>
        </w:rPr>
      </w:pPr>
    </w:p>
    <w:p>
      <w:pPr>
        <w:tabs>
          <w:tab w:val="right" w:pos="9000"/>
        </w:tabs>
        <w:suppressAutoHyphens/>
        <w:rPr>
          <w:rFonts w:ascii="宋体" w:hAnsi="宋体" w:cs="Arial"/>
          <w:bCs/>
          <w:iCs/>
          <w:color w:val="auto"/>
          <w:sz w:val="16"/>
          <w:highlight w:val="none"/>
          <w:shd w:val="solid" w:color="auto" w:fill="auto"/>
        </w:rPr>
      </w:pPr>
    </w:p>
    <w:p>
      <w:pPr>
        <w:tabs>
          <w:tab w:val="right" w:pos="9000"/>
        </w:tabs>
        <w:suppressAutoHyphens/>
        <w:rPr>
          <w:rFonts w:ascii="宋体" w:hAnsi="宋体" w:cs="Arial"/>
          <w:bCs/>
          <w:iCs/>
          <w:color w:val="auto"/>
          <w:sz w:val="16"/>
          <w:highlight w:val="none"/>
          <w:shd w:val="solid" w:color="auto" w:fill="auto"/>
        </w:rPr>
      </w:pPr>
    </w:p>
    <w:p>
      <w:pPr>
        <w:tabs>
          <w:tab w:val="right" w:pos="9000"/>
        </w:tabs>
        <w:suppressAutoHyphens/>
        <w:rPr>
          <w:rFonts w:ascii="宋体" w:hAnsi="宋体" w:cs="Arial"/>
          <w:bCs/>
          <w:iCs/>
          <w:color w:val="auto"/>
          <w:sz w:val="16"/>
          <w:highlight w:val="none"/>
          <w:shd w:val="solid" w:color="auto" w:fill="auto"/>
        </w:rPr>
      </w:pPr>
    </w:p>
    <w:p>
      <w:pPr>
        <w:tabs>
          <w:tab w:val="right" w:pos="9000"/>
        </w:tabs>
        <w:suppressAutoHyphens/>
        <w:rPr>
          <w:rFonts w:ascii="宋体" w:hAnsi="宋体" w:cs="Arial"/>
          <w:bCs/>
          <w:iCs/>
          <w:color w:val="auto"/>
          <w:sz w:val="16"/>
          <w:highlight w:val="none"/>
          <w:shd w:val="solid" w:color="auto" w:fill="auto"/>
        </w:rPr>
      </w:pPr>
    </w:p>
    <w:p>
      <w:pPr>
        <w:tabs>
          <w:tab w:val="right" w:pos="9000"/>
        </w:tabs>
        <w:suppressAutoHyphens/>
        <w:rPr>
          <w:rFonts w:ascii="宋体" w:hAnsi="宋体" w:cs="Arial"/>
          <w:bCs/>
          <w:iCs/>
          <w:color w:val="auto"/>
          <w:sz w:val="16"/>
          <w:highlight w:val="none"/>
          <w:shd w:val="solid" w:color="auto" w:fill="auto"/>
        </w:rPr>
      </w:pPr>
    </w:p>
    <w:p>
      <w:pPr>
        <w:tabs>
          <w:tab w:val="right" w:pos="9000"/>
        </w:tabs>
        <w:suppressAutoHyphens/>
        <w:rPr>
          <w:rFonts w:ascii="宋体" w:hAnsi="宋体" w:cs="Arial"/>
          <w:bCs/>
          <w:iCs/>
          <w:color w:val="auto"/>
          <w:sz w:val="16"/>
          <w:highlight w:val="none"/>
          <w:shd w:val="solid" w:color="auto" w:fill="auto"/>
        </w:rPr>
      </w:pPr>
    </w:p>
    <w:p>
      <w:pPr>
        <w:rPr>
          <w:rFonts w:ascii="宋体" w:hAnsi="宋体"/>
          <w:b/>
          <w:bCs/>
          <w:color w:val="auto"/>
          <w:sz w:val="16"/>
          <w:szCs w:val="16"/>
          <w:highlight w:val="none"/>
        </w:rPr>
      </w:pPr>
      <w:r>
        <w:rPr>
          <w:rFonts w:ascii="宋体" w:hAnsi="宋体"/>
          <w:b/>
          <w:bCs/>
          <w:color w:val="auto"/>
          <w:sz w:val="16"/>
          <w:szCs w:val="16"/>
          <w:highlight w:val="none"/>
        </w:rPr>
        <w:t>--</w:t>
      </w:r>
      <w:r>
        <w:rPr>
          <w:rFonts w:hint="eastAsia" w:ascii="宋体" w:hAnsi="宋体"/>
          <w:b/>
          <w:bCs/>
          <w:color w:val="auto"/>
          <w:sz w:val="16"/>
          <w:szCs w:val="16"/>
          <w:highlight w:val="none"/>
        </w:rPr>
        <w:t>备注</w:t>
      </w:r>
      <w:r>
        <w:rPr>
          <w:rFonts w:ascii="宋体" w:hAnsi="宋体"/>
          <w:b/>
          <w:bCs/>
          <w:color w:val="auto"/>
          <w:sz w:val="16"/>
          <w:szCs w:val="16"/>
          <w:highlight w:val="none"/>
        </w:rPr>
        <w:t>--</w:t>
      </w:r>
    </w:p>
    <w:p>
      <w:pPr>
        <w:pBdr>
          <w:top w:val="single" w:color="auto" w:sz="4" w:space="1"/>
          <w:left w:val="single" w:color="auto" w:sz="4" w:space="4"/>
          <w:bottom w:val="single" w:color="auto" w:sz="4" w:space="1"/>
          <w:right w:val="single" w:color="auto" w:sz="4" w:space="4"/>
        </w:pBdr>
        <w:tabs>
          <w:tab w:val="left" w:pos="6120"/>
        </w:tabs>
        <w:rPr>
          <w:rFonts w:ascii="宋体" w:hAnsi="宋体" w:cs="Arial"/>
          <w:i/>
          <w:color w:val="auto"/>
          <w:sz w:val="16"/>
          <w:szCs w:val="16"/>
          <w:highlight w:val="none"/>
        </w:rPr>
      </w:pPr>
      <w:r>
        <w:rPr>
          <w:rFonts w:hint="eastAsia" w:ascii="宋体" w:hAnsi="宋体" w:cs="Arial"/>
          <w:i/>
          <w:color w:val="auto"/>
          <w:sz w:val="16"/>
          <w:szCs w:val="16"/>
          <w:highlight w:val="none"/>
        </w:rPr>
        <w:t>1.所有斜体字仅用于指导投标人编制投标文件，投标人应在最终提交的投标文件中将其删除；</w:t>
      </w:r>
    </w:p>
    <w:p>
      <w:pPr>
        <w:pBdr>
          <w:top w:val="single" w:color="auto" w:sz="4" w:space="1"/>
          <w:left w:val="single" w:color="auto" w:sz="4" w:space="4"/>
          <w:bottom w:val="single" w:color="auto" w:sz="4" w:space="1"/>
          <w:right w:val="single" w:color="auto" w:sz="4" w:space="4"/>
        </w:pBdr>
        <w:tabs>
          <w:tab w:val="left" w:pos="6120"/>
        </w:tabs>
        <w:rPr>
          <w:rFonts w:ascii="宋体" w:hAnsi="宋体" w:cs="Arial"/>
          <w:i/>
          <w:color w:val="auto"/>
          <w:sz w:val="16"/>
          <w:szCs w:val="16"/>
          <w:highlight w:val="none"/>
        </w:rPr>
      </w:pPr>
      <w:r>
        <w:rPr>
          <w:rFonts w:hint="eastAsia" w:ascii="宋体" w:hAnsi="宋体" w:cs="Arial"/>
          <w:i/>
          <w:color w:val="auto"/>
          <w:sz w:val="16"/>
          <w:szCs w:val="16"/>
          <w:highlight w:val="none"/>
        </w:rPr>
        <w:t>2.为了绿色环保，建议投标文件正、副本均采用双面打印。</w:t>
      </w:r>
    </w:p>
    <w:p>
      <w:pPr>
        <w:spacing w:line="300" w:lineRule="auto"/>
        <w:rPr>
          <w:rFonts w:ascii="宋体" w:hAnsi="宋体"/>
          <w:color w:val="auto"/>
          <w:szCs w:val="21"/>
          <w:highlight w:val="none"/>
        </w:rPr>
      </w:pPr>
      <w:r>
        <w:rPr>
          <w:rFonts w:ascii="宋体" w:hAnsi="宋体"/>
          <w:color w:val="auto"/>
          <w:szCs w:val="21"/>
          <w:highlight w:val="none"/>
        </w:rPr>
        <w:br w:type="page"/>
      </w:r>
    </w:p>
    <w:p>
      <w:pPr>
        <w:pStyle w:val="4"/>
        <w:rPr>
          <w:rFonts w:ascii="宋体" w:hAnsi="宋体" w:eastAsia="宋体"/>
          <w:color w:val="auto"/>
          <w:sz w:val="28"/>
          <w:szCs w:val="28"/>
          <w:highlight w:val="none"/>
        </w:rPr>
      </w:pPr>
      <w:bookmarkStart w:id="42" w:name="_Toc7248"/>
      <w:r>
        <w:rPr>
          <w:rFonts w:hint="eastAsia" w:ascii="宋体" w:hAnsi="宋体" w:eastAsia="宋体"/>
          <w:color w:val="auto"/>
          <w:sz w:val="28"/>
          <w:szCs w:val="28"/>
          <w:highlight w:val="none"/>
        </w:rPr>
        <w:t>投标文件封面/密封包封面（参考）</w:t>
      </w:r>
      <w:bookmarkEnd w:id="42"/>
    </w:p>
    <w:p>
      <w:pPr>
        <w:rPr>
          <w:rFonts w:ascii="宋体" w:hAnsi="宋体"/>
          <w:color w:val="auto"/>
          <w:highlight w:val="none"/>
        </w:rPr>
      </w:pPr>
    </w:p>
    <w:p>
      <w:pPr>
        <w:pStyle w:val="32"/>
        <w:spacing w:line="300" w:lineRule="auto"/>
        <w:jc w:val="center"/>
        <w:rPr>
          <w:rFonts w:hAnsi="宋体" w:cs="Times New Roman"/>
          <w:b/>
          <w:color w:val="auto"/>
          <w:sz w:val="48"/>
          <w:szCs w:val="48"/>
          <w:highlight w:val="none"/>
        </w:rPr>
      </w:pPr>
      <w:r>
        <w:rPr>
          <w:rFonts w:hint="eastAsia" w:hAnsi="宋体" w:cs="Times New Roman"/>
          <w:b/>
          <w:color w:val="auto"/>
          <w:sz w:val="48"/>
          <w:szCs w:val="48"/>
          <w:highlight w:val="none"/>
        </w:rPr>
        <w:t>国家税务总局罗定市税务局2024年</w:t>
      </w:r>
    </w:p>
    <w:p>
      <w:pPr>
        <w:pStyle w:val="32"/>
        <w:spacing w:line="300" w:lineRule="auto"/>
        <w:jc w:val="center"/>
        <w:rPr>
          <w:rFonts w:hAnsi="宋体"/>
          <w:b/>
          <w:color w:val="auto"/>
          <w:sz w:val="48"/>
          <w:szCs w:val="48"/>
          <w:highlight w:val="none"/>
        </w:rPr>
      </w:pPr>
      <w:r>
        <w:rPr>
          <w:rFonts w:hint="eastAsia" w:hAnsi="宋体" w:cs="Times New Roman"/>
          <w:b/>
          <w:color w:val="auto"/>
          <w:sz w:val="48"/>
          <w:szCs w:val="48"/>
          <w:highlight w:val="none"/>
        </w:rPr>
        <w:t>物业管理服务</w:t>
      </w:r>
    </w:p>
    <w:p>
      <w:pPr>
        <w:pStyle w:val="32"/>
        <w:spacing w:line="300" w:lineRule="auto"/>
        <w:jc w:val="center"/>
        <w:rPr>
          <w:rFonts w:hAnsi="宋体"/>
          <w:b/>
          <w:color w:val="auto"/>
          <w:sz w:val="48"/>
          <w:szCs w:val="48"/>
          <w:highlight w:val="none"/>
        </w:rPr>
      </w:pPr>
    </w:p>
    <w:p>
      <w:pPr>
        <w:pStyle w:val="32"/>
        <w:tabs>
          <w:tab w:val="left" w:pos="1260"/>
        </w:tabs>
        <w:spacing w:line="300" w:lineRule="auto"/>
        <w:jc w:val="center"/>
        <w:rPr>
          <w:rFonts w:hAnsi="宋体"/>
          <w:b/>
          <w:color w:val="auto"/>
          <w:spacing w:val="100"/>
          <w:w w:val="110"/>
          <w:kern w:val="0"/>
          <w:sz w:val="48"/>
          <w:szCs w:val="48"/>
          <w:highlight w:val="none"/>
        </w:rPr>
      </w:pPr>
    </w:p>
    <w:p>
      <w:pPr>
        <w:pStyle w:val="32"/>
        <w:tabs>
          <w:tab w:val="left" w:pos="1260"/>
        </w:tabs>
        <w:spacing w:line="300" w:lineRule="auto"/>
        <w:jc w:val="center"/>
        <w:rPr>
          <w:rFonts w:hAnsi="宋体"/>
          <w:b/>
          <w:color w:val="auto"/>
          <w:spacing w:val="100"/>
          <w:w w:val="110"/>
          <w:sz w:val="48"/>
          <w:szCs w:val="48"/>
          <w:highlight w:val="none"/>
        </w:rPr>
      </w:pPr>
      <w:r>
        <w:rPr>
          <w:rFonts w:hint="eastAsia" w:hAnsi="宋体"/>
          <w:b/>
          <w:color w:val="auto"/>
          <w:spacing w:val="100"/>
          <w:w w:val="110"/>
          <w:kern w:val="0"/>
          <w:sz w:val="48"/>
          <w:szCs w:val="48"/>
          <w:highlight w:val="none"/>
        </w:rPr>
        <w:t>投标文件</w:t>
      </w:r>
    </w:p>
    <w:p>
      <w:pPr>
        <w:pStyle w:val="32"/>
        <w:spacing w:line="300" w:lineRule="auto"/>
        <w:jc w:val="center"/>
        <w:rPr>
          <w:rFonts w:hAnsi="宋体"/>
          <w:b/>
          <w:color w:val="auto"/>
          <w:sz w:val="48"/>
          <w:szCs w:val="48"/>
          <w:highlight w:val="none"/>
        </w:rPr>
      </w:pPr>
      <w:r>
        <w:rPr>
          <w:rFonts w:hint="eastAsia" w:hAnsi="宋体"/>
          <w:b/>
          <w:color w:val="auto"/>
          <w:sz w:val="48"/>
          <w:szCs w:val="48"/>
          <w:highlight w:val="none"/>
        </w:rPr>
        <w:t>（正本/副本/唱标信封）</w:t>
      </w:r>
    </w:p>
    <w:p>
      <w:pPr>
        <w:pStyle w:val="32"/>
        <w:spacing w:line="300" w:lineRule="auto"/>
        <w:jc w:val="center"/>
        <w:rPr>
          <w:rFonts w:hAnsi="宋体"/>
          <w:b/>
          <w:color w:val="auto"/>
          <w:sz w:val="28"/>
          <w:szCs w:val="28"/>
          <w:highlight w:val="none"/>
        </w:rPr>
      </w:pPr>
    </w:p>
    <w:p>
      <w:pPr>
        <w:pStyle w:val="32"/>
        <w:spacing w:line="300" w:lineRule="auto"/>
        <w:jc w:val="center"/>
        <w:rPr>
          <w:rFonts w:hAnsi="宋体"/>
          <w:b/>
          <w:color w:val="auto"/>
          <w:sz w:val="28"/>
          <w:szCs w:val="28"/>
          <w:highlight w:val="none"/>
        </w:rPr>
      </w:pPr>
    </w:p>
    <w:p>
      <w:pPr>
        <w:pStyle w:val="32"/>
        <w:spacing w:line="300" w:lineRule="auto"/>
        <w:rPr>
          <w:rFonts w:hAnsi="宋体"/>
          <w:b/>
          <w:color w:val="auto"/>
          <w:sz w:val="28"/>
          <w:szCs w:val="28"/>
          <w:highlight w:val="none"/>
          <w:u w:val="single"/>
        </w:rPr>
      </w:pPr>
      <w:r>
        <w:rPr>
          <w:rFonts w:hint="eastAsia" w:hAnsi="宋体"/>
          <w:b/>
          <w:color w:val="auto"/>
          <w:sz w:val="28"/>
          <w:szCs w:val="28"/>
          <w:highlight w:val="none"/>
        </w:rPr>
        <w:t>采购项目编号：</w:t>
      </w:r>
      <w:r>
        <w:rPr>
          <w:rFonts w:hint="eastAsia" w:hAnsi="宋体"/>
          <w:b/>
          <w:color w:val="auto"/>
          <w:sz w:val="28"/>
          <w:szCs w:val="28"/>
          <w:highlight w:val="none"/>
          <w:u w:val="single"/>
        </w:rPr>
        <w:t>0877-23GZTP01Y774</w:t>
      </w:r>
      <w:r>
        <w:rPr>
          <w:rFonts w:hint="eastAsia" w:hAnsi="宋体"/>
          <w:b/>
          <w:color w:val="auto"/>
          <w:sz w:val="28"/>
          <w:szCs w:val="28"/>
          <w:highlight w:val="none"/>
        </w:rPr>
        <w:t xml:space="preserve">          </w:t>
      </w:r>
    </w:p>
    <w:p>
      <w:pPr>
        <w:pStyle w:val="26"/>
        <w:spacing w:line="300" w:lineRule="auto"/>
        <w:ind w:left="1968" w:hanging="1968" w:hangingChars="700"/>
        <w:rPr>
          <w:rFonts w:ascii="宋体" w:hAnsi="宋体" w:eastAsia="宋体"/>
          <w:b/>
          <w:color w:val="auto"/>
          <w:sz w:val="28"/>
          <w:szCs w:val="28"/>
          <w:highlight w:val="none"/>
          <w:u w:val="thick"/>
        </w:rPr>
      </w:pPr>
      <w:r>
        <w:rPr>
          <w:rFonts w:hint="eastAsia" w:ascii="宋体" w:hAnsi="宋体" w:eastAsia="宋体"/>
          <w:b/>
          <w:color w:val="auto"/>
          <w:sz w:val="28"/>
          <w:szCs w:val="28"/>
          <w:highlight w:val="none"/>
        </w:rPr>
        <w:t>采购项目名称：</w:t>
      </w:r>
      <w:r>
        <w:rPr>
          <w:rFonts w:hint="eastAsia" w:ascii="宋体" w:hAnsi="宋体" w:eastAsia="宋体"/>
          <w:b/>
          <w:color w:val="auto"/>
          <w:sz w:val="28"/>
          <w:szCs w:val="28"/>
          <w:highlight w:val="none"/>
          <w:u w:val="single"/>
        </w:rPr>
        <w:t xml:space="preserve">国家税务总局罗定市税务局机关及下属税务分局物业管理服务项目    </w:t>
      </w:r>
    </w:p>
    <w:p>
      <w:pPr>
        <w:pStyle w:val="32"/>
        <w:spacing w:line="300" w:lineRule="auto"/>
        <w:ind w:firstLine="843" w:firstLineChars="300"/>
        <w:rPr>
          <w:rFonts w:hAnsi="宋体"/>
          <w:b/>
          <w:color w:val="auto"/>
          <w:sz w:val="28"/>
          <w:szCs w:val="28"/>
          <w:highlight w:val="none"/>
        </w:rPr>
      </w:pPr>
    </w:p>
    <w:p>
      <w:pPr>
        <w:pStyle w:val="32"/>
        <w:spacing w:line="300" w:lineRule="auto"/>
        <w:ind w:firstLine="843" w:firstLineChars="300"/>
        <w:rPr>
          <w:rFonts w:hAnsi="宋体"/>
          <w:b/>
          <w:color w:val="auto"/>
          <w:sz w:val="28"/>
          <w:szCs w:val="28"/>
          <w:highlight w:val="none"/>
        </w:rPr>
      </w:pPr>
    </w:p>
    <w:p>
      <w:pPr>
        <w:pStyle w:val="32"/>
        <w:spacing w:line="300" w:lineRule="auto"/>
        <w:ind w:firstLine="843" w:firstLineChars="300"/>
        <w:rPr>
          <w:rFonts w:hAnsi="宋体"/>
          <w:b/>
          <w:color w:val="auto"/>
          <w:sz w:val="28"/>
          <w:szCs w:val="28"/>
          <w:highlight w:val="none"/>
        </w:rPr>
      </w:pPr>
    </w:p>
    <w:p>
      <w:pPr>
        <w:pStyle w:val="32"/>
        <w:spacing w:line="300" w:lineRule="auto"/>
        <w:ind w:firstLine="900" w:firstLineChars="320"/>
        <w:rPr>
          <w:rFonts w:hAnsi="宋体" w:cs="Times New Roman"/>
          <w:b/>
          <w:color w:val="auto"/>
          <w:sz w:val="28"/>
          <w:szCs w:val="28"/>
          <w:highlight w:val="none"/>
          <w:u w:val="single"/>
        </w:rPr>
      </w:pPr>
      <w:r>
        <w:rPr>
          <w:rFonts w:hint="eastAsia" w:hAnsi="宋体"/>
          <w:b/>
          <w:color w:val="auto"/>
          <w:sz w:val="28"/>
          <w:szCs w:val="28"/>
          <w:highlight w:val="none"/>
        </w:rPr>
        <w:t>投标人名称</w:t>
      </w:r>
      <w:r>
        <w:rPr>
          <w:rFonts w:hint="eastAsia" w:hAnsi="宋体" w:cs="Times New Roman"/>
          <w:b/>
          <w:color w:val="auto"/>
          <w:sz w:val="28"/>
          <w:szCs w:val="28"/>
          <w:highlight w:val="none"/>
        </w:rPr>
        <w:t>：</w:t>
      </w:r>
      <w:r>
        <w:rPr>
          <w:rFonts w:hint="eastAsia" w:hAnsi="宋体" w:cs="Times New Roman"/>
          <w:b/>
          <w:color w:val="auto"/>
          <w:sz w:val="28"/>
          <w:szCs w:val="28"/>
          <w:highlight w:val="none"/>
          <w:u w:val="single"/>
        </w:rPr>
        <w:t xml:space="preserve">                               </w:t>
      </w:r>
    </w:p>
    <w:p>
      <w:pPr>
        <w:autoSpaceDE w:val="0"/>
        <w:autoSpaceDN w:val="0"/>
        <w:spacing w:line="300" w:lineRule="auto"/>
        <w:ind w:firstLine="900" w:firstLineChars="320"/>
        <w:rPr>
          <w:rFonts w:ascii="宋体" w:hAnsi="宋体"/>
          <w:b/>
          <w:color w:val="auto"/>
          <w:sz w:val="28"/>
          <w:szCs w:val="28"/>
          <w:highlight w:val="none"/>
          <w:u w:val="single"/>
        </w:rPr>
      </w:pPr>
      <w:r>
        <w:rPr>
          <w:rFonts w:hint="eastAsia" w:ascii="宋体" w:hAnsi="宋体"/>
          <w:b/>
          <w:color w:val="auto"/>
          <w:sz w:val="28"/>
          <w:szCs w:val="28"/>
          <w:highlight w:val="none"/>
        </w:rPr>
        <w:t>地址：</w:t>
      </w:r>
      <w:r>
        <w:rPr>
          <w:rFonts w:hint="eastAsia" w:ascii="宋体" w:hAnsi="宋体"/>
          <w:b/>
          <w:color w:val="auto"/>
          <w:sz w:val="28"/>
          <w:szCs w:val="28"/>
          <w:highlight w:val="none"/>
          <w:u w:val="single"/>
        </w:rPr>
        <w:t xml:space="preserve">                                     </w:t>
      </w:r>
    </w:p>
    <w:p>
      <w:pPr>
        <w:autoSpaceDE w:val="0"/>
        <w:autoSpaceDN w:val="0"/>
        <w:spacing w:line="300" w:lineRule="auto"/>
        <w:ind w:firstLine="900" w:firstLineChars="320"/>
        <w:rPr>
          <w:rFonts w:ascii="宋体" w:hAnsi="宋体"/>
          <w:b/>
          <w:color w:val="auto"/>
          <w:sz w:val="28"/>
          <w:szCs w:val="28"/>
          <w:highlight w:val="none"/>
        </w:rPr>
      </w:pPr>
      <w:r>
        <w:rPr>
          <w:rFonts w:hint="eastAsia" w:ascii="宋体" w:hAnsi="宋体"/>
          <w:b/>
          <w:color w:val="auto"/>
          <w:sz w:val="28"/>
          <w:szCs w:val="28"/>
          <w:highlight w:val="none"/>
        </w:rPr>
        <w:t>联系人：</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 xml:space="preserve">电话：   </w:t>
      </w:r>
      <w:r>
        <w:rPr>
          <w:rFonts w:hint="eastAsia" w:ascii="宋体" w:hAnsi="宋体"/>
          <w:b/>
          <w:color w:val="auto"/>
          <w:sz w:val="28"/>
          <w:szCs w:val="28"/>
          <w:highlight w:val="none"/>
          <w:u w:val="single"/>
        </w:rPr>
        <w:t xml:space="preserve">                  </w:t>
      </w:r>
      <w:r>
        <w:rPr>
          <w:rFonts w:ascii="宋体" w:hAnsi="宋体"/>
          <w:b/>
          <w:color w:val="auto"/>
          <w:sz w:val="28"/>
          <w:szCs w:val="28"/>
          <w:highlight w:val="none"/>
        </w:rPr>
        <w:t xml:space="preserve">             </w:t>
      </w:r>
      <w:r>
        <w:rPr>
          <w:rFonts w:hint="eastAsia" w:ascii="宋体" w:hAnsi="宋体"/>
          <w:b/>
          <w:color w:val="auto"/>
          <w:sz w:val="28"/>
          <w:szCs w:val="28"/>
          <w:highlight w:val="none"/>
          <w:u w:val="single"/>
        </w:rPr>
        <w:t xml:space="preserve">                </w:t>
      </w:r>
    </w:p>
    <w:p>
      <w:pPr>
        <w:autoSpaceDE w:val="0"/>
        <w:autoSpaceDN w:val="0"/>
        <w:spacing w:line="300" w:lineRule="auto"/>
        <w:ind w:firstLine="900" w:firstLineChars="320"/>
        <w:rPr>
          <w:rFonts w:ascii="宋体" w:hAnsi="宋体"/>
          <w:b/>
          <w:color w:val="auto"/>
          <w:sz w:val="28"/>
          <w:szCs w:val="28"/>
          <w:highlight w:val="none"/>
          <w:u w:val="single"/>
        </w:rPr>
      </w:pPr>
      <w:r>
        <w:rPr>
          <w:rFonts w:hint="eastAsia" w:ascii="宋体" w:hAnsi="宋体"/>
          <w:b/>
          <w:color w:val="auto"/>
          <w:sz w:val="28"/>
          <w:szCs w:val="28"/>
          <w:highlight w:val="none"/>
        </w:rPr>
        <w:t>日期：</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年</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月</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日</w:t>
      </w:r>
    </w:p>
    <w:p>
      <w:pPr>
        <w:tabs>
          <w:tab w:val="right" w:pos="9000"/>
        </w:tabs>
        <w:suppressAutoHyphens/>
        <w:rPr>
          <w:rFonts w:ascii="宋体" w:hAnsi="宋体" w:cs="Arial"/>
          <w:bCs/>
          <w:iCs/>
          <w:color w:val="auto"/>
          <w:sz w:val="16"/>
          <w:highlight w:val="none"/>
          <w:shd w:val="solid" w:color="auto" w:fill="auto"/>
        </w:rPr>
      </w:pPr>
    </w:p>
    <w:p>
      <w:pPr>
        <w:rPr>
          <w:rFonts w:ascii="宋体" w:hAnsi="宋体"/>
          <w:b/>
          <w:bCs/>
          <w:color w:val="auto"/>
          <w:sz w:val="16"/>
          <w:szCs w:val="16"/>
          <w:highlight w:val="none"/>
        </w:rPr>
      </w:pPr>
      <w:r>
        <w:rPr>
          <w:rFonts w:ascii="宋体" w:hAnsi="宋体"/>
          <w:b/>
          <w:bCs/>
          <w:color w:val="auto"/>
          <w:sz w:val="16"/>
          <w:szCs w:val="16"/>
          <w:highlight w:val="none"/>
        </w:rPr>
        <w:t>--</w:t>
      </w:r>
      <w:r>
        <w:rPr>
          <w:rFonts w:hint="eastAsia" w:ascii="宋体" w:hAnsi="宋体"/>
          <w:b/>
          <w:bCs/>
          <w:color w:val="auto"/>
          <w:sz w:val="16"/>
          <w:szCs w:val="16"/>
          <w:highlight w:val="none"/>
        </w:rPr>
        <w:t>备注</w:t>
      </w:r>
      <w:r>
        <w:rPr>
          <w:rFonts w:ascii="宋体" w:hAnsi="宋体"/>
          <w:b/>
          <w:bCs/>
          <w:color w:val="auto"/>
          <w:sz w:val="16"/>
          <w:szCs w:val="16"/>
          <w:highlight w:val="none"/>
        </w:rPr>
        <w:t>--</w:t>
      </w:r>
    </w:p>
    <w:p>
      <w:pPr>
        <w:pBdr>
          <w:top w:val="single" w:color="auto" w:sz="4" w:space="1"/>
          <w:left w:val="single" w:color="auto" w:sz="4" w:space="4"/>
          <w:bottom w:val="single" w:color="auto" w:sz="4" w:space="1"/>
          <w:right w:val="single" w:color="auto" w:sz="4" w:space="4"/>
        </w:pBdr>
        <w:tabs>
          <w:tab w:val="left" w:pos="6120"/>
        </w:tabs>
        <w:rPr>
          <w:rFonts w:ascii="宋体" w:hAnsi="宋体" w:cs="Arial"/>
          <w:i/>
          <w:color w:val="auto"/>
          <w:sz w:val="16"/>
          <w:szCs w:val="16"/>
          <w:highlight w:val="none"/>
        </w:rPr>
      </w:pPr>
      <w:r>
        <w:rPr>
          <w:rFonts w:hint="eastAsia" w:ascii="宋体" w:hAnsi="宋体" w:cs="Arial"/>
          <w:i/>
          <w:color w:val="auto"/>
          <w:sz w:val="16"/>
          <w:szCs w:val="16"/>
          <w:highlight w:val="none"/>
        </w:rPr>
        <w:t>1.《第六部分 投标文件格式》所有斜体字仅用于指导投标人编制投标文件，投标人应在最终提交的投标文件中将其删除；</w:t>
      </w:r>
    </w:p>
    <w:p>
      <w:pPr>
        <w:pBdr>
          <w:top w:val="single" w:color="auto" w:sz="4" w:space="1"/>
          <w:left w:val="single" w:color="auto" w:sz="4" w:space="4"/>
          <w:bottom w:val="single" w:color="auto" w:sz="4" w:space="1"/>
          <w:right w:val="single" w:color="auto" w:sz="4" w:space="4"/>
        </w:pBdr>
        <w:tabs>
          <w:tab w:val="left" w:pos="6120"/>
        </w:tabs>
        <w:rPr>
          <w:rFonts w:ascii="宋体" w:hAnsi="宋体" w:cs="Arial"/>
          <w:i/>
          <w:color w:val="auto"/>
          <w:sz w:val="16"/>
          <w:szCs w:val="16"/>
          <w:highlight w:val="none"/>
        </w:rPr>
      </w:pPr>
      <w:r>
        <w:rPr>
          <w:rFonts w:hint="eastAsia" w:ascii="宋体" w:hAnsi="宋体" w:cs="Arial"/>
          <w:i/>
          <w:color w:val="auto"/>
          <w:sz w:val="16"/>
          <w:szCs w:val="16"/>
          <w:highlight w:val="none"/>
        </w:rPr>
        <w:t>2.本格式用于投标人编制投标文件封面和密封包封面，（正本/副本/唱标信封）三项根据实际包装/封装的内容填写；</w:t>
      </w:r>
    </w:p>
    <w:p>
      <w:pPr>
        <w:pBdr>
          <w:top w:val="single" w:color="auto" w:sz="4" w:space="1"/>
          <w:left w:val="single" w:color="auto" w:sz="4" w:space="4"/>
          <w:bottom w:val="single" w:color="auto" w:sz="4" w:space="1"/>
          <w:right w:val="single" w:color="auto" w:sz="4" w:space="4"/>
        </w:pBdr>
        <w:tabs>
          <w:tab w:val="left" w:pos="6120"/>
        </w:tabs>
        <w:rPr>
          <w:rFonts w:ascii="宋体" w:hAnsi="宋体" w:cs="Arial"/>
          <w:i/>
          <w:color w:val="auto"/>
          <w:sz w:val="16"/>
          <w:szCs w:val="16"/>
          <w:highlight w:val="none"/>
        </w:rPr>
      </w:pPr>
      <w:r>
        <w:rPr>
          <w:rFonts w:hint="eastAsia" w:ascii="宋体" w:hAnsi="宋体" w:cs="Arial"/>
          <w:i/>
          <w:color w:val="auto"/>
          <w:sz w:val="16"/>
          <w:szCs w:val="16"/>
          <w:highlight w:val="none"/>
        </w:rPr>
        <w:t>3.投标文件格式中所有的日期填写开标当日或者投标人领购招标文件至开标前任意一天。</w:t>
      </w:r>
    </w:p>
    <w:p>
      <w:pPr>
        <w:rPr>
          <w:rFonts w:ascii="宋体" w:hAnsi="宋体"/>
          <w:b/>
          <w:color w:val="auto"/>
          <w:highlight w:val="none"/>
        </w:rPr>
      </w:pPr>
      <w:r>
        <w:rPr>
          <w:rFonts w:ascii="宋体" w:hAnsi="宋体"/>
          <w:b/>
          <w:color w:val="auto"/>
          <w:highlight w:val="none"/>
        </w:rPr>
        <w:br w:type="page"/>
      </w:r>
    </w:p>
    <w:p>
      <w:pPr>
        <w:pStyle w:val="4"/>
        <w:spacing w:before="100" w:beforeAutospacing="1" w:after="100" w:afterAutospacing="1" w:line="240" w:lineRule="auto"/>
        <w:jc w:val="center"/>
        <w:rPr>
          <w:rFonts w:ascii="宋体" w:hAnsi="宋体" w:eastAsia="宋体"/>
          <w:color w:val="auto"/>
          <w:sz w:val="28"/>
          <w:szCs w:val="28"/>
          <w:highlight w:val="none"/>
        </w:rPr>
      </w:pPr>
      <w:bookmarkStart w:id="43" w:name="_Toc22466"/>
      <w:r>
        <w:rPr>
          <w:rFonts w:hint="eastAsia" w:ascii="宋体" w:hAnsi="宋体" w:eastAsia="宋体"/>
          <w:color w:val="auto"/>
          <w:sz w:val="28"/>
          <w:szCs w:val="28"/>
          <w:highlight w:val="none"/>
        </w:rPr>
        <w:t>一、自查表</w:t>
      </w:r>
      <w:bookmarkEnd w:id="43"/>
    </w:p>
    <w:p>
      <w:pPr>
        <w:rPr>
          <w:rFonts w:ascii="宋体" w:hAnsi="宋体"/>
          <w:b/>
          <w:bCs/>
          <w:color w:val="auto"/>
          <w:highlight w:val="none"/>
        </w:rPr>
      </w:pPr>
      <w:r>
        <w:rPr>
          <w:rFonts w:hint="eastAsia" w:ascii="宋体" w:hAnsi="宋体"/>
          <w:b/>
          <w:bCs/>
          <w:color w:val="auto"/>
          <w:highlight w:val="none"/>
        </w:rPr>
        <w:t>1.1 自查表</w:t>
      </w:r>
    </w:p>
    <w:p>
      <w:pPr>
        <w:rPr>
          <w:rFonts w:ascii="宋体" w:hAnsi="宋体"/>
          <w:color w:val="auto"/>
          <w:highlight w:val="none"/>
        </w:rPr>
      </w:pPr>
    </w:p>
    <w:tbl>
      <w:tblPr>
        <w:tblStyle w:val="6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560"/>
        <w:gridCol w:w="4705"/>
        <w:gridCol w:w="641"/>
        <w:gridCol w:w="611"/>
        <w:gridCol w:w="744"/>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right"/>
        </w:trPr>
        <w:tc>
          <w:tcPr>
            <w:tcW w:w="1771" w:type="dxa"/>
            <w:vMerge w:val="restart"/>
            <w:shd w:val="clear" w:color="auto" w:fill="EEECE1"/>
            <w:vAlign w:val="center"/>
          </w:tcPr>
          <w:p>
            <w:pPr>
              <w:jc w:val="center"/>
              <w:rPr>
                <w:rFonts w:ascii="宋体" w:hAnsi="宋体"/>
                <w:b/>
                <w:color w:val="auto"/>
                <w:szCs w:val="21"/>
                <w:highlight w:val="none"/>
              </w:rPr>
            </w:pPr>
            <w:r>
              <w:rPr>
                <w:rFonts w:hint="eastAsia" w:ascii="宋体" w:hAnsi="宋体"/>
                <w:b/>
                <w:color w:val="auto"/>
                <w:szCs w:val="21"/>
                <w:highlight w:val="none"/>
              </w:rPr>
              <w:t>文件类型</w:t>
            </w:r>
          </w:p>
        </w:tc>
        <w:tc>
          <w:tcPr>
            <w:tcW w:w="560" w:type="dxa"/>
            <w:vMerge w:val="restart"/>
            <w:shd w:val="clear" w:color="auto" w:fill="EEECE1"/>
            <w:vAlign w:val="center"/>
          </w:tcPr>
          <w:p>
            <w:pPr>
              <w:ind w:left="-105" w:leftChars="-50" w:right="-109" w:rightChars="-52"/>
              <w:jc w:val="center"/>
              <w:rPr>
                <w:rFonts w:ascii="宋体" w:hAnsi="宋体"/>
                <w:b/>
                <w:color w:val="auto"/>
                <w:szCs w:val="21"/>
                <w:highlight w:val="none"/>
              </w:rPr>
            </w:pPr>
            <w:r>
              <w:rPr>
                <w:rFonts w:hint="eastAsia" w:ascii="宋体" w:hAnsi="宋体"/>
                <w:b/>
                <w:color w:val="auto"/>
                <w:szCs w:val="21"/>
                <w:highlight w:val="none"/>
              </w:rPr>
              <w:t>序号</w:t>
            </w:r>
          </w:p>
        </w:tc>
        <w:tc>
          <w:tcPr>
            <w:tcW w:w="4705" w:type="dxa"/>
            <w:vMerge w:val="restart"/>
            <w:shd w:val="clear" w:color="auto" w:fill="EEECE1"/>
            <w:vAlign w:val="center"/>
          </w:tcPr>
          <w:p>
            <w:pPr>
              <w:jc w:val="center"/>
              <w:rPr>
                <w:rFonts w:ascii="宋体" w:hAnsi="宋体"/>
                <w:b/>
                <w:color w:val="auto"/>
                <w:szCs w:val="21"/>
                <w:highlight w:val="none"/>
              </w:rPr>
            </w:pPr>
            <w:r>
              <w:rPr>
                <w:rFonts w:hint="eastAsia" w:ascii="宋体" w:hAnsi="宋体"/>
                <w:b/>
                <w:color w:val="auto"/>
                <w:szCs w:val="21"/>
                <w:highlight w:val="none"/>
              </w:rPr>
              <w:t>文    件    名    称</w:t>
            </w:r>
          </w:p>
        </w:tc>
        <w:tc>
          <w:tcPr>
            <w:tcW w:w="1252" w:type="dxa"/>
            <w:gridSpan w:val="2"/>
            <w:shd w:val="clear" w:color="auto" w:fill="EEECE1"/>
            <w:vAlign w:val="center"/>
          </w:tcPr>
          <w:p>
            <w:pPr>
              <w:jc w:val="center"/>
              <w:rPr>
                <w:rFonts w:ascii="宋体" w:hAnsi="宋体"/>
                <w:b/>
                <w:color w:val="auto"/>
                <w:szCs w:val="21"/>
                <w:highlight w:val="none"/>
              </w:rPr>
            </w:pPr>
            <w:r>
              <w:rPr>
                <w:rFonts w:hint="eastAsia" w:ascii="宋体" w:hAnsi="宋体"/>
                <w:b/>
                <w:color w:val="auto"/>
                <w:szCs w:val="21"/>
                <w:highlight w:val="none"/>
              </w:rPr>
              <w:t>提交情况</w:t>
            </w:r>
          </w:p>
        </w:tc>
        <w:tc>
          <w:tcPr>
            <w:tcW w:w="744" w:type="dxa"/>
            <w:vMerge w:val="restart"/>
            <w:shd w:val="clear" w:color="auto" w:fill="EEECE1"/>
            <w:vAlign w:val="center"/>
          </w:tcPr>
          <w:p>
            <w:pPr>
              <w:jc w:val="center"/>
              <w:rPr>
                <w:rFonts w:ascii="宋体" w:hAnsi="宋体"/>
                <w:b/>
                <w:color w:val="auto"/>
                <w:szCs w:val="21"/>
                <w:highlight w:val="none"/>
              </w:rPr>
            </w:pPr>
            <w:r>
              <w:rPr>
                <w:rFonts w:hint="eastAsia" w:ascii="宋体" w:hAnsi="宋体"/>
                <w:b/>
                <w:color w:val="auto"/>
                <w:szCs w:val="21"/>
                <w:highlight w:val="none"/>
              </w:rPr>
              <w:t>页码范围</w:t>
            </w:r>
          </w:p>
        </w:tc>
        <w:tc>
          <w:tcPr>
            <w:tcW w:w="745" w:type="dxa"/>
            <w:vMerge w:val="restart"/>
            <w:shd w:val="clear" w:color="auto" w:fill="EEECE1"/>
            <w:vAlign w:val="center"/>
          </w:tcPr>
          <w:p>
            <w:pPr>
              <w:jc w:val="center"/>
              <w:rPr>
                <w:rFonts w:ascii="宋体" w:hAnsi="宋体"/>
                <w:b/>
                <w:color w:val="auto"/>
                <w:szCs w:val="21"/>
                <w:highlight w:val="none"/>
              </w:rPr>
            </w:pPr>
            <w:r>
              <w:rPr>
                <w:rFonts w:hint="eastAsia" w:ascii="宋体" w:hAnsi="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right"/>
        </w:trPr>
        <w:tc>
          <w:tcPr>
            <w:tcW w:w="1771" w:type="dxa"/>
            <w:vMerge w:val="continue"/>
            <w:shd w:val="clear" w:color="auto" w:fill="EEECE1"/>
            <w:vAlign w:val="center"/>
          </w:tcPr>
          <w:p>
            <w:pPr>
              <w:jc w:val="center"/>
              <w:rPr>
                <w:rFonts w:ascii="宋体" w:hAnsi="宋体"/>
                <w:color w:val="auto"/>
                <w:szCs w:val="21"/>
                <w:highlight w:val="none"/>
              </w:rPr>
            </w:pPr>
          </w:p>
        </w:tc>
        <w:tc>
          <w:tcPr>
            <w:tcW w:w="560" w:type="dxa"/>
            <w:vMerge w:val="continue"/>
            <w:shd w:val="clear" w:color="auto" w:fill="EEECE1"/>
            <w:vAlign w:val="center"/>
          </w:tcPr>
          <w:p>
            <w:pPr>
              <w:rPr>
                <w:rFonts w:ascii="宋体" w:hAnsi="宋体"/>
                <w:color w:val="auto"/>
                <w:szCs w:val="21"/>
                <w:highlight w:val="none"/>
              </w:rPr>
            </w:pPr>
          </w:p>
        </w:tc>
        <w:tc>
          <w:tcPr>
            <w:tcW w:w="4705" w:type="dxa"/>
            <w:vMerge w:val="continue"/>
            <w:shd w:val="clear" w:color="auto" w:fill="EEECE1"/>
            <w:vAlign w:val="center"/>
          </w:tcPr>
          <w:p>
            <w:pPr>
              <w:rPr>
                <w:rFonts w:ascii="宋体" w:hAnsi="宋体"/>
                <w:color w:val="auto"/>
                <w:szCs w:val="21"/>
                <w:highlight w:val="none"/>
              </w:rPr>
            </w:pPr>
          </w:p>
        </w:tc>
        <w:tc>
          <w:tcPr>
            <w:tcW w:w="641" w:type="dxa"/>
            <w:shd w:val="clear" w:color="auto" w:fill="EEECE1"/>
            <w:vAlign w:val="center"/>
          </w:tcPr>
          <w:p>
            <w:pPr>
              <w:jc w:val="center"/>
              <w:rPr>
                <w:rFonts w:ascii="宋体" w:hAnsi="宋体"/>
                <w:b/>
                <w:color w:val="auto"/>
                <w:szCs w:val="21"/>
                <w:highlight w:val="none"/>
              </w:rPr>
            </w:pPr>
            <w:r>
              <w:rPr>
                <w:rFonts w:hint="eastAsia" w:ascii="宋体" w:hAnsi="宋体"/>
                <w:b/>
                <w:color w:val="auto"/>
                <w:szCs w:val="21"/>
                <w:highlight w:val="none"/>
              </w:rPr>
              <w:t>有</w:t>
            </w:r>
          </w:p>
        </w:tc>
        <w:tc>
          <w:tcPr>
            <w:tcW w:w="611" w:type="dxa"/>
            <w:shd w:val="clear" w:color="auto" w:fill="EEECE1"/>
            <w:vAlign w:val="center"/>
          </w:tcPr>
          <w:p>
            <w:pPr>
              <w:jc w:val="center"/>
              <w:rPr>
                <w:rFonts w:ascii="宋体" w:hAnsi="宋体"/>
                <w:b/>
                <w:color w:val="auto"/>
                <w:szCs w:val="21"/>
                <w:highlight w:val="none"/>
              </w:rPr>
            </w:pPr>
            <w:r>
              <w:rPr>
                <w:rFonts w:hint="eastAsia" w:ascii="宋体" w:hAnsi="宋体"/>
                <w:b/>
                <w:color w:val="auto"/>
                <w:szCs w:val="21"/>
                <w:highlight w:val="none"/>
              </w:rPr>
              <w:t>无</w:t>
            </w:r>
          </w:p>
        </w:tc>
        <w:tc>
          <w:tcPr>
            <w:tcW w:w="744" w:type="dxa"/>
            <w:vMerge w:val="continue"/>
            <w:shd w:val="clear" w:color="auto" w:fill="EEECE1"/>
            <w:vAlign w:val="center"/>
          </w:tcPr>
          <w:p>
            <w:pPr>
              <w:jc w:val="center"/>
              <w:rPr>
                <w:rFonts w:ascii="宋体" w:hAnsi="宋体"/>
                <w:color w:val="auto"/>
                <w:szCs w:val="21"/>
                <w:highlight w:val="none"/>
              </w:rPr>
            </w:pPr>
          </w:p>
        </w:tc>
        <w:tc>
          <w:tcPr>
            <w:tcW w:w="745" w:type="dxa"/>
            <w:vMerge w:val="continue"/>
            <w:shd w:val="clear" w:color="auto" w:fill="EEECE1"/>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right"/>
        </w:trPr>
        <w:tc>
          <w:tcPr>
            <w:tcW w:w="1771" w:type="dxa"/>
            <w:vMerge w:val="restart"/>
            <w:shd w:val="clear" w:color="auto" w:fill="auto"/>
            <w:vAlign w:val="center"/>
          </w:tcPr>
          <w:p>
            <w:pPr>
              <w:jc w:val="center"/>
              <w:rPr>
                <w:rFonts w:ascii="宋体" w:hAnsi="宋体"/>
                <w:color w:val="auto"/>
                <w:szCs w:val="21"/>
                <w:highlight w:val="none"/>
              </w:rPr>
            </w:pPr>
            <w:r>
              <w:rPr>
                <w:rFonts w:hint="eastAsia" w:ascii="宋体" w:hAnsi="宋体"/>
                <w:b/>
                <w:color w:val="auto"/>
                <w:szCs w:val="21"/>
                <w:highlight w:val="none"/>
              </w:rPr>
              <w:t>投标人应提交的资格性符合性文件（加盖投标人公章）</w:t>
            </w:r>
          </w:p>
        </w:tc>
        <w:tc>
          <w:tcPr>
            <w:tcW w:w="560" w:type="dxa"/>
            <w:shd w:val="clear" w:color="auto" w:fill="auto"/>
            <w:vAlign w:val="center"/>
          </w:tcPr>
          <w:p>
            <w:pPr>
              <w:numPr>
                <w:ilvl w:val="0"/>
                <w:numId w:val="14"/>
              </w:numPr>
              <w:jc w:val="center"/>
              <w:rPr>
                <w:rFonts w:ascii="宋体" w:hAnsi="宋体"/>
                <w:color w:val="auto"/>
                <w:szCs w:val="21"/>
                <w:highlight w:val="none"/>
              </w:rPr>
            </w:pPr>
          </w:p>
        </w:tc>
        <w:tc>
          <w:tcPr>
            <w:tcW w:w="4705" w:type="dxa"/>
            <w:shd w:val="clear" w:color="auto" w:fill="auto"/>
            <w:vAlign w:val="center"/>
          </w:tcPr>
          <w:p>
            <w:pPr>
              <w:pStyle w:val="32"/>
              <w:rPr>
                <w:rFonts w:hAnsi="宋体"/>
                <w:color w:val="auto"/>
                <w:highlight w:val="none"/>
              </w:rPr>
            </w:pPr>
            <w:r>
              <w:rPr>
                <w:rFonts w:hint="eastAsia" w:hAnsi="宋体"/>
                <w:color w:val="auto"/>
                <w:kern w:val="0"/>
                <w:highlight w:val="none"/>
              </w:rPr>
              <w:t>投标函</w:t>
            </w:r>
          </w:p>
        </w:tc>
        <w:tc>
          <w:tcPr>
            <w:tcW w:w="641" w:type="dxa"/>
            <w:shd w:val="clear" w:color="auto" w:fill="auto"/>
            <w:vAlign w:val="center"/>
          </w:tcPr>
          <w:p>
            <w:pPr>
              <w:jc w:val="center"/>
              <w:rPr>
                <w:rFonts w:ascii="宋体" w:hAnsi="宋体"/>
                <w:color w:val="auto"/>
                <w:szCs w:val="21"/>
                <w:highlight w:val="none"/>
              </w:rPr>
            </w:pPr>
          </w:p>
        </w:tc>
        <w:tc>
          <w:tcPr>
            <w:tcW w:w="611" w:type="dxa"/>
            <w:shd w:val="clear" w:color="auto" w:fill="auto"/>
            <w:vAlign w:val="center"/>
          </w:tcPr>
          <w:p>
            <w:pPr>
              <w:jc w:val="center"/>
              <w:rPr>
                <w:rFonts w:ascii="宋体" w:hAnsi="宋体"/>
                <w:color w:val="auto"/>
                <w:szCs w:val="21"/>
                <w:highlight w:val="none"/>
              </w:rPr>
            </w:pPr>
          </w:p>
        </w:tc>
        <w:tc>
          <w:tcPr>
            <w:tcW w:w="744" w:type="dxa"/>
            <w:shd w:val="clear" w:color="auto" w:fill="EEECE1"/>
            <w:vAlign w:val="center"/>
          </w:tcPr>
          <w:p>
            <w:pPr>
              <w:jc w:val="center"/>
              <w:rPr>
                <w:rFonts w:ascii="宋体" w:hAnsi="宋体"/>
                <w:color w:val="auto"/>
                <w:szCs w:val="21"/>
                <w:highlight w:val="none"/>
              </w:rPr>
            </w:pPr>
          </w:p>
        </w:tc>
        <w:tc>
          <w:tcPr>
            <w:tcW w:w="745" w:type="dxa"/>
            <w:shd w:val="clear" w:color="auto" w:fill="EEECE1"/>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right"/>
        </w:trPr>
        <w:tc>
          <w:tcPr>
            <w:tcW w:w="1771" w:type="dxa"/>
            <w:vMerge w:val="continue"/>
            <w:shd w:val="clear" w:color="auto" w:fill="auto"/>
            <w:vAlign w:val="center"/>
          </w:tcPr>
          <w:p>
            <w:pPr>
              <w:jc w:val="center"/>
              <w:rPr>
                <w:rFonts w:ascii="宋体" w:hAnsi="宋体"/>
                <w:b/>
                <w:color w:val="auto"/>
                <w:szCs w:val="21"/>
                <w:highlight w:val="none"/>
              </w:rPr>
            </w:pPr>
          </w:p>
        </w:tc>
        <w:tc>
          <w:tcPr>
            <w:tcW w:w="560" w:type="dxa"/>
            <w:shd w:val="clear" w:color="auto" w:fill="auto"/>
            <w:vAlign w:val="center"/>
          </w:tcPr>
          <w:p>
            <w:pPr>
              <w:numPr>
                <w:ilvl w:val="0"/>
                <w:numId w:val="14"/>
              </w:numPr>
              <w:jc w:val="center"/>
              <w:rPr>
                <w:rFonts w:ascii="宋体" w:hAnsi="宋体"/>
                <w:color w:val="auto"/>
                <w:szCs w:val="21"/>
                <w:highlight w:val="none"/>
              </w:rPr>
            </w:pPr>
          </w:p>
        </w:tc>
        <w:tc>
          <w:tcPr>
            <w:tcW w:w="4705" w:type="dxa"/>
            <w:shd w:val="clear" w:color="auto" w:fill="auto"/>
            <w:vAlign w:val="center"/>
          </w:tcPr>
          <w:p>
            <w:pPr>
              <w:pStyle w:val="32"/>
              <w:rPr>
                <w:rFonts w:hAnsi="宋体"/>
                <w:color w:val="auto"/>
                <w:kern w:val="0"/>
                <w:highlight w:val="none"/>
              </w:rPr>
            </w:pPr>
            <w:r>
              <w:rPr>
                <w:rFonts w:hint="eastAsia" w:hAnsi="宋体"/>
                <w:color w:val="auto"/>
                <w:highlight w:val="none"/>
              </w:rPr>
              <w:t>法定代表人资格证明书</w:t>
            </w:r>
          </w:p>
        </w:tc>
        <w:tc>
          <w:tcPr>
            <w:tcW w:w="641" w:type="dxa"/>
            <w:shd w:val="clear" w:color="auto" w:fill="auto"/>
            <w:vAlign w:val="center"/>
          </w:tcPr>
          <w:p>
            <w:pPr>
              <w:jc w:val="center"/>
              <w:rPr>
                <w:rFonts w:ascii="宋体" w:hAnsi="宋体"/>
                <w:color w:val="auto"/>
                <w:szCs w:val="21"/>
                <w:highlight w:val="none"/>
              </w:rPr>
            </w:pPr>
          </w:p>
        </w:tc>
        <w:tc>
          <w:tcPr>
            <w:tcW w:w="611" w:type="dxa"/>
            <w:shd w:val="clear" w:color="auto" w:fill="auto"/>
            <w:vAlign w:val="center"/>
          </w:tcPr>
          <w:p>
            <w:pPr>
              <w:jc w:val="center"/>
              <w:rPr>
                <w:rFonts w:ascii="宋体" w:hAnsi="宋体"/>
                <w:color w:val="auto"/>
                <w:szCs w:val="21"/>
                <w:highlight w:val="none"/>
              </w:rPr>
            </w:pPr>
          </w:p>
        </w:tc>
        <w:tc>
          <w:tcPr>
            <w:tcW w:w="744" w:type="dxa"/>
            <w:shd w:val="clear" w:color="auto" w:fill="EEECE1"/>
            <w:vAlign w:val="center"/>
          </w:tcPr>
          <w:p>
            <w:pPr>
              <w:jc w:val="center"/>
              <w:rPr>
                <w:rFonts w:ascii="宋体" w:hAnsi="宋体"/>
                <w:color w:val="auto"/>
                <w:szCs w:val="21"/>
                <w:highlight w:val="none"/>
              </w:rPr>
            </w:pPr>
          </w:p>
        </w:tc>
        <w:tc>
          <w:tcPr>
            <w:tcW w:w="745" w:type="dxa"/>
            <w:shd w:val="clear" w:color="auto" w:fill="EEECE1"/>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right"/>
        </w:trPr>
        <w:tc>
          <w:tcPr>
            <w:tcW w:w="1771" w:type="dxa"/>
            <w:vMerge w:val="continue"/>
            <w:shd w:val="clear" w:color="auto" w:fill="auto"/>
            <w:vAlign w:val="center"/>
          </w:tcPr>
          <w:p>
            <w:pPr>
              <w:jc w:val="center"/>
              <w:rPr>
                <w:rFonts w:ascii="宋体" w:hAnsi="宋体"/>
                <w:b/>
                <w:color w:val="auto"/>
                <w:szCs w:val="21"/>
                <w:highlight w:val="none"/>
              </w:rPr>
            </w:pPr>
          </w:p>
        </w:tc>
        <w:tc>
          <w:tcPr>
            <w:tcW w:w="560" w:type="dxa"/>
            <w:shd w:val="clear" w:color="auto" w:fill="auto"/>
            <w:vAlign w:val="center"/>
          </w:tcPr>
          <w:p>
            <w:pPr>
              <w:numPr>
                <w:ilvl w:val="0"/>
                <w:numId w:val="14"/>
              </w:numPr>
              <w:jc w:val="center"/>
              <w:rPr>
                <w:rFonts w:ascii="宋体" w:hAnsi="宋体"/>
                <w:color w:val="auto"/>
                <w:szCs w:val="21"/>
                <w:highlight w:val="none"/>
              </w:rPr>
            </w:pPr>
          </w:p>
        </w:tc>
        <w:tc>
          <w:tcPr>
            <w:tcW w:w="4705" w:type="dxa"/>
            <w:shd w:val="clear" w:color="auto" w:fill="auto"/>
            <w:vAlign w:val="center"/>
          </w:tcPr>
          <w:p>
            <w:pPr>
              <w:pStyle w:val="32"/>
              <w:rPr>
                <w:rFonts w:hAnsi="宋体"/>
                <w:color w:val="auto"/>
                <w:highlight w:val="none"/>
              </w:rPr>
            </w:pPr>
            <w:r>
              <w:rPr>
                <w:rFonts w:hint="eastAsia" w:hAnsi="宋体"/>
                <w:color w:val="auto"/>
                <w:highlight w:val="none"/>
              </w:rPr>
              <w:t>法定代表人授权委托书</w:t>
            </w:r>
          </w:p>
        </w:tc>
        <w:tc>
          <w:tcPr>
            <w:tcW w:w="641" w:type="dxa"/>
            <w:shd w:val="clear" w:color="auto" w:fill="auto"/>
            <w:vAlign w:val="center"/>
          </w:tcPr>
          <w:p>
            <w:pPr>
              <w:jc w:val="center"/>
              <w:rPr>
                <w:rFonts w:ascii="宋体" w:hAnsi="宋体"/>
                <w:color w:val="auto"/>
                <w:szCs w:val="21"/>
                <w:highlight w:val="none"/>
              </w:rPr>
            </w:pPr>
          </w:p>
        </w:tc>
        <w:tc>
          <w:tcPr>
            <w:tcW w:w="611" w:type="dxa"/>
            <w:shd w:val="clear" w:color="auto" w:fill="auto"/>
            <w:vAlign w:val="center"/>
          </w:tcPr>
          <w:p>
            <w:pPr>
              <w:jc w:val="center"/>
              <w:rPr>
                <w:rFonts w:ascii="宋体" w:hAnsi="宋体"/>
                <w:color w:val="auto"/>
                <w:szCs w:val="21"/>
                <w:highlight w:val="none"/>
              </w:rPr>
            </w:pPr>
          </w:p>
        </w:tc>
        <w:tc>
          <w:tcPr>
            <w:tcW w:w="744" w:type="dxa"/>
            <w:shd w:val="clear" w:color="auto" w:fill="EEECE1"/>
            <w:vAlign w:val="center"/>
          </w:tcPr>
          <w:p>
            <w:pPr>
              <w:jc w:val="center"/>
              <w:rPr>
                <w:rFonts w:ascii="宋体" w:hAnsi="宋体"/>
                <w:color w:val="auto"/>
                <w:szCs w:val="21"/>
                <w:highlight w:val="none"/>
              </w:rPr>
            </w:pPr>
          </w:p>
        </w:tc>
        <w:tc>
          <w:tcPr>
            <w:tcW w:w="745" w:type="dxa"/>
            <w:shd w:val="clear" w:color="auto" w:fill="EEECE1"/>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right"/>
        </w:trPr>
        <w:tc>
          <w:tcPr>
            <w:tcW w:w="1771" w:type="dxa"/>
            <w:vMerge w:val="continue"/>
            <w:shd w:val="clear" w:color="auto" w:fill="auto"/>
            <w:vAlign w:val="center"/>
          </w:tcPr>
          <w:p>
            <w:pPr>
              <w:ind w:left="113" w:right="113"/>
              <w:jc w:val="center"/>
              <w:rPr>
                <w:rFonts w:ascii="宋体" w:hAnsi="宋体"/>
                <w:color w:val="auto"/>
                <w:szCs w:val="21"/>
                <w:highlight w:val="none"/>
              </w:rPr>
            </w:pPr>
          </w:p>
        </w:tc>
        <w:tc>
          <w:tcPr>
            <w:tcW w:w="560" w:type="dxa"/>
            <w:shd w:val="clear" w:color="auto" w:fill="auto"/>
            <w:vAlign w:val="center"/>
          </w:tcPr>
          <w:p>
            <w:pPr>
              <w:numPr>
                <w:ilvl w:val="0"/>
                <w:numId w:val="14"/>
              </w:numPr>
              <w:jc w:val="center"/>
              <w:rPr>
                <w:rFonts w:ascii="宋体" w:hAnsi="宋体"/>
                <w:color w:val="auto"/>
                <w:szCs w:val="21"/>
                <w:highlight w:val="none"/>
              </w:rPr>
            </w:pPr>
          </w:p>
        </w:tc>
        <w:tc>
          <w:tcPr>
            <w:tcW w:w="4705" w:type="dxa"/>
            <w:shd w:val="clear" w:color="auto" w:fill="auto"/>
            <w:vAlign w:val="center"/>
          </w:tcPr>
          <w:p>
            <w:pPr>
              <w:pStyle w:val="32"/>
              <w:rPr>
                <w:rFonts w:hAnsi="宋体"/>
                <w:color w:val="auto"/>
                <w:highlight w:val="none"/>
              </w:rPr>
            </w:pPr>
            <w:r>
              <w:rPr>
                <w:rFonts w:hint="eastAsia" w:hAnsi="宋体"/>
                <w:color w:val="auto"/>
                <w:kern w:val="0"/>
                <w:highlight w:val="none"/>
              </w:rPr>
              <w:t>投标人资格声明函</w:t>
            </w:r>
          </w:p>
        </w:tc>
        <w:tc>
          <w:tcPr>
            <w:tcW w:w="641" w:type="dxa"/>
            <w:shd w:val="clear" w:color="auto" w:fill="auto"/>
            <w:vAlign w:val="center"/>
          </w:tcPr>
          <w:p>
            <w:pPr>
              <w:jc w:val="center"/>
              <w:rPr>
                <w:rFonts w:ascii="宋体" w:hAnsi="宋体"/>
                <w:color w:val="auto"/>
                <w:szCs w:val="21"/>
                <w:highlight w:val="none"/>
              </w:rPr>
            </w:pPr>
          </w:p>
        </w:tc>
        <w:tc>
          <w:tcPr>
            <w:tcW w:w="611" w:type="dxa"/>
            <w:shd w:val="clear" w:color="auto" w:fill="auto"/>
            <w:vAlign w:val="center"/>
          </w:tcPr>
          <w:p>
            <w:pPr>
              <w:jc w:val="center"/>
              <w:rPr>
                <w:rFonts w:ascii="宋体" w:hAnsi="宋体"/>
                <w:color w:val="auto"/>
                <w:szCs w:val="21"/>
                <w:highlight w:val="none"/>
              </w:rPr>
            </w:pPr>
          </w:p>
        </w:tc>
        <w:tc>
          <w:tcPr>
            <w:tcW w:w="744" w:type="dxa"/>
            <w:shd w:val="clear" w:color="auto" w:fill="EEECE1"/>
            <w:vAlign w:val="center"/>
          </w:tcPr>
          <w:p>
            <w:pPr>
              <w:jc w:val="center"/>
              <w:rPr>
                <w:rFonts w:ascii="宋体" w:hAnsi="宋体"/>
                <w:color w:val="auto"/>
                <w:szCs w:val="21"/>
                <w:highlight w:val="none"/>
              </w:rPr>
            </w:pPr>
          </w:p>
        </w:tc>
        <w:tc>
          <w:tcPr>
            <w:tcW w:w="745" w:type="dxa"/>
            <w:shd w:val="clear" w:color="auto" w:fill="EEECE1"/>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right"/>
        </w:trPr>
        <w:tc>
          <w:tcPr>
            <w:tcW w:w="1771" w:type="dxa"/>
            <w:vMerge w:val="continue"/>
            <w:shd w:val="clear" w:color="auto" w:fill="auto"/>
            <w:vAlign w:val="center"/>
          </w:tcPr>
          <w:p>
            <w:pPr>
              <w:ind w:left="113" w:right="113"/>
              <w:jc w:val="center"/>
              <w:rPr>
                <w:rFonts w:ascii="宋体" w:hAnsi="宋体"/>
                <w:color w:val="auto"/>
                <w:szCs w:val="21"/>
                <w:highlight w:val="none"/>
              </w:rPr>
            </w:pPr>
          </w:p>
        </w:tc>
        <w:tc>
          <w:tcPr>
            <w:tcW w:w="560" w:type="dxa"/>
            <w:shd w:val="clear" w:color="auto" w:fill="auto"/>
            <w:vAlign w:val="center"/>
          </w:tcPr>
          <w:p>
            <w:pPr>
              <w:numPr>
                <w:ilvl w:val="0"/>
                <w:numId w:val="14"/>
              </w:numPr>
              <w:jc w:val="center"/>
              <w:rPr>
                <w:rFonts w:ascii="宋体" w:hAnsi="宋体"/>
                <w:color w:val="auto"/>
                <w:szCs w:val="21"/>
                <w:highlight w:val="none"/>
              </w:rPr>
            </w:pPr>
          </w:p>
        </w:tc>
        <w:tc>
          <w:tcPr>
            <w:tcW w:w="4705" w:type="dxa"/>
            <w:shd w:val="clear" w:color="auto" w:fill="auto"/>
            <w:vAlign w:val="center"/>
          </w:tcPr>
          <w:p>
            <w:pPr>
              <w:pStyle w:val="32"/>
              <w:rPr>
                <w:rFonts w:hAnsi="宋体"/>
                <w:color w:val="auto"/>
                <w:kern w:val="0"/>
                <w:highlight w:val="none"/>
              </w:rPr>
            </w:pPr>
            <w:r>
              <w:rPr>
                <w:rFonts w:hint="eastAsia" w:hAnsi="宋体"/>
                <w:color w:val="auto"/>
                <w:highlight w:val="none"/>
              </w:rPr>
              <w:t>符合《中华人民共和国政府采购法》第二十二条的规定的证明文件</w:t>
            </w:r>
          </w:p>
        </w:tc>
        <w:tc>
          <w:tcPr>
            <w:tcW w:w="641" w:type="dxa"/>
            <w:shd w:val="clear" w:color="auto" w:fill="auto"/>
            <w:vAlign w:val="center"/>
          </w:tcPr>
          <w:p>
            <w:pPr>
              <w:jc w:val="center"/>
              <w:rPr>
                <w:rFonts w:ascii="宋体" w:hAnsi="宋体"/>
                <w:color w:val="auto"/>
                <w:szCs w:val="21"/>
                <w:highlight w:val="none"/>
              </w:rPr>
            </w:pPr>
          </w:p>
        </w:tc>
        <w:tc>
          <w:tcPr>
            <w:tcW w:w="611" w:type="dxa"/>
            <w:shd w:val="clear" w:color="auto" w:fill="auto"/>
            <w:vAlign w:val="center"/>
          </w:tcPr>
          <w:p>
            <w:pPr>
              <w:jc w:val="center"/>
              <w:rPr>
                <w:rFonts w:ascii="宋体" w:hAnsi="宋体"/>
                <w:color w:val="auto"/>
                <w:szCs w:val="21"/>
                <w:highlight w:val="none"/>
              </w:rPr>
            </w:pPr>
          </w:p>
        </w:tc>
        <w:tc>
          <w:tcPr>
            <w:tcW w:w="744" w:type="dxa"/>
            <w:shd w:val="clear" w:color="auto" w:fill="EEECE1"/>
            <w:vAlign w:val="center"/>
          </w:tcPr>
          <w:p>
            <w:pPr>
              <w:jc w:val="center"/>
              <w:rPr>
                <w:rFonts w:ascii="宋体" w:hAnsi="宋体"/>
                <w:color w:val="auto"/>
                <w:szCs w:val="21"/>
                <w:highlight w:val="none"/>
              </w:rPr>
            </w:pPr>
          </w:p>
        </w:tc>
        <w:tc>
          <w:tcPr>
            <w:tcW w:w="745" w:type="dxa"/>
            <w:shd w:val="clear" w:color="auto" w:fill="EEECE1"/>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1" w:hRule="atLeast"/>
          <w:jc w:val="right"/>
        </w:trPr>
        <w:tc>
          <w:tcPr>
            <w:tcW w:w="1771" w:type="dxa"/>
            <w:vMerge w:val="continue"/>
            <w:shd w:val="clear" w:color="auto" w:fill="auto"/>
            <w:vAlign w:val="center"/>
          </w:tcPr>
          <w:p>
            <w:pPr>
              <w:ind w:left="113" w:right="113"/>
              <w:jc w:val="center"/>
              <w:rPr>
                <w:rFonts w:ascii="宋体" w:hAnsi="宋体"/>
                <w:color w:val="auto"/>
                <w:szCs w:val="21"/>
                <w:highlight w:val="none"/>
              </w:rPr>
            </w:pPr>
          </w:p>
        </w:tc>
        <w:tc>
          <w:tcPr>
            <w:tcW w:w="560" w:type="dxa"/>
            <w:shd w:val="clear" w:color="auto" w:fill="auto"/>
            <w:vAlign w:val="center"/>
          </w:tcPr>
          <w:p>
            <w:pPr>
              <w:rPr>
                <w:rFonts w:ascii="宋体" w:hAnsi="宋体"/>
                <w:color w:val="auto"/>
                <w:szCs w:val="21"/>
                <w:highlight w:val="none"/>
              </w:rPr>
            </w:pPr>
            <w:r>
              <w:rPr>
                <w:rFonts w:hint="eastAsia" w:ascii="宋体" w:hAnsi="宋体"/>
                <w:color w:val="auto"/>
                <w:szCs w:val="21"/>
                <w:highlight w:val="none"/>
              </w:rPr>
              <w:t>6.1</w:t>
            </w:r>
          </w:p>
        </w:tc>
        <w:tc>
          <w:tcPr>
            <w:tcW w:w="4705" w:type="dxa"/>
            <w:shd w:val="clear" w:color="auto" w:fill="auto"/>
            <w:vAlign w:val="center"/>
          </w:tcPr>
          <w:p>
            <w:pPr>
              <w:pStyle w:val="32"/>
              <w:rPr>
                <w:rFonts w:hAnsi="宋体"/>
                <w:color w:val="auto"/>
                <w:kern w:val="0"/>
                <w:highlight w:val="none"/>
              </w:rPr>
            </w:pPr>
            <w:r>
              <w:rPr>
                <w:rFonts w:hint="eastAsia" w:hAnsi="宋体" w:cs="宋体"/>
                <w:color w:val="auto"/>
                <w:kern w:val="0"/>
                <w:highlight w:val="none"/>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c>
          <w:tcPr>
            <w:tcW w:w="641" w:type="dxa"/>
            <w:shd w:val="clear" w:color="auto" w:fill="auto"/>
            <w:vAlign w:val="center"/>
          </w:tcPr>
          <w:p>
            <w:pPr>
              <w:jc w:val="center"/>
              <w:rPr>
                <w:rFonts w:ascii="宋体" w:hAnsi="宋体"/>
                <w:color w:val="auto"/>
                <w:szCs w:val="21"/>
                <w:highlight w:val="none"/>
              </w:rPr>
            </w:pPr>
          </w:p>
        </w:tc>
        <w:tc>
          <w:tcPr>
            <w:tcW w:w="611" w:type="dxa"/>
            <w:shd w:val="clear" w:color="auto" w:fill="auto"/>
            <w:vAlign w:val="center"/>
          </w:tcPr>
          <w:p>
            <w:pPr>
              <w:jc w:val="center"/>
              <w:rPr>
                <w:rFonts w:ascii="宋体" w:hAnsi="宋体"/>
                <w:color w:val="auto"/>
                <w:szCs w:val="21"/>
                <w:highlight w:val="none"/>
              </w:rPr>
            </w:pPr>
          </w:p>
        </w:tc>
        <w:tc>
          <w:tcPr>
            <w:tcW w:w="744" w:type="dxa"/>
            <w:shd w:val="clear" w:color="auto" w:fill="EEECE1"/>
            <w:vAlign w:val="center"/>
          </w:tcPr>
          <w:p>
            <w:pPr>
              <w:jc w:val="center"/>
              <w:rPr>
                <w:rFonts w:ascii="宋体" w:hAnsi="宋体"/>
                <w:color w:val="auto"/>
                <w:szCs w:val="21"/>
                <w:highlight w:val="none"/>
              </w:rPr>
            </w:pPr>
          </w:p>
        </w:tc>
        <w:tc>
          <w:tcPr>
            <w:tcW w:w="745" w:type="dxa"/>
            <w:shd w:val="clear" w:color="auto" w:fill="EEECE1"/>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jc w:val="right"/>
        </w:trPr>
        <w:tc>
          <w:tcPr>
            <w:tcW w:w="1771" w:type="dxa"/>
            <w:vMerge w:val="continue"/>
            <w:shd w:val="clear" w:color="auto" w:fill="auto"/>
            <w:vAlign w:val="center"/>
          </w:tcPr>
          <w:p>
            <w:pPr>
              <w:ind w:left="113" w:right="113"/>
              <w:jc w:val="center"/>
              <w:rPr>
                <w:rFonts w:ascii="宋体" w:hAnsi="宋体"/>
                <w:color w:val="auto"/>
                <w:szCs w:val="21"/>
                <w:highlight w:val="none"/>
              </w:rPr>
            </w:pPr>
          </w:p>
        </w:tc>
        <w:tc>
          <w:tcPr>
            <w:tcW w:w="560" w:type="dxa"/>
            <w:shd w:val="clear" w:color="auto" w:fill="auto"/>
            <w:vAlign w:val="center"/>
          </w:tcPr>
          <w:p>
            <w:pPr>
              <w:rPr>
                <w:rFonts w:ascii="宋体" w:hAnsi="宋体"/>
                <w:color w:val="auto"/>
                <w:szCs w:val="21"/>
                <w:highlight w:val="none"/>
              </w:rPr>
            </w:pPr>
            <w:r>
              <w:rPr>
                <w:rFonts w:hint="eastAsia" w:ascii="宋体" w:hAnsi="宋体"/>
                <w:color w:val="auto"/>
                <w:szCs w:val="21"/>
                <w:highlight w:val="none"/>
              </w:rPr>
              <w:t>6.2</w:t>
            </w:r>
          </w:p>
        </w:tc>
        <w:tc>
          <w:tcPr>
            <w:tcW w:w="4705" w:type="dxa"/>
            <w:shd w:val="clear" w:color="auto" w:fill="auto"/>
            <w:vAlign w:val="center"/>
          </w:tcPr>
          <w:p>
            <w:pPr>
              <w:pStyle w:val="32"/>
              <w:rPr>
                <w:rFonts w:hAnsi="宋体" w:cs="Times New Roman"/>
                <w:color w:val="auto"/>
                <w:kern w:val="1"/>
                <w:szCs w:val="22"/>
                <w:highlight w:val="none"/>
              </w:rPr>
            </w:pPr>
            <w:r>
              <w:rPr>
                <w:rFonts w:hint="eastAsia" w:hAnsi="宋体" w:cs="宋体"/>
                <w:color w:val="auto"/>
                <w:kern w:val="0"/>
                <w:highlight w:val="none"/>
              </w:rPr>
              <w:t>投标人必须具有良好的商业信誉和健全的财务会计制度（提供2022或2023年度任意一个月的财务状况报告或基本开户行出具的资信证明）；</w:t>
            </w:r>
          </w:p>
        </w:tc>
        <w:tc>
          <w:tcPr>
            <w:tcW w:w="641" w:type="dxa"/>
            <w:shd w:val="clear" w:color="auto" w:fill="auto"/>
            <w:vAlign w:val="center"/>
          </w:tcPr>
          <w:p>
            <w:pPr>
              <w:jc w:val="center"/>
              <w:rPr>
                <w:rFonts w:ascii="宋体" w:hAnsi="宋体"/>
                <w:color w:val="auto"/>
                <w:szCs w:val="21"/>
                <w:highlight w:val="none"/>
              </w:rPr>
            </w:pPr>
          </w:p>
        </w:tc>
        <w:tc>
          <w:tcPr>
            <w:tcW w:w="611" w:type="dxa"/>
            <w:shd w:val="clear" w:color="auto" w:fill="auto"/>
            <w:vAlign w:val="center"/>
          </w:tcPr>
          <w:p>
            <w:pPr>
              <w:jc w:val="center"/>
              <w:rPr>
                <w:rFonts w:ascii="宋体" w:hAnsi="宋体"/>
                <w:color w:val="auto"/>
                <w:szCs w:val="21"/>
                <w:highlight w:val="none"/>
              </w:rPr>
            </w:pPr>
          </w:p>
        </w:tc>
        <w:tc>
          <w:tcPr>
            <w:tcW w:w="744" w:type="dxa"/>
            <w:shd w:val="clear" w:color="auto" w:fill="EEECE1"/>
            <w:vAlign w:val="center"/>
          </w:tcPr>
          <w:p>
            <w:pPr>
              <w:jc w:val="center"/>
              <w:rPr>
                <w:rFonts w:ascii="宋体" w:hAnsi="宋体"/>
                <w:color w:val="auto"/>
                <w:szCs w:val="21"/>
                <w:highlight w:val="none"/>
              </w:rPr>
            </w:pPr>
          </w:p>
        </w:tc>
        <w:tc>
          <w:tcPr>
            <w:tcW w:w="745" w:type="dxa"/>
            <w:shd w:val="clear" w:color="auto" w:fill="EEECE1"/>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right"/>
        </w:trPr>
        <w:tc>
          <w:tcPr>
            <w:tcW w:w="1771" w:type="dxa"/>
            <w:vMerge w:val="continue"/>
            <w:shd w:val="clear" w:color="auto" w:fill="auto"/>
            <w:vAlign w:val="center"/>
          </w:tcPr>
          <w:p>
            <w:pPr>
              <w:ind w:left="113" w:right="113"/>
              <w:jc w:val="center"/>
              <w:rPr>
                <w:rFonts w:ascii="宋体" w:hAnsi="宋体"/>
                <w:color w:val="auto"/>
                <w:szCs w:val="21"/>
                <w:highlight w:val="none"/>
              </w:rPr>
            </w:pPr>
          </w:p>
        </w:tc>
        <w:tc>
          <w:tcPr>
            <w:tcW w:w="560" w:type="dxa"/>
            <w:shd w:val="clear" w:color="auto" w:fill="auto"/>
            <w:vAlign w:val="center"/>
          </w:tcPr>
          <w:p>
            <w:pPr>
              <w:rPr>
                <w:rFonts w:ascii="宋体" w:hAnsi="宋体"/>
                <w:color w:val="auto"/>
                <w:szCs w:val="21"/>
                <w:highlight w:val="none"/>
              </w:rPr>
            </w:pPr>
            <w:r>
              <w:rPr>
                <w:rFonts w:hint="eastAsia" w:ascii="宋体" w:hAnsi="宋体"/>
                <w:color w:val="auto"/>
                <w:szCs w:val="21"/>
                <w:highlight w:val="none"/>
              </w:rPr>
              <w:t>6.3</w:t>
            </w:r>
          </w:p>
        </w:tc>
        <w:tc>
          <w:tcPr>
            <w:tcW w:w="4705" w:type="dxa"/>
            <w:shd w:val="clear" w:color="auto" w:fill="auto"/>
            <w:vAlign w:val="center"/>
          </w:tcPr>
          <w:p>
            <w:pPr>
              <w:pStyle w:val="127"/>
              <w:adjustRightInd w:val="0"/>
              <w:snapToGrid w:val="0"/>
              <w:ind w:firstLine="0"/>
              <w:rPr>
                <w:rFonts w:ascii="宋体" w:hAnsi="宋体"/>
                <w:color w:val="auto"/>
                <w:highlight w:val="none"/>
                <w:lang w:eastAsia="zh-CN"/>
              </w:rPr>
            </w:pPr>
            <w:r>
              <w:rPr>
                <w:rFonts w:hint="eastAsia" w:ascii="宋体" w:hAnsi="宋体" w:cs="宋体"/>
                <w:color w:val="auto"/>
                <w:kern w:val="0"/>
                <w:highlight w:val="none"/>
              </w:rPr>
              <w:t>有依法缴纳税收和社会保障资金的良好记录：提供投标截止日前6个月内任意1个月依法缴纳税收和社会保障资金的相关材料。 如依法免税或不需要缴纳社会保障资金的， 提供相应证明材料</w:t>
            </w:r>
            <w:r>
              <w:rPr>
                <w:rFonts w:hint="eastAsia" w:ascii="宋体" w:hAnsi="宋体" w:cs="宋体"/>
                <w:color w:val="auto"/>
                <w:kern w:val="0"/>
                <w:highlight w:val="none"/>
                <w:lang w:eastAsia="zh-CN"/>
              </w:rPr>
              <w:t>；</w:t>
            </w:r>
          </w:p>
        </w:tc>
        <w:tc>
          <w:tcPr>
            <w:tcW w:w="641" w:type="dxa"/>
            <w:shd w:val="clear" w:color="auto" w:fill="auto"/>
            <w:vAlign w:val="center"/>
          </w:tcPr>
          <w:p>
            <w:pPr>
              <w:jc w:val="center"/>
              <w:rPr>
                <w:rFonts w:ascii="宋体" w:hAnsi="宋体"/>
                <w:color w:val="auto"/>
                <w:szCs w:val="21"/>
                <w:highlight w:val="none"/>
              </w:rPr>
            </w:pPr>
          </w:p>
        </w:tc>
        <w:tc>
          <w:tcPr>
            <w:tcW w:w="611" w:type="dxa"/>
            <w:shd w:val="clear" w:color="auto" w:fill="auto"/>
            <w:vAlign w:val="center"/>
          </w:tcPr>
          <w:p>
            <w:pPr>
              <w:jc w:val="center"/>
              <w:rPr>
                <w:rFonts w:ascii="宋体" w:hAnsi="宋体"/>
                <w:color w:val="auto"/>
                <w:szCs w:val="21"/>
                <w:highlight w:val="none"/>
              </w:rPr>
            </w:pPr>
          </w:p>
        </w:tc>
        <w:tc>
          <w:tcPr>
            <w:tcW w:w="744" w:type="dxa"/>
            <w:shd w:val="clear" w:color="auto" w:fill="EEECE1"/>
            <w:vAlign w:val="center"/>
          </w:tcPr>
          <w:p>
            <w:pPr>
              <w:jc w:val="center"/>
              <w:rPr>
                <w:rFonts w:ascii="宋体" w:hAnsi="宋体"/>
                <w:color w:val="auto"/>
                <w:szCs w:val="21"/>
                <w:highlight w:val="none"/>
              </w:rPr>
            </w:pPr>
          </w:p>
        </w:tc>
        <w:tc>
          <w:tcPr>
            <w:tcW w:w="745" w:type="dxa"/>
            <w:shd w:val="clear" w:color="auto" w:fill="EEECE1"/>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jc w:val="right"/>
        </w:trPr>
        <w:tc>
          <w:tcPr>
            <w:tcW w:w="1771" w:type="dxa"/>
            <w:vMerge w:val="continue"/>
            <w:shd w:val="clear" w:color="auto" w:fill="auto"/>
            <w:vAlign w:val="center"/>
          </w:tcPr>
          <w:p>
            <w:pPr>
              <w:ind w:left="113" w:right="113"/>
              <w:jc w:val="center"/>
              <w:rPr>
                <w:rFonts w:ascii="宋体" w:hAnsi="宋体"/>
                <w:color w:val="auto"/>
                <w:szCs w:val="21"/>
                <w:highlight w:val="none"/>
              </w:rPr>
            </w:pPr>
          </w:p>
        </w:tc>
        <w:tc>
          <w:tcPr>
            <w:tcW w:w="560" w:type="dxa"/>
            <w:shd w:val="clear" w:color="auto" w:fill="auto"/>
            <w:vAlign w:val="center"/>
          </w:tcPr>
          <w:p>
            <w:pPr>
              <w:rPr>
                <w:rFonts w:ascii="宋体" w:hAnsi="宋体"/>
                <w:color w:val="auto"/>
                <w:szCs w:val="21"/>
                <w:highlight w:val="none"/>
              </w:rPr>
            </w:pPr>
            <w:r>
              <w:rPr>
                <w:rFonts w:hint="eastAsia" w:ascii="宋体" w:hAnsi="宋体"/>
                <w:color w:val="auto"/>
                <w:szCs w:val="21"/>
                <w:highlight w:val="none"/>
              </w:rPr>
              <w:t>6.4</w:t>
            </w:r>
          </w:p>
        </w:tc>
        <w:tc>
          <w:tcPr>
            <w:tcW w:w="4705" w:type="dxa"/>
            <w:shd w:val="clear" w:color="auto" w:fill="auto"/>
            <w:vAlign w:val="center"/>
          </w:tcPr>
          <w:p>
            <w:pPr>
              <w:pStyle w:val="127"/>
              <w:adjustRightInd w:val="0"/>
              <w:snapToGrid w:val="0"/>
              <w:ind w:firstLine="0"/>
              <w:rPr>
                <w:rFonts w:ascii="宋体" w:hAnsi="宋体"/>
                <w:bCs/>
                <w:color w:val="auto"/>
                <w:highlight w:val="none"/>
              </w:rPr>
            </w:pPr>
            <w:r>
              <w:rPr>
                <w:rFonts w:hint="eastAsia" w:ascii="宋体" w:hAnsi="宋体" w:cs="宋体"/>
                <w:color w:val="auto"/>
                <w:kern w:val="0"/>
                <w:highlight w:val="none"/>
              </w:rPr>
              <w:t>提供书面声明或填报设备及专业技术能力情况</w:t>
            </w:r>
            <w:r>
              <w:rPr>
                <w:rFonts w:hint="eastAsia" w:ascii="宋体" w:hAnsi="宋体" w:cs="宋体"/>
                <w:color w:val="auto"/>
                <w:kern w:val="0"/>
                <w:highlight w:val="none"/>
                <w:lang w:eastAsia="zh-CN"/>
              </w:rPr>
              <w:t>；</w:t>
            </w:r>
          </w:p>
        </w:tc>
        <w:tc>
          <w:tcPr>
            <w:tcW w:w="641" w:type="dxa"/>
            <w:shd w:val="clear" w:color="auto" w:fill="auto"/>
            <w:vAlign w:val="center"/>
          </w:tcPr>
          <w:p>
            <w:pPr>
              <w:jc w:val="center"/>
              <w:rPr>
                <w:rFonts w:ascii="宋体" w:hAnsi="宋体"/>
                <w:color w:val="auto"/>
                <w:szCs w:val="21"/>
                <w:highlight w:val="none"/>
              </w:rPr>
            </w:pPr>
          </w:p>
        </w:tc>
        <w:tc>
          <w:tcPr>
            <w:tcW w:w="611" w:type="dxa"/>
            <w:shd w:val="clear" w:color="auto" w:fill="auto"/>
            <w:vAlign w:val="center"/>
          </w:tcPr>
          <w:p>
            <w:pPr>
              <w:jc w:val="center"/>
              <w:rPr>
                <w:rFonts w:ascii="宋体" w:hAnsi="宋体"/>
                <w:color w:val="auto"/>
                <w:szCs w:val="21"/>
                <w:highlight w:val="none"/>
              </w:rPr>
            </w:pPr>
          </w:p>
        </w:tc>
        <w:tc>
          <w:tcPr>
            <w:tcW w:w="744" w:type="dxa"/>
            <w:shd w:val="clear" w:color="auto" w:fill="EEECE1"/>
            <w:vAlign w:val="center"/>
          </w:tcPr>
          <w:p>
            <w:pPr>
              <w:jc w:val="center"/>
              <w:rPr>
                <w:rFonts w:ascii="宋体" w:hAnsi="宋体"/>
                <w:color w:val="auto"/>
                <w:szCs w:val="21"/>
                <w:highlight w:val="none"/>
              </w:rPr>
            </w:pPr>
          </w:p>
        </w:tc>
        <w:tc>
          <w:tcPr>
            <w:tcW w:w="745" w:type="dxa"/>
            <w:shd w:val="clear" w:color="auto" w:fill="EEECE1"/>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right"/>
        </w:trPr>
        <w:tc>
          <w:tcPr>
            <w:tcW w:w="1771" w:type="dxa"/>
            <w:vMerge w:val="continue"/>
            <w:shd w:val="clear" w:color="auto" w:fill="auto"/>
            <w:vAlign w:val="center"/>
          </w:tcPr>
          <w:p>
            <w:pPr>
              <w:ind w:left="113" w:right="113"/>
              <w:jc w:val="center"/>
              <w:rPr>
                <w:rFonts w:ascii="宋体" w:hAnsi="宋体"/>
                <w:color w:val="auto"/>
                <w:szCs w:val="21"/>
                <w:highlight w:val="none"/>
              </w:rPr>
            </w:pPr>
          </w:p>
        </w:tc>
        <w:tc>
          <w:tcPr>
            <w:tcW w:w="560" w:type="dxa"/>
            <w:shd w:val="clear" w:color="auto" w:fill="auto"/>
            <w:vAlign w:val="center"/>
          </w:tcPr>
          <w:p>
            <w:pPr>
              <w:rPr>
                <w:rFonts w:ascii="宋体" w:hAnsi="宋体"/>
                <w:color w:val="auto"/>
                <w:szCs w:val="21"/>
                <w:highlight w:val="none"/>
              </w:rPr>
            </w:pPr>
            <w:r>
              <w:rPr>
                <w:rFonts w:hint="eastAsia" w:ascii="宋体" w:hAnsi="宋体"/>
                <w:color w:val="auto"/>
                <w:szCs w:val="21"/>
                <w:highlight w:val="none"/>
              </w:rPr>
              <w:t>6.5</w:t>
            </w:r>
          </w:p>
        </w:tc>
        <w:tc>
          <w:tcPr>
            <w:tcW w:w="4705" w:type="dxa"/>
            <w:shd w:val="clear" w:color="auto" w:fill="auto"/>
            <w:vAlign w:val="center"/>
          </w:tcPr>
          <w:p>
            <w:pPr>
              <w:pStyle w:val="32"/>
              <w:rPr>
                <w:rFonts w:hAnsi="宋体"/>
                <w:bCs/>
                <w:color w:val="auto"/>
                <w:highlight w:val="none"/>
              </w:rPr>
            </w:pPr>
            <w:r>
              <w:rPr>
                <w:rFonts w:hint="eastAsia" w:hAnsi="宋体" w:cs="宋体"/>
                <w:color w:val="auto"/>
                <w:kern w:val="0"/>
                <w:highlight w:val="none"/>
              </w:rPr>
              <w:t>参加采购活动前三年内，在经营活动中没有重大违法记录；</w:t>
            </w:r>
          </w:p>
        </w:tc>
        <w:tc>
          <w:tcPr>
            <w:tcW w:w="641" w:type="dxa"/>
            <w:shd w:val="clear" w:color="auto" w:fill="auto"/>
            <w:vAlign w:val="center"/>
          </w:tcPr>
          <w:p>
            <w:pPr>
              <w:jc w:val="center"/>
              <w:rPr>
                <w:rFonts w:ascii="宋体" w:hAnsi="宋体"/>
                <w:color w:val="auto"/>
                <w:szCs w:val="21"/>
                <w:highlight w:val="none"/>
              </w:rPr>
            </w:pPr>
          </w:p>
        </w:tc>
        <w:tc>
          <w:tcPr>
            <w:tcW w:w="611" w:type="dxa"/>
            <w:shd w:val="clear" w:color="auto" w:fill="auto"/>
            <w:vAlign w:val="center"/>
          </w:tcPr>
          <w:p>
            <w:pPr>
              <w:jc w:val="center"/>
              <w:rPr>
                <w:rFonts w:ascii="宋体" w:hAnsi="宋体"/>
                <w:color w:val="auto"/>
                <w:szCs w:val="21"/>
                <w:highlight w:val="none"/>
              </w:rPr>
            </w:pPr>
          </w:p>
        </w:tc>
        <w:tc>
          <w:tcPr>
            <w:tcW w:w="744" w:type="dxa"/>
            <w:shd w:val="clear" w:color="auto" w:fill="EEECE1"/>
            <w:vAlign w:val="center"/>
          </w:tcPr>
          <w:p>
            <w:pPr>
              <w:jc w:val="center"/>
              <w:rPr>
                <w:rFonts w:ascii="宋体" w:hAnsi="宋体"/>
                <w:color w:val="auto"/>
                <w:szCs w:val="21"/>
                <w:highlight w:val="none"/>
              </w:rPr>
            </w:pPr>
          </w:p>
        </w:tc>
        <w:tc>
          <w:tcPr>
            <w:tcW w:w="745" w:type="dxa"/>
            <w:shd w:val="clear" w:color="auto" w:fill="EEECE1"/>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jc w:val="right"/>
        </w:trPr>
        <w:tc>
          <w:tcPr>
            <w:tcW w:w="1771" w:type="dxa"/>
            <w:vMerge w:val="continue"/>
            <w:shd w:val="clear" w:color="auto" w:fill="auto"/>
            <w:vAlign w:val="center"/>
          </w:tcPr>
          <w:p>
            <w:pPr>
              <w:ind w:left="113" w:right="113"/>
              <w:jc w:val="center"/>
              <w:rPr>
                <w:rFonts w:ascii="宋体" w:hAnsi="宋体"/>
                <w:color w:val="auto"/>
                <w:szCs w:val="21"/>
                <w:highlight w:val="none"/>
              </w:rPr>
            </w:pPr>
          </w:p>
        </w:tc>
        <w:tc>
          <w:tcPr>
            <w:tcW w:w="560" w:type="dxa"/>
            <w:shd w:val="clear" w:color="auto" w:fill="auto"/>
            <w:vAlign w:val="center"/>
          </w:tcPr>
          <w:p>
            <w:pPr>
              <w:rPr>
                <w:rFonts w:ascii="宋体" w:hAnsi="宋体"/>
                <w:color w:val="auto"/>
                <w:szCs w:val="21"/>
                <w:highlight w:val="none"/>
              </w:rPr>
            </w:pPr>
            <w:r>
              <w:rPr>
                <w:rFonts w:hint="eastAsia" w:ascii="宋体" w:hAnsi="宋体"/>
                <w:color w:val="auto"/>
                <w:szCs w:val="21"/>
                <w:highlight w:val="none"/>
              </w:rPr>
              <w:t>7</w:t>
            </w:r>
          </w:p>
        </w:tc>
        <w:tc>
          <w:tcPr>
            <w:tcW w:w="4705" w:type="dxa"/>
            <w:shd w:val="clear" w:color="auto" w:fill="auto"/>
            <w:vAlign w:val="center"/>
          </w:tcPr>
          <w:p>
            <w:pPr>
              <w:pStyle w:val="32"/>
              <w:rPr>
                <w:rFonts w:hAnsi="宋体"/>
                <w:color w:val="auto"/>
                <w:highlight w:val="none"/>
              </w:rPr>
            </w:pPr>
            <w:r>
              <w:rPr>
                <w:rFonts w:hint="eastAsia" w:hAnsi="宋体"/>
                <w:color w:val="auto"/>
                <w:highlight w:val="none"/>
              </w:rPr>
              <w:t>为采购项目提供整体设计、规范编制或者项目管理、监理、检测等服务的供应商，不得再参加同一采购项目的其他采购活动的书面声明；</w:t>
            </w:r>
          </w:p>
        </w:tc>
        <w:tc>
          <w:tcPr>
            <w:tcW w:w="641" w:type="dxa"/>
            <w:shd w:val="clear" w:color="auto" w:fill="auto"/>
            <w:vAlign w:val="center"/>
          </w:tcPr>
          <w:p>
            <w:pPr>
              <w:jc w:val="center"/>
              <w:rPr>
                <w:rFonts w:ascii="宋体" w:hAnsi="宋体"/>
                <w:color w:val="auto"/>
                <w:szCs w:val="21"/>
                <w:highlight w:val="none"/>
              </w:rPr>
            </w:pPr>
          </w:p>
        </w:tc>
        <w:tc>
          <w:tcPr>
            <w:tcW w:w="611" w:type="dxa"/>
            <w:shd w:val="clear" w:color="auto" w:fill="auto"/>
            <w:vAlign w:val="center"/>
          </w:tcPr>
          <w:p>
            <w:pPr>
              <w:jc w:val="center"/>
              <w:rPr>
                <w:rFonts w:ascii="宋体" w:hAnsi="宋体"/>
                <w:color w:val="auto"/>
                <w:szCs w:val="21"/>
                <w:highlight w:val="none"/>
              </w:rPr>
            </w:pPr>
          </w:p>
        </w:tc>
        <w:tc>
          <w:tcPr>
            <w:tcW w:w="744" w:type="dxa"/>
            <w:shd w:val="clear" w:color="auto" w:fill="EEECE1"/>
            <w:vAlign w:val="center"/>
          </w:tcPr>
          <w:p>
            <w:pPr>
              <w:jc w:val="center"/>
              <w:rPr>
                <w:rFonts w:ascii="宋体" w:hAnsi="宋体"/>
                <w:color w:val="auto"/>
                <w:szCs w:val="21"/>
                <w:highlight w:val="none"/>
              </w:rPr>
            </w:pPr>
          </w:p>
        </w:tc>
        <w:tc>
          <w:tcPr>
            <w:tcW w:w="745" w:type="dxa"/>
            <w:shd w:val="clear" w:color="auto" w:fill="EEECE1"/>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jc w:val="right"/>
        </w:trPr>
        <w:tc>
          <w:tcPr>
            <w:tcW w:w="1771" w:type="dxa"/>
            <w:vMerge w:val="continue"/>
            <w:shd w:val="clear" w:color="auto" w:fill="auto"/>
            <w:vAlign w:val="center"/>
          </w:tcPr>
          <w:p>
            <w:pPr>
              <w:ind w:left="113" w:right="113"/>
              <w:jc w:val="center"/>
              <w:rPr>
                <w:rFonts w:ascii="宋体" w:hAnsi="宋体"/>
                <w:color w:val="auto"/>
                <w:szCs w:val="21"/>
                <w:highlight w:val="none"/>
              </w:rPr>
            </w:pPr>
          </w:p>
        </w:tc>
        <w:tc>
          <w:tcPr>
            <w:tcW w:w="560" w:type="dxa"/>
            <w:shd w:val="clear" w:color="auto" w:fill="auto"/>
            <w:vAlign w:val="center"/>
          </w:tcPr>
          <w:p>
            <w:pPr>
              <w:rPr>
                <w:rFonts w:ascii="宋体" w:hAnsi="宋体"/>
                <w:color w:val="auto"/>
                <w:szCs w:val="21"/>
                <w:highlight w:val="none"/>
              </w:rPr>
            </w:pPr>
            <w:r>
              <w:rPr>
                <w:rFonts w:hint="eastAsia" w:ascii="宋体" w:hAnsi="宋体"/>
                <w:color w:val="auto"/>
                <w:szCs w:val="21"/>
                <w:highlight w:val="none"/>
              </w:rPr>
              <w:t>8</w:t>
            </w:r>
          </w:p>
        </w:tc>
        <w:tc>
          <w:tcPr>
            <w:tcW w:w="4705" w:type="dxa"/>
            <w:shd w:val="clear" w:color="auto" w:fill="auto"/>
            <w:vAlign w:val="center"/>
          </w:tcPr>
          <w:p>
            <w:pPr>
              <w:pStyle w:val="32"/>
              <w:rPr>
                <w:rFonts w:hAnsi="宋体"/>
                <w:bCs/>
                <w:color w:val="auto"/>
                <w:highlight w:val="none"/>
              </w:rPr>
            </w:pPr>
            <w:r>
              <w:rPr>
                <w:rFonts w:hint="eastAsia" w:hAnsi="宋体"/>
                <w:color w:val="auto"/>
                <w:highlight w:val="none"/>
              </w:rPr>
              <w:t>单位负责人为同一人或者存在直接控股、管理关系的不同供应商，不得参加同一合同项下的政府采购活动的书面声明；</w:t>
            </w:r>
          </w:p>
        </w:tc>
        <w:tc>
          <w:tcPr>
            <w:tcW w:w="641" w:type="dxa"/>
            <w:shd w:val="clear" w:color="auto" w:fill="auto"/>
            <w:vAlign w:val="center"/>
          </w:tcPr>
          <w:p>
            <w:pPr>
              <w:jc w:val="center"/>
              <w:rPr>
                <w:rFonts w:ascii="宋体" w:hAnsi="宋体"/>
                <w:color w:val="auto"/>
                <w:szCs w:val="21"/>
                <w:highlight w:val="none"/>
              </w:rPr>
            </w:pPr>
          </w:p>
        </w:tc>
        <w:tc>
          <w:tcPr>
            <w:tcW w:w="611" w:type="dxa"/>
            <w:shd w:val="clear" w:color="auto" w:fill="auto"/>
            <w:vAlign w:val="center"/>
          </w:tcPr>
          <w:p>
            <w:pPr>
              <w:jc w:val="center"/>
              <w:rPr>
                <w:rFonts w:ascii="宋体" w:hAnsi="宋体"/>
                <w:color w:val="auto"/>
                <w:szCs w:val="21"/>
                <w:highlight w:val="none"/>
              </w:rPr>
            </w:pPr>
          </w:p>
        </w:tc>
        <w:tc>
          <w:tcPr>
            <w:tcW w:w="744" w:type="dxa"/>
            <w:shd w:val="clear" w:color="auto" w:fill="EEECE1"/>
            <w:vAlign w:val="center"/>
          </w:tcPr>
          <w:p>
            <w:pPr>
              <w:jc w:val="center"/>
              <w:rPr>
                <w:rFonts w:ascii="宋体" w:hAnsi="宋体"/>
                <w:color w:val="auto"/>
                <w:szCs w:val="21"/>
                <w:highlight w:val="none"/>
              </w:rPr>
            </w:pPr>
          </w:p>
        </w:tc>
        <w:tc>
          <w:tcPr>
            <w:tcW w:w="745" w:type="dxa"/>
            <w:shd w:val="clear" w:color="auto" w:fill="EEECE1"/>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right"/>
        </w:trPr>
        <w:tc>
          <w:tcPr>
            <w:tcW w:w="1771" w:type="dxa"/>
            <w:vMerge w:val="continue"/>
            <w:shd w:val="clear" w:color="auto" w:fill="auto"/>
            <w:vAlign w:val="center"/>
          </w:tcPr>
          <w:p>
            <w:pPr>
              <w:ind w:left="113" w:right="113"/>
              <w:jc w:val="center"/>
              <w:rPr>
                <w:rFonts w:ascii="宋体" w:hAnsi="宋体"/>
                <w:color w:val="auto"/>
                <w:szCs w:val="21"/>
                <w:highlight w:val="none"/>
              </w:rPr>
            </w:pPr>
          </w:p>
        </w:tc>
        <w:tc>
          <w:tcPr>
            <w:tcW w:w="560" w:type="dxa"/>
            <w:shd w:val="clear" w:color="auto" w:fill="auto"/>
            <w:vAlign w:val="center"/>
          </w:tcPr>
          <w:p>
            <w:pPr>
              <w:rPr>
                <w:rFonts w:ascii="宋体" w:hAnsi="宋体"/>
                <w:color w:val="auto"/>
                <w:szCs w:val="21"/>
                <w:highlight w:val="none"/>
              </w:rPr>
            </w:pPr>
            <w:r>
              <w:rPr>
                <w:rFonts w:hint="eastAsia" w:ascii="宋体" w:hAnsi="宋体"/>
                <w:color w:val="auto"/>
                <w:szCs w:val="21"/>
                <w:highlight w:val="none"/>
              </w:rPr>
              <w:t>9</w:t>
            </w:r>
          </w:p>
        </w:tc>
        <w:tc>
          <w:tcPr>
            <w:tcW w:w="4705" w:type="dxa"/>
            <w:shd w:val="clear" w:color="auto" w:fill="auto"/>
            <w:vAlign w:val="center"/>
          </w:tcPr>
          <w:p>
            <w:pPr>
              <w:pStyle w:val="32"/>
              <w:rPr>
                <w:rFonts w:hAnsi="宋体"/>
                <w:color w:val="auto"/>
                <w:kern w:val="0"/>
                <w:highlight w:val="none"/>
              </w:rPr>
            </w:pPr>
            <w:r>
              <w:rPr>
                <w:rFonts w:hint="eastAsia" w:hAnsi="宋体"/>
                <w:color w:val="auto"/>
                <w:highlight w:val="none"/>
              </w:rPr>
              <w:t>实质性响应一览表（“★”项）</w:t>
            </w:r>
          </w:p>
        </w:tc>
        <w:tc>
          <w:tcPr>
            <w:tcW w:w="641" w:type="dxa"/>
            <w:shd w:val="clear" w:color="auto" w:fill="auto"/>
            <w:vAlign w:val="center"/>
          </w:tcPr>
          <w:p>
            <w:pPr>
              <w:jc w:val="center"/>
              <w:rPr>
                <w:rFonts w:ascii="宋体" w:hAnsi="宋体"/>
                <w:color w:val="auto"/>
                <w:szCs w:val="21"/>
                <w:highlight w:val="none"/>
              </w:rPr>
            </w:pPr>
          </w:p>
        </w:tc>
        <w:tc>
          <w:tcPr>
            <w:tcW w:w="611" w:type="dxa"/>
            <w:shd w:val="clear" w:color="auto" w:fill="auto"/>
            <w:vAlign w:val="center"/>
          </w:tcPr>
          <w:p>
            <w:pPr>
              <w:jc w:val="center"/>
              <w:rPr>
                <w:rFonts w:ascii="宋体" w:hAnsi="宋体"/>
                <w:color w:val="auto"/>
                <w:szCs w:val="21"/>
                <w:highlight w:val="none"/>
              </w:rPr>
            </w:pPr>
          </w:p>
        </w:tc>
        <w:tc>
          <w:tcPr>
            <w:tcW w:w="744" w:type="dxa"/>
            <w:shd w:val="clear" w:color="auto" w:fill="EEECE1"/>
            <w:vAlign w:val="center"/>
          </w:tcPr>
          <w:p>
            <w:pPr>
              <w:jc w:val="center"/>
              <w:rPr>
                <w:rFonts w:ascii="宋体" w:hAnsi="宋体"/>
                <w:color w:val="auto"/>
                <w:szCs w:val="21"/>
                <w:highlight w:val="none"/>
              </w:rPr>
            </w:pPr>
          </w:p>
        </w:tc>
        <w:tc>
          <w:tcPr>
            <w:tcW w:w="745" w:type="dxa"/>
            <w:shd w:val="clear" w:color="auto" w:fill="EEECE1"/>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right"/>
        </w:trPr>
        <w:tc>
          <w:tcPr>
            <w:tcW w:w="1771" w:type="dxa"/>
            <w:vMerge w:val="restart"/>
            <w:shd w:val="clear" w:color="auto" w:fill="auto"/>
            <w:vAlign w:val="center"/>
          </w:tcPr>
          <w:p>
            <w:pPr>
              <w:ind w:left="113" w:right="113"/>
              <w:jc w:val="center"/>
              <w:rPr>
                <w:rFonts w:ascii="宋体" w:hAnsi="宋体"/>
                <w:color w:val="auto"/>
                <w:szCs w:val="21"/>
                <w:highlight w:val="none"/>
              </w:rPr>
            </w:pPr>
            <w:r>
              <w:rPr>
                <w:rFonts w:hint="eastAsia" w:ascii="宋体" w:hAnsi="宋体"/>
                <w:b/>
                <w:color w:val="auto"/>
                <w:szCs w:val="21"/>
                <w:highlight w:val="none"/>
              </w:rPr>
              <w:t>投标人应提交的商务文件（</w:t>
            </w:r>
            <w:r>
              <w:rPr>
                <w:rFonts w:hint="eastAsia" w:ascii="宋体" w:hAnsi="宋体"/>
                <w:b/>
                <w:bCs/>
                <w:color w:val="auto"/>
                <w:szCs w:val="21"/>
                <w:highlight w:val="none"/>
              </w:rPr>
              <w:t>加盖投标人公章</w:t>
            </w:r>
            <w:r>
              <w:rPr>
                <w:rFonts w:hint="eastAsia" w:ascii="宋体" w:hAnsi="宋体"/>
                <w:b/>
                <w:color w:val="auto"/>
                <w:szCs w:val="21"/>
                <w:highlight w:val="none"/>
              </w:rPr>
              <w:t>）</w:t>
            </w:r>
          </w:p>
        </w:tc>
        <w:tc>
          <w:tcPr>
            <w:tcW w:w="560" w:type="dxa"/>
            <w:shd w:val="clear" w:color="auto" w:fill="auto"/>
            <w:vAlign w:val="center"/>
          </w:tcPr>
          <w:p>
            <w:pPr>
              <w:numPr>
                <w:ilvl w:val="0"/>
                <w:numId w:val="24"/>
              </w:numPr>
              <w:jc w:val="center"/>
              <w:rPr>
                <w:rFonts w:ascii="宋体" w:hAnsi="宋体"/>
                <w:color w:val="auto"/>
                <w:szCs w:val="21"/>
                <w:highlight w:val="none"/>
              </w:rPr>
            </w:pPr>
          </w:p>
        </w:tc>
        <w:tc>
          <w:tcPr>
            <w:tcW w:w="4705" w:type="dxa"/>
            <w:shd w:val="clear" w:color="auto" w:fill="auto"/>
            <w:vAlign w:val="center"/>
          </w:tcPr>
          <w:p>
            <w:pPr>
              <w:pStyle w:val="32"/>
              <w:rPr>
                <w:rFonts w:hAnsi="宋体"/>
                <w:color w:val="auto"/>
                <w:highlight w:val="none"/>
              </w:rPr>
            </w:pPr>
            <w:r>
              <w:rPr>
                <w:rFonts w:hint="eastAsia" w:hAnsi="宋体"/>
                <w:color w:val="auto"/>
                <w:highlight w:val="none"/>
              </w:rPr>
              <w:t>投标人简介</w:t>
            </w:r>
          </w:p>
        </w:tc>
        <w:tc>
          <w:tcPr>
            <w:tcW w:w="641" w:type="dxa"/>
            <w:shd w:val="clear" w:color="auto" w:fill="auto"/>
            <w:vAlign w:val="center"/>
          </w:tcPr>
          <w:p>
            <w:pPr>
              <w:jc w:val="center"/>
              <w:rPr>
                <w:rFonts w:ascii="宋体" w:hAnsi="宋体"/>
                <w:color w:val="auto"/>
                <w:szCs w:val="21"/>
                <w:highlight w:val="none"/>
              </w:rPr>
            </w:pPr>
          </w:p>
        </w:tc>
        <w:tc>
          <w:tcPr>
            <w:tcW w:w="611" w:type="dxa"/>
            <w:shd w:val="clear" w:color="auto" w:fill="auto"/>
            <w:vAlign w:val="center"/>
          </w:tcPr>
          <w:p>
            <w:pPr>
              <w:jc w:val="center"/>
              <w:rPr>
                <w:rFonts w:ascii="宋体" w:hAnsi="宋体"/>
                <w:color w:val="auto"/>
                <w:szCs w:val="21"/>
                <w:highlight w:val="none"/>
              </w:rPr>
            </w:pPr>
          </w:p>
        </w:tc>
        <w:tc>
          <w:tcPr>
            <w:tcW w:w="744" w:type="dxa"/>
            <w:shd w:val="clear" w:color="auto" w:fill="EEECE1"/>
            <w:vAlign w:val="center"/>
          </w:tcPr>
          <w:p>
            <w:pPr>
              <w:jc w:val="center"/>
              <w:rPr>
                <w:rFonts w:ascii="宋体" w:hAnsi="宋体"/>
                <w:color w:val="auto"/>
                <w:szCs w:val="21"/>
                <w:highlight w:val="none"/>
              </w:rPr>
            </w:pPr>
          </w:p>
        </w:tc>
        <w:tc>
          <w:tcPr>
            <w:tcW w:w="745" w:type="dxa"/>
            <w:shd w:val="clear" w:color="auto" w:fill="EEECE1"/>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right"/>
        </w:trPr>
        <w:tc>
          <w:tcPr>
            <w:tcW w:w="1771" w:type="dxa"/>
            <w:vMerge w:val="continue"/>
            <w:shd w:val="clear" w:color="auto" w:fill="auto"/>
            <w:vAlign w:val="center"/>
          </w:tcPr>
          <w:p>
            <w:pPr>
              <w:ind w:left="113" w:right="113"/>
              <w:jc w:val="center"/>
              <w:rPr>
                <w:rFonts w:ascii="宋体" w:hAnsi="宋体"/>
                <w:color w:val="auto"/>
                <w:szCs w:val="21"/>
                <w:highlight w:val="none"/>
              </w:rPr>
            </w:pPr>
          </w:p>
        </w:tc>
        <w:tc>
          <w:tcPr>
            <w:tcW w:w="560" w:type="dxa"/>
            <w:shd w:val="clear" w:color="auto" w:fill="auto"/>
            <w:vAlign w:val="center"/>
          </w:tcPr>
          <w:p>
            <w:pPr>
              <w:numPr>
                <w:ilvl w:val="0"/>
                <w:numId w:val="24"/>
              </w:numPr>
              <w:jc w:val="center"/>
              <w:rPr>
                <w:rFonts w:ascii="宋体" w:hAnsi="宋体"/>
                <w:color w:val="auto"/>
                <w:szCs w:val="21"/>
                <w:highlight w:val="none"/>
              </w:rPr>
            </w:pPr>
          </w:p>
        </w:tc>
        <w:tc>
          <w:tcPr>
            <w:tcW w:w="4705" w:type="dxa"/>
            <w:shd w:val="clear" w:color="auto" w:fill="auto"/>
            <w:vAlign w:val="center"/>
          </w:tcPr>
          <w:p>
            <w:pPr>
              <w:pStyle w:val="32"/>
              <w:rPr>
                <w:rFonts w:hAnsi="宋体"/>
                <w:color w:val="auto"/>
                <w:highlight w:val="none"/>
              </w:rPr>
            </w:pPr>
            <w:r>
              <w:rPr>
                <w:rFonts w:hint="eastAsia" w:hAnsi="宋体"/>
                <w:color w:val="auto"/>
                <w:kern w:val="0"/>
                <w:highlight w:val="none"/>
              </w:rPr>
              <w:t>合同条款响应一览表</w:t>
            </w:r>
          </w:p>
        </w:tc>
        <w:tc>
          <w:tcPr>
            <w:tcW w:w="641" w:type="dxa"/>
            <w:shd w:val="clear" w:color="auto" w:fill="auto"/>
            <w:vAlign w:val="center"/>
          </w:tcPr>
          <w:p>
            <w:pPr>
              <w:jc w:val="center"/>
              <w:rPr>
                <w:rFonts w:ascii="宋体" w:hAnsi="宋体"/>
                <w:color w:val="auto"/>
                <w:szCs w:val="21"/>
                <w:highlight w:val="none"/>
              </w:rPr>
            </w:pPr>
          </w:p>
        </w:tc>
        <w:tc>
          <w:tcPr>
            <w:tcW w:w="611" w:type="dxa"/>
            <w:shd w:val="clear" w:color="auto" w:fill="auto"/>
            <w:vAlign w:val="center"/>
          </w:tcPr>
          <w:p>
            <w:pPr>
              <w:jc w:val="center"/>
              <w:rPr>
                <w:rFonts w:ascii="宋体" w:hAnsi="宋体"/>
                <w:color w:val="auto"/>
                <w:szCs w:val="21"/>
                <w:highlight w:val="none"/>
              </w:rPr>
            </w:pPr>
          </w:p>
        </w:tc>
        <w:tc>
          <w:tcPr>
            <w:tcW w:w="744" w:type="dxa"/>
            <w:shd w:val="clear" w:color="auto" w:fill="EEECE1"/>
            <w:vAlign w:val="center"/>
          </w:tcPr>
          <w:p>
            <w:pPr>
              <w:jc w:val="center"/>
              <w:rPr>
                <w:rFonts w:ascii="宋体" w:hAnsi="宋体"/>
                <w:color w:val="auto"/>
                <w:szCs w:val="21"/>
                <w:highlight w:val="none"/>
              </w:rPr>
            </w:pPr>
          </w:p>
        </w:tc>
        <w:tc>
          <w:tcPr>
            <w:tcW w:w="745" w:type="dxa"/>
            <w:shd w:val="clear" w:color="auto" w:fill="EEECE1"/>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right"/>
        </w:trPr>
        <w:tc>
          <w:tcPr>
            <w:tcW w:w="1771" w:type="dxa"/>
            <w:vMerge w:val="continue"/>
            <w:shd w:val="clear" w:color="auto" w:fill="auto"/>
            <w:vAlign w:val="center"/>
          </w:tcPr>
          <w:p>
            <w:pPr>
              <w:ind w:left="113" w:right="113"/>
              <w:jc w:val="center"/>
              <w:rPr>
                <w:rFonts w:ascii="宋体" w:hAnsi="宋体"/>
                <w:color w:val="auto"/>
                <w:szCs w:val="21"/>
                <w:highlight w:val="none"/>
              </w:rPr>
            </w:pPr>
          </w:p>
        </w:tc>
        <w:tc>
          <w:tcPr>
            <w:tcW w:w="560" w:type="dxa"/>
            <w:shd w:val="clear" w:color="auto" w:fill="auto"/>
            <w:vAlign w:val="center"/>
          </w:tcPr>
          <w:p>
            <w:pPr>
              <w:numPr>
                <w:ilvl w:val="0"/>
                <w:numId w:val="24"/>
              </w:numPr>
              <w:jc w:val="center"/>
              <w:rPr>
                <w:rFonts w:ascii="宋体" w:hAnsi="宋体"/>
                <w:color w:val="auto"/>
                <w:szCs w:val="21"/>
                <w:highlight w:val="none"/>
              </w:rPr>
            </w:pPr>
          </w:p>
        </w:tc>
        <w:tc>
          <w:tcPr>
            <w:tcW w:w="4705" w:type="dxa"/>
            <w:shd w:val="clear" w:color="auto" w:fill="auto"/>
            <w:vAlign w:val="center"/>
          </w:tcPr>
          <w:p>
            <w:pPr>
              <w:pStyle w:val="32"/>
              <w:rPr>
                <w:rFonts w:hAnsi="宋体"/>
                <w:color w:val="auto"/>
                <w:highlight w:val="none"/>
              </w:rPr>
            </w:pPr>
            <w:r>
              <w:rPr>
                <w:rFonts w:hint="eastAsia" w:hAnsi="宋体"/>
                <w:color w:val="auto"/>
                <w:highlight w:val="none"/>
              </w:rPr>
              <w:t>商务评审部分文件</w:t>
            </w:r>
          </w:p>
        </w:tc>
        <w:tc>
          <w:tcPr>
            <w:tcW w:w="641" w:type="dxa"/>
            <w:shd w:val="clear" w:color="auto" w:fill="auto"/>
            <w:vAlign w:val="center"/>
          </w:tcPr>
          <w:p>
            <w:pPr>
              <w:jc w:val="center"/>
              <w:rPr>
                <w:rFonts w:ascii="宋体" w:hAnsi="宋体"/>
                <w:color w:val="auto"/>
                <w:szCs w:val="21"/>
                <w:highlight w:val="none"/>
              </w:rPr>
            </w:pPr>
          </w:p>
        </w:tc>
        <w:tc>
          <w:tcPr>
            <w:tcW w:w="611" w:type="dxa"/>
            <w:shd w:val="clear" w:color="auto" w:fill="auto"/>
            <w:vAlign w:val="center"/>
          </w:tcPr>
          <w:p>
            <w:pPr>
              <w:jc w:val="center"/>
              <w:rPr>
                <w:rFonts w:ascii="宋体" w:hAnsi="宋体"/>
                <w:color w:val="auto"/>
                <w:szCs w:val="21"/>
                <w:highlight w:val="none"/>
              </w:rPr>
            </w:pPr>
          </w:p>
        </w:tc>
        <w:tc>
          <w:tcPr>
            <w:tcW w:w="744" w:type="dxa"/>
            <w:shd w:val="clear" w:color="auto" w:fill="EEECE1"/>
            <w:vAlign w:val="center"/>
          </w:tcPr>
          <w:p>
            <w:pPr>
              <w:jc w:val="center"/>
              <w:rPr>
                <w:rFonts w:ascii="宋体" w:hAnsi="宋体"/>
                <w:color w:val="auto"/>
                <w:szCs w:val="21"/>
                <w:highlight w:val="none"/>
              </w:rPr>
            </w:pPr>
          </w:p>
        </w:tc>
        <w:tc>
          <w:tcPr>
            <w:tcW w:w="745" w:type="dxa"/>
            <w:shd w:val="clear" w:color="auto" w:fill="EEECE1"/>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right"/>
        </w:trPr>
        <w:tc>
          <w:tcPr>
            <w:tcW w:w="1771" w:type="dxa"/>
            <w:vMerge w:val="continue"/>
            <w:shd w:val="clear" w:color="auto" w:fill="auto"/>
            <w:vAlign w:val="center"/>
          </w:tcPr>
          <w:p>
            <w:pPr>
              <w:ind w:left="113" w:right="113"/>
              <w:jc w:val="center"/>
              <w:rPr>
                <w:rFonts w:ascii="宋体" w:hAnsi="宋体"/>
                <w:color w:val="auto"/>
                <w:szCs w:val="21"/>
                <w:highlight w:val="none"/>
              </w:rPr>
            </w:pPr>
          </w:p>
        </w:tc>
        <w:tc>
          <w:tcPr>
            <w:tcW w:w="560" w:type="dxa"/>
            <w:shd w:val="clear" w:color="auto" w:fill="auto"/>
            <w:vAlign w:val="center"/>
          </w:tcPr>
          <w:p>
            <w:pPr>
              <w:numPr>
                <w:ilvl w:val="0"/>
                <w:numId w:val="24"/>
              </w:numPr>
              <w:jc w:val="center"/>
              <w:rPr>
                <w:rFonts w:ascii="宋体" w:hAnsi="宋体"/>
                <w:color w:val="auto"/>
                <w:szCs w:val="21"/>
                <w:highlight w:val="none"/>
              </w:rPr>
            </w:pPr>
          </w:p>
        </w:tc>
        <w:tc>
          <w:tcPr>
            <w:tcW w:w="4705" w:type="dxa"/>
            <w:shd w:val="clear" w:color="auto" w:fill="auto"/>
            <w:vAlign w:val="center"/>
          </w:tcPr>
          <w:p>
            <w:pPr>
              <w:pStyle w:val="32"/>
              <w:rPr>
                <w:rFonts w:hAnsi="宋体"/>
                <w:color w:val="auto"/>
                <w:highlight w:val="none"/>
              </w:rPr>
            </w:pPr>
            <w:r>
              <w:rPr>
                <w:rFonts w:hint="eastAsia" w:hAnsi="宋体"/>
                <w:color w:val="auto"/>
                <w:highlight w:val="none"/>
              </w:rPr>
              <w:t>近年完成同类项目一览表</w:t>
            </w:r>
          </w:p>
        </w:tc>
        <w:tc>
          <w:tcPr>
            <w:tcW w:w="641" w:type="dxa"/>
            <w:shd w:val="clear" w:color="auto" w:fill="auto"/>
            <w:vAlign w:val="center"/>
          </w:tcPr>
          <w:p>
            <w:pPr>
              <w:jc w:val="center"/>
              <w:rPr>
                <w:rFonts w:ascii="宋体" w:hAnsi="宋体"/>
                <w:color w:val="auto"/>
                <w:szCs w:val="21"/>
                <w:highlight w:val="none"/>
              </w:rPr>
            </w:pPr>
          </w:p>
        </w:tc>
        <w:tc>
          <w:tcPr>
            <w:tcW w:w="611" w:type="dxa"/>
            <w:shd w:val="clear" w:color="auto" w:fill="auto"/>
            <w:vAlign w:val="center"/>
          </w:tcPr>
          <w:p>
            <w:pPr>
              <w:jc w:val="center"/>
              <w:rPr>
                <w:rFonts w:ascii="宋体" w:hAnsi="宋体"/>
                <w:color w:val="auto"/>
                <w:szCs w:val="21"/>
                <w:highlight w:val="none"/>
              </w:rPr>
            </w:pPr>
          </w:p>
        </w:tc>
        <w:tc>
          <w:tcPr>
            <w:tcW w:w="744" w:type="dxa"/>
            <w:shd w:val="clear" w:color="auto" w:fill="EEECE1"/>
            <w:vAlign w:val="center"/>
          </w:tcPr>
          <w:p>
            <w:pPr>
              <w:jc w:val="center"/>
              <w:rPr>
                <w:rFonts w:ascii="宋体" w:hAnsi="宋体"/>
                <w:color w:val="auto"/>
                <w:szCs w:val="21"/>
                <w:highlight w:val="none"/>
              </w:rPr>
            </w:pPr>
          </w:p>
        </w:tc>
        <w:tc>
          <w:tcPr>
            <w:tcW w:w="745" w:type="dxa"/>
            <w:shd w:val="clear" w:color="auto" w:fill="EEECE1"/>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right"/>
        </w:trPr>
        <w:tc>
          <w:tcPr>
            <w:tcW w:w="1771" w:type="dxa"/>
            <w:vMerge w:val="continue"/>
            <w:shd w:val="clear" w:color="auto" w:fill="auto"/>
            <w:vAlign w:val="center"/>
          </w:tcPr>
          <w:p>
            <w:pPr>
              <w:ind w:left="113" w:right="113"/>
              <w:jc w:val="center"/>
              <w:rPr>
                <w:rFonts w:ascii="宋体" w:hAnsi="宋体"/>
                <w:color w:val="auto"/>
                <w:szCs w:val="21"/>
                <w:highlight w:val="none"/>
              </w:rPr>
            </w:pPr>
          </w:p>
        </w:tc>
        <w:tc>
          <w:tcPr>
            <w:tcW w:w="560" w:type="dxa"/>
            <w:shd w:val="clear" w:color="auto" w:fill="auto"/>
            <w:vAlign w:val="center"/>
          </w:tcPr>
          <w:p>
            <w:pPr>
              <w:numPr>
                <w:ilvl w:val="0"/>
                <w:numId w:val="24"/>
              </w:numPr>
              <w:jc w:val="center"/>
              <w:rPr>
                <w:rFonts w:ascii="宋体" w:hAnsi="宋体"/>
                <w:color w:val="auto"/>
                <w:szCs w:val="21"/>
                <w:highlight w:val="none"/>
              </w:rPr>
            </w:pPr>
          </w:p>
        </w:tc>
        <w:tc>
          <w:tcPr>
            <w:tcW w:w="4705" w:type="dxa"/>
            <w:shd w:val="clear" w:color="auto" w:fill="auto"/>
            <w:vAlign w:val="center"/>
          </w:tcPr>
          <w:p>
            <w:pPr>
              <w:pStyle w:val="32"/>
              <w:rPr>
                <w:rFonts w:hAnsi="宋体"/>
                <w:color w:val="auto"/>
                <w:highlight w:val="none"/>
              </w:rPr>
            </w:pPr>
            <w:r>
              <w:rPr>
                <w:rFonts w:hint="eastAsia" w:hAnsi="宋体"/>
                <w:color w:val="auto"/>
                <w:highlight w:val="none"/>
              </w:rPr>
              <w:t>管理和技术人员一览表</w:t>
            </w:r>
          </w:p>
        </w:tc>
        <w:tc>
          <w:tcPr>
            <w:tcW w:w="641" w:type="dxa"/>
            <w:shd w:val="clear" w:color="auto" w:fill="auto"/>
            <w:vAlign w:val="center"/>
          </w:tcPr>
          <w:p>
            <w:pPr>
              <w:jc w:val="center"/>
              <w:rPr>
                <w:rFonts w:ascii="宋体" w:hAnsi="宋体"/>
                <w:color w:val="auto"/>
                <w:szCs w:val="21"/>
                <w:highlight w:val="none"/>
              </w:rPr>
            </w:pPr>
          </w:p>
        </w:tc>
        <w:tc>
          <w:tcPr>
            <w:tcW w:w="611" w:type="dxa"/>
            <w:shd w:val="clear" w:color="auto" w:fill="auto"/>
            <w:vAlign w:val="center"/>
          </w:tcPr>
          <w:p>
            <w:pPr>
              <w:jc w:val="center"/>
              <w:rPr>
                <w:rFonts w:ascii="宋体" w:hAnsi="宋体"/>
                <w:color w:val="auto"/>
                <w:szCs w:val="21"/>
                <w:highlight w:val="none"/>
              </w:rPr>
            </w:pPr>
          </w:p>
        </w:tc>
        <w:tc>
          <w:tcPr>
            <w:tcW w:w="744" w:type="dxa"/>
            <w:shd w:val="clear" w:color="auto" w:fill="EEECE1"/>
            <w:vAlign w:val="center"/>
          </w:tcPr>
          <w:p>
            <w:pPr>
              <w:jc w:val="center"/>
              <w:rPr>
                <w:rFonts w:ascii="宋体" w:hAnsi="宋体"/>
                <w:color w:val="auto"/>
                <w:szCs w:val="21"/>
                <w:highlight w:val="none"/>
              </w:rPr>
            </w:pPr>
          </w:p>
        </w:tc>
        <w:tc>
          <w:tcPr>
            <w:tcW w:w="745" w:type="dxa"/>
            <w:shd w:val="clear" w:color="auto" w:fill="EEECE1"/>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right"/>
        </w:trPr>
        <w:tc>
          <w:tcPr>
            <w:tcW w:w="1771" w:type="dxa"/>
            <w:vMerge w:val="continue"/>
            <w:shd w:val="clear" w:color="auto" w:fill="auto"/>
            <w:vAlign w:val="center"/>
          </w:tcPr>
          <w:p>
            <w:pPr>
              <w:ind w:left="113" w:right="113"/>
              <w:jc w:val="center"/>
              <w:rPr>
                <w:rFonts w:ascii="宋体" w:hAnsi="宋体"/>
                <w:color w:val="auto"/>
                <w:szCs w:val="21"/>
                <w:highlight w:val="none"/>
              </w:rPr>
            </w:pPr>
          </w:p>
        </w:tc>
        <w:tc>
          <w:tcPr>
            <w:tcW w:w="560" w:type="dxa"/>
            <w:shd w:val="clear" w:color="auto" w:fill="auto"/>
            <w:vAlign w:val="center"/>
          </w:tcPr>
          <w:p>
            <w:pPr>
              <w:numPr>
                <w:ilvl w:val="0"/>
                <w:numId w:val="24"/>
              </w:numPr>
              <w:jc w:val="center"/>
              <w:rPr>
                <w:rFonts w:ascii="宋体" w:hAnsi="宋体"/>
                <w:color w:val="auto"/>
                <w:szCs w:val="21"/>
                <w:highlight w:val="none"/>
              </w:rPr>
            </w:pPr>
          </w:p>
        </w:tc>
        <w:tc>
          <w:tcPr>
            <w:tcW w:w="4705" w:type="dxa"/>
            <w:shd w:val="clear" w:color="auto" w:fill="auto"/>
            <w:vAlign w:val="center"/>
          </w:tcPr>
          <w:p>
            <w:pPr>
              <w:pStyle w:val="32"/>
              <w:rPr>
                <w:rFonts w:hAnsi="宋体"/>
                <w:color w:val="auto"/>
                <w:kern w:val="0"/>
                <w:highlight w:val="none"/>
              </w:rPr>
            </w:pPr>
            <w:r>
              <w:rPr>
                <w:rFonts w:hint="eastAsia" w:hAnsi="宋体"/>
                <w:color w:val="auto"/>
                <w:kern w:val="0"/>
                <w:highlight w:val="none"/>
              </w:rPr>
              <w:t>投标人认为应当提交的其他商务文件</w:t>
            </w:r>
          </w:p>
        </w:tc>
        <w:tc>
          <w:tcPr>
            <w:tcW w:w="641" w:type="dxa"/>
            <w:shd w:val="clear" w:color="auto" w:fill="auto"/>
            <w:vAlign w:val="center"/>
          </w:tcPr>
          <w:p>
            <w:pPr>
              <w:jc w:val="center"/>
              <w:rPr>
                <w:rFonts w:ascii="宋体" w:hAnsi="宋体"/>
                <w:color w:val="auto"/>
                <w:szCs w:val="21"/>
                <w:highlight w:val="none"/>
              </w:rPr>
            </w:pPr>
          </w:p>
        </w:tc>
        <w:tc>
          <w:tcPr>
            <w:tcW w:w="611" w:type="dxa"/>
            <w:shd w:val="clear" w:color="auto" w:fill="auto"/>
            <w:vAlign w:val="center"/>
          </w:tcPr>
          <w:p>
            <w:pPr>
              <w:jc w:val="center"/>
              <w:rPr>
                <w:rFonts w:ascii="宋体" w:hAnsi="宋体"/>
                <w:color w:val="auto"/>
                <w:szCs w:val="21"/>
                <w:highlight w:val="none"/>
              </w:rPr>
            </w:pPr>
          </w:p>
        </w:tc>
        <w:tc>
          <w:tcPr>
            <w:tcW w:w="744" w:type="dxa"/>
            <w:shd w:val="clear" w:color="auto" w:fill="EEECE1"/>
            <w:vAlign w:val="center"/>
          </w:tcPr>
          <w:p>
            <w:pPr>
              <w:jc w:val="center"/>
              <w:rPr>
                <w:rFonts w:ascii="宋体" w:hAnsi="宋体"/>
                <w:color w:val="auto"/>
                <w:szCs w:val="21"/>
                <w:highlight w:val="none"/>
              </w:rPr>
            </w:pPr>
          </w:p>
        </w:tc>
        <w:tc>
          <w:tcPr>
            <w:tcW w:w="745" w:type="dxa"/>
            <w:shd w:val="clear" w:color="auto" w:fill="EEECE1"/>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right"/>
        </w:trPr>
        <w:tc>
          <w:tcPr>
            <w:tcW w:w="1771" w:type="dxa"/>
            <w:vMerge w:val="restart"/>
            <w:shd w:val="clear" w:color="auto" w:fill="auto"/>
            <w:vAlign w:val="center"/>
          </w:tcPr>
          <w:p>
            <w:pPr>
              <w:ind w:left="113" w:right="113"/>
              <w:jc w:val="center"/>
              <w:rPr>
                <w:rFonts w:ascii="宋体" w:hAnsi="宋体"/>
                <w:color w:val="auto"/>
                <w:szCs w:val="21"/>
                <w:highlight w:val="none"/>
              </w:rPr>
            </w:pPr>
            <w:r>
              <w:rPr>
                <w:rFonts w:hint="eastAsia" w:ascii="宋体" w:hAnsi="宋体"/>
                <w:b/>
                <w:color w:val="auto"/>
                <w:szCs w:val="21"/>
                <w:highlight w:val="none"/>
              </w:rPr>
              <w:t>投标人应提交的技术（服务）文件（</w:t>
            </w:r>
            <w:r>
              <w:rPr>
                <w:rFonts w:hint="eastAsia" w:ascii="宋体" w:hAnsi="宋体"/>
                <w:b/>
                <w:bCs/>
                <w:color w:val="auto"/>
                <w:szCs w:val="21"/>
                <w:highlight w:val="none"/>
              </w:rPr>
              <w:t>加盖投标人公章</w:t>
            </w:r>
            <w:r>
              <w:rPr>
                <w:rFonts w:hint="eastAsia" w:ascii="宋体" w:hAnsi="宋体"/>
                <w:b/>
                <w:color w:val="auto"/>
                <w:szCs w:val="21"/>
                <w:highlight w:val="none"/>
              </w:rPr>
              <w:t>）</w:t>
            </w:r>
          </w:p>
        </w:tc>
        <w:tc>
          <w:tcPr>
            <w:tcW w:w="560" w:type="dxa"/>
            <w:shd w:val="clear" w:color="auto" w:fill="auto"/>
            <w:vAlign w:val="center"/>
          </w:tcPr>
          <w:p>
            <w:pPr>
              <w:numPr>
                <w:ilvl w:val="0"/>
                <w:numId w:val="15"/>
              </w:numPr>
              <w:jc w:val="center"/>
              <w:rPr>
                <w:rFonts w:ascii="宋体" w:hAnsi="宋体"/>
                <w:color w:val="auto"/>
                <w:szCs w:val="21"/>
                <w:highlight w:val="none"/>
              </w:rPr>
            </w:pPr>
          </w:p>
        </w:tc>
        <w:tc>
          <w:tcPr>
            <w:tcW w:w="4705" w:type="dxa"/>
            <w:shd w:val="clear" w:color="auto" w:fill="auto"/>
            <w:vAlign w:val="center"/>
          </w:tcPr>
          <w:p>
            <w:pPr>
              <w:pStyle w:val="32"/>
              <w:rPr>
                <w:rFonts w:hAnsi="宋体"/>
                <w:color w:val="auto"/>
                <w:highlight w:val="none"/>
              </w:rPr>
            </w:pPr>
            <w:r>
              <w:rPr>
                <w:rFonts w:hint="eastAsia" w:hAnsi="宋体"/>
                <w:color w:val="auto"/>
                <w:kern w:val="0"/>
                <w:highlight w:val="none"/>
              </w:rPr>
              <w:t>重要条款响应表</w:t>
            </w:r>
          </w:p>
        </w:tc>
        <w:tc>
          <w:tcPr>
            <w:tcW w:w="641" w:type="dxa"/>
            <w:shd w:val="clear" w:color="auto" w:fill="auto"/>
            <w:vAlign w:val="center"/>
          </w:tcPr>
          <w:p>
            <w:pPr>
              <w:jc w:val="center"/>
              <w:rPr>
                <w:rFonts w:ascii="宋体" w:hAnsi="宋体"/>
                <w:color w:val="auto"/>
                <w:szCs w:val="21"/>
                <w:highlight w:val="none"/>
              </w:rPr>
            </w:pPr>
          </w:p>
        </w:tc>
        <w:tc>
          <w:tcPr>
            <w:tcW w:w="611" w:type="dxa"/>
            <w:shd w:val="clear" w:color="auto" w:fill="auto"/>
            <w:vAlign w:val="center"/>
          </w:tcPr>
          <w:p>
            <w:pPr>
              <w:jc w:val="center"/>
              <w:rPr>
                <w:rFonts w:ascii="宋体" w:hAnsi="宋体"/>
                <w:color w:val="auto"/>
                <w:szCs w:val="21"/>
                <w:highlight w:val="none"/>
              </w:rPr>
            </w:pPr>
          </w:p>
        </w:tc>
        <w:tc>
          <w:tcPr>
            <w:tcW w:w="744" w:type="dxa"/>
            <w:shd w:val="clear" w:color="auto" w:fill="EEECE1"/>
            <w:vAlign w:val="center"/>
          </w:tcPr>
          <w:p>
            <w:pPr>
              <w:jc w:val="center"/>
              <w:rPr>
                <w:rFonts w:ascii="宋体" w:hAnsi="宋体"/>
                <w:color w:val="auto"/>
                <w:szCs w:val="21"/>
                <w:highlight w:val="none"/>
              </w:rPr>
            </w:pPr>
          </w:p>
        </w:tc>
        <w:tc>
          <w:tcPr>
            <w:tcW w:w="745" w:type="dxa"/>
            <w:shd w:val="clear" w:color="auto" w:fill="EEECE1"/>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right"/>
        </w:trPr>
        <w:tc>
          <w:tcPr>
            <w:tcW w:w="1771" w:type="dxa"/>
            <w:vMerge w:val="continue"/>
            <w:shd w:val="clear" w:color="auto" w:fill="auto"/>
            <w:vAlign w:val="center"/>
          </w:tcPr>
          <w:p>
            <w:pPr>
              <w:ind w:left="113" w:right="113"/>
              <w:jc w:val="center"/>
              <w:rPr>
                <w:rFonts w:ascii="宋体" w:hAnsi="宋体"/>
                <w:b/>
                <w:color w:val="auto"/>
                <w:szCs w:val="21"/>
                <w:highlight w:val="none"/>
              </w:rPr>
            </w:pPr>
          </w:p>
        </w:tc>
        <w:tc>
          <w:tcPr>
            <w:tcW w:w="560" w:type="dxa"/>
            <w:shd w:val="clear" w:color="auto" w:fill="auto"/>
            <w:vAlign w:val="center"/>
          </w:tcPr>
          <w:p>
            <w:pPr>
              <w:numPr>
                <w:ilvl w:val="0"/>
                <w:numId w:val="15"/>
              </w:numPr>
              <w:jc w:val="center"/>
              <w:rPr>
                <w:rFonts w:ascii="宋体" w:hAnsi="宋体"/>
                <w:color w:val="auto"/>
                <w:szCs w:val="21"/>
                <w:highlight w:val="none"/>
              </w:rPr>
            </w:pPr>
          </w:p>
        </w:tc>
        <w:tc>
          <w:tcPr>
            <w:tcW w:w="4705" w:type="dxa"/>
            <w:shd w:val="clear" w:color="auto" w:fill="auto"/>
            <w:vAlign w:val="center"/>
          </w:tcPr>
          <w:p>
            <w:pPr>
              <w:pStyle w:val="32"/>
              <w:rPr>
                <w:rFonts w:hAnsi="宋体"/>
                <w:color w:val="auto"/>
                <w:kern w:val="0"/>
                <w:highlight w:val="none"/>
              </w:rPr>
            </w:pPr>
            <w:r>
              <w:rPr>
                <w:rFonts w:hint="eastAsia" w:hAnsi="宋体"/>
                <w:color w:val="auto"/>
                <w:kern w:val="0"/>
                <w:highlight w:val="none"/>
              </w:rPr>
              <w:t>一般条款响应表</w:t>
            </w:r>
          </w:p>
        </w:tc>
        <w:tc>
          <w:tcPr>
            <w:tcW w:w="641" w:type="dxa"/>
            <w:shd w:val="clear" w:color="auto" w:fill="auto"/>
            <w:vAlign w:val="center"/>
          </w:tcPr>
          <w:p>
            <w:pPr>
              <w:jc w:val="center"/>
              <w:rPr>
                <w:rFonts w:ascii="宋体" w:hAnsi="宋体"/>
                <w:color w:val="auto"/>
                <w:szCs w:val="21"/>
                <w:highlight w:val="none"/>
              </w:rPr>
            </w:pPr>
          </w:p>
        </w:tc>
        <w:tc>
          <w:tcPr>
            <w:tcW w:w="611" w:type="dxa"/>
            <w:shd w:val="clear" w:color="auto" w:fill="auto"/>
            <w:vAlign w:val="center"/>
          </w:tcPr>
          <w:p>
            <w:pPr>
              <w:jc w:val="center"/>
              <w:rPr>
                <w:rFonts w:ascii="宋体" w:hAnsi="宋体"/>
                <w:color w:val="auto"/>
                <w:szCs w:val="21"/>
                <w:highlight w:val="none"/>
              </w:rPr>
            </w:pPr>
          </w:p>
        </w:tc>
        <w:tc>
          <w:tcPr>
            <w:tcW w:w="744" w:type="dxa"/>
            <w:shd w:val="clear" w:color="auto" w:fill="EEECE1"/>
            <w:vAlign w:val="center"/>
          </w:tcPr>
          <w:p>
            <w:pPr>
              <w:jc w:val="center"/>
              <w:rPr>
                <w:rFonts w:ascii="宋体" w:hAnsi="宋体"/>
                <w:color w:val="auto"/>
                <w:szCs w:val="21"/>
                <w:highlight w:val="none"/>
              </w:rPr>
            </w:pPr>
          </w:p>
        </w:tc>
        <w:tc>
          <w:tcPr>
            <w:tcW w:w="745" w:type="dxa"/>
            <w:shd w:val="clear" w:color="auto" w:fill="EEECE1"/>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right"/>
        </w:trPr>
        <w:tc>
          <w:tcPr>
            <w:tcW w:w="1771" w:type="dxa"/>
            <w:vMerge w:val="continue"/>
            <w:shd w:val="clear" w:color="auto" w:fill="auto"/>
            <w:vAlign w:val="center"/>
          </w:tcPr>
          <w:p>
            <w:pPr>
              <w:ind w:left="113" w:right="113"/>
              <w:jc w:val="center"/>
              <w:rPr>
                <w:rFonts w:ascii="宋体" w:hAnsi="宋体"/>
                <w:b/>
                <w:color w:val="auto"/>
                <w:szCs w:val="21"/>
                <w:highlight w:val="none"/>
              </w:rPr>
            </w:pPr>
          </w:p>
        </w:tc>
        <w:tc>
          <w:tcPr>
            <w:tcW w:w="560" w:type="dxa"/>
            <w:shd w:val="clear" w:color="auto" w:fill="auto"/>
            <w:vAlign w:val="center"/>
          </w:tcPr>
          <w:p>
            <w:pPr>
              <w:numPr>
                <w:ilvl w:val="0"/>
                <w:numId w:val="15"/>
              </w:numPr>
              <w:jc w:val="center"/>
              <w:rPr>
                <w:rFonts w:ascii="宋体" w:hAnsi="宋体"/>
                <w:color w:val="auto"/>
                <w:szCs w:val="21"/>
                <w:highlight w:val="none"/>
              </w:rPr>
            </w:pPr>
          </w:p>
        </w:tc>
        <w:tc>
          <w:tcPr>
            <w:tcW w:w="4705" w:type="dxa"/>
            <w:shd w:val="clear" w:color="auto" w:fill="auto"/>
            <w:vAlign w:val="center"/>
          </w:tcPr>
          <w:p>
            <w:pPr>
              <w:pStyle w:val="32"/>
              <w:rPr>
                <w:rFonts w:hAnsi="宋体"/>
                <w:color w:val="auto"/>
                <w:highlight w:val="none"/>
              </w:rPr>
            </w:pPr>
            <w:r>
              <w:rPr>
                <w:rFonts w:hint="eastAsia" w:hAnsi="宋体"/>
                <w:color w:val="auto"/>
                <w:highlight w:val="none"/>
              </w:rPr>
              <w:t>技术（服务）评审部分文件</w:t>
            </w:r>
          </w:p>
        </w:tc>
        <w:tc>
          <w:tcPr>
            <w:tcW w:w="641" w:type="dxa"/>
            <w:shd w:val="clear" w:color="auto" w:fill="auto"/>
            <w:vAlign w:val="center"/>
          </w:tcPr>
          <w:p>
            <w:pPr>
              <w:jc w:val="center"/>
              <w:rPr>
                <w:rFonts w:ascii="宋体" w:hAnsi="宋体"/>
                <w:color w:val="auto"/>
                <w:szCs w:val="21"/>
                <w:highlight w:val="none"/>
              </w:rPr>
            </w:pPr>
          </w:p>
        </w:tc>
        <w:tc>
          <w:tcPr>
            <w:tcW w:w="611" w:type="dxa"/>
            <w:shd w:val="clear" w:color="auto" w:fill="auto"/>
            <w:vAlign w:val="center"/>
          </w:tcPr>
          <w:p>
            <w:pPr>
              <w:jc w:val="center"/>
              <w:rPr>
                <w:rFonts w:ascii="宋体" w:hAnsi="宋体"/>
                <w:color w:val="auto"/>
                <w:szCs w:val="21"/>
                <w:highlight w:val="none"/>
              </w:rPr>
            </w:pPr>
          </w:p>
        </w:tc>
        <w:tc>
          <w:tcPr>
            <w:tcW w:w="744" w:type="dxa"/>
            <w:shd w:val="clear" w:color="auto" w:fill="EEECE1"/>
            <w:vAlign w:val="center"/>
          </w:tcPr>
          <w:p>
            <w:pPr>
              <w:jc w:val="center"/>
              <w:rPr>
                <w:rFonts w:ascii="宋体" w:hAnsi="宋体"/>
                <w:color w:val="auto"/>
                <w:szCs w:val="21"/>
                <w:highlight w:val="none"/>
              </w:rPr>
            </w:pPr>
          </w:p>
        </w:tc>
        <w:tc>
          <w:tcPr>
            <w:tcW w:w="745" w:type="dxa"/>
            <w:shd w:val="clear" w:color="auto" w:fill="EEECE1"/>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right"/>
        </w:trPr>
        <w:tc>
          <w:tcPr>
            <w:tcW w:w="1771" w:type="dxa"/>
            <w:vMerge w:val="continue"/>
            <w:shd w:val="clear" w:color="auto" w:fill="auto"/>
            <w:vAlign w:val="center"/>
          </w:tcPr>
          <w:p>
            <w:pPr>
              <w:ind w:left="113" w:right="113"/>
              <w:jc w:val="center"/>
              <w:rPr>
                <w:rFonts w:ascii="宋体" w:hAnsi="宋体"/>
                <w:b/>
                <w:color w:val="auto"/>
                <w:szCs w:val="21"/>
                <w:highlight w:val="none"/>
              </w:rPr>
            </w:pPr>
          </w:p>
        </w:tc>
        <w:tc>
          <w:tcPr>
            <w:tcW w:w="560" w:type="dxa"/>
            <w:shd w:val="clear" w:color="auto" w:fill="auto"/>
            <w:vAlign w:val="center"/>
          </w:tcPr>
          <w:p>
            <w:pPr>
              <w:numPr>
                <w:ilvl w:val="0"/>
                <w:numId w:val="15"/>
              </w:numPr>
              <w:jc w:val="center"/>
              <w:rPr>
                <w:rFonts w:ascii="宋体" w:hAnsi="宋体"/>
                <w:color w:val="auto"/>
                <w:szCs w:val="21"/>
                <w:highlight w:val="none"/>
              </w:rPr>
            </w:pPr>
          </w:p>
        </w:tc>
        <w:tc>
          <w:tcPr>
            <w:tcW w:w="4705" w:type="dxa"/>
            <w:shd w:val="clear" w:color="auto" w:fill="auto"/>
            <w:vAlign w:val="center"/>
          </w:tcPr>
          <w:p>
            <w:pPr>
              <w:pStyle w:val="32"/>
              <w:rPr>
                <w:rFonts w:hAnsi="宋体"/>
                <w:color w:val="auto"/>
                <w:highlight w:val="none"/>
              </w:rPr>
            </w:pPr>
            <w:r>
              <w:rPr>
                <w:rFonts w:hint="eastAsia" w:hAnsi="宋体"/>
                <w:color w:val="auto"/>
                <w:kern w:val="0"/>
                <w:highlight w:val="none"/>
              </w:rPr>
              <w:t>投标人认为应当提交的其他技术文件</w:t>
            </w:r>
          </w:p>
        </w:tc>
        <w:tc>
          <w:tcPr>
            <w:tcW w:w="641" w:type="dxa"/>
            <w:shd w:val="clear" w:color="auto" w:fill="auto"/>
            <w:vAlign w:val="center"/>
          </w:tcPr>
          <w:p>
            <w:pPr>
              <w:jc w:val="center"/>
              <w:rPr>
                <w:rFonts w:ascii="宋体" w:hAnsi="宋体"/>
                <w:color w:val="auto"/>
                <w:szCs w:val="21"/>
                <w:highlight w:val="none"/>
              </w:rPr>
            </w:pPr>
          </w:p>
        </w:tc>
        <w:tc>
          <w:tcPr>
            <w:tcW w:w="611" w:type="dxa"/>
            <w:shd w:val="clear" w:color="auto" w:fill="auto"/>
            <w:vAlign w:val="center"/>
          </w:tcPr>
          <w:p>
            <w:pPr>
              <w:jc w:val="center"/>
              <w:rPr>
                <w:rFonts w:ascii="宋体" w:hAnsi="宋体"/>
                <w:color w:val="auto"/>
                <w:szCs w:val="21"/>
                <w:highlight w:val="none"/>
              </w:rPr>
            </w:pPr>
          </w:p>
        </w:tc>
        <w:tc>
          <w:tcPr>
            <w:tcW w:w="744" w:type="dxa"/>
            <w:shd w:val="clear" w:color="auto" w:fill="EEECE1"/>
            <w:vAlign w:val="center"/>
          </w:tcPr>
          <w:p>
            <w:pPr>
              <w:jc w:val="center"/>
              <w:rPr>
                <w:rFonts w:ascii="宋体" w:hAnsi="宋体"/>
                <w:color w:val="auto"/>
                <w:szCs w:val="21"/>
                <w:highlight w:val="none"/>
              </w:rPr>
            </w:pPr>
          </w:p>
        </w:tc>
        <w:tc>
          <w:tcPr>
            <w:tcW w:w="745" w:type="dxa"/>
            <w:shd w:val="clear" w:color="auto" w:fill="EEECE1"/>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right"/>
        </w:trPr>
        <w:tc>
          <w:tcPr>
            <w:tcW w:w="1771" w:type="dxa"/>
            <w:vMerge w:val="restart"/>
            <w:shd w:val="clear" w:color="auto" w:fill="auto"/>
            <w:vAlign w:val="center"/>
          </w:tcPr>
          <w:p>
            <w:pPr>
              <w:jc w:val="center"/>
              <w:rPr>
                <w:rFonts w:ascii="宋体" w:hAnsi="宋体"/>
                <w:color w:val="auto"/>
                <w:szCs w:val="21"/>
                <w:highlight w:val="none"/>
              </w:rPr>
            </w:pPr>
            <w:r>
              <w:rPr>
                <w:rFonts w:hint="eastAsia" w:ascii="宋体" w:hAnsi="宋体"/>
                <w:b/>
                <w:color w:val="auto"/>
                <w:szCs w:val="21"/>
                <w:highlight w:val="none"/>
              </w:rPr>
              <w:t>投标人应提交的价格文件（</w:t>
            </w:r>
            <w:r>
              <w:rPr>
                <w:rFonts w:hint="eastAsia" w:ascii="宋体" w:hAnsi="宋体"/>
                <w:b/>
                <w:bCs/>
                <w:color w:val="auto"/>
                <w:szCs w:val="21"/>
                <w:highlight w:val="none"/>
              </w:rPr>
              <w:t>加盖投标人公章</w:t>
            </w:r>
            <w:r>
              <w:rPr>
                <w:rFonts w:hint="eastAsia" w:ascii="宋体" w:hAnsi="宋体"/>
                <w:b/>
                <w:color w:val="auto"/>
                <w:szCs w:val="21"/>
                <w:highlight w:val="none"/>
              </w:rPr>
              <w:t>）</w:t>
            </w:r>
          </w:p>
        </w:tc>
        <w:tc>
          <w:tcPr>
            <w:tcW w:w="560" w:type="dxa"/>
            <w:shd w:val="clear" w:color="auto" w:fill="auto"/>
            <w:vAlign w:val="center"/>
          </w:tcPr>
          <w:p>
            <w:pPr>
              <w:numPr>
                <w:ilvl w:val="0"/>
                <w:numId w:val="19"/>
              </w:numPr>
              <w:jc w:val="center"/>
              <w:rPr>
                <w:rFonts w:ascii="宋体" w:hAnsi="宋体"/>
                <w:color w:val="auto"/>
                <w:szCs w:val="21"/>
                <w:highlight w:val="none"/>
              </w:rPr>
            </w:pPr>
          </w:p>
        </w:tc>
        <w:tc>
          <w:tcPr>
            <w:tcW w:w="4705" w:type="dxa"/>
            <w:shd w:val="clear" w:color="auto" w:fill="auto"/>
            <w:vAlign w:val="center"/>
          </w:tcPr>
          <w:p>
            <w:pPr>
              <w:jc w:val="left"/>
              <w:textAlignment w:val="baseline"/>
              <w:rPr>
                <w:rFonts w:ascii="宋体" w:hAnsi="宋体"/>
                <w:color w:val="auto"/>
                <w:szCs w:val="21"/>
                <w:highlight w:val="none"/>
              </w:rPr>
            </w:pPr>
            <w:r>
              <w:rPr>
                <w:rFonts w:hint="eastAsia" w:ascii="宋体" w:hAnsi="宋体"/>
                <w:color w:val="auto"/>
                <w:szCs w:val="21"/>
                <w:highlight w:val="none"/>
              </w:rPr>
              <w:t>开标一览表</w:t>
            </w:r>
          </w:p>
        </w:tc>
        <w:tc>
          <w:tcPr>
            <w:tcW w:w="641" w:type="dxa"/>
            <w:shd w:val="clear" w:color="auto" w:fill="auto"/>
            <w:vAlign w:val="center"/>
          </w:tcPr>
          <w:p>
            <w:pPr>
              <w:jc w:val="center"/>
              <w:rPr>
                <w:rFonts w:ascii="宋体" w:hAnsi="宋体"/>
                <w:color w:val="auto"/>
                <w:szCs w:val="21"/>
                <w:highlight w:val="none"/>
              </w:rPr>
            </w:pPr>
          </w:p>
        </w:tc>
        <w:tc>
          <w:tcPr>
            <w:tcW w:w="611" w:type="dxa"/>
            <w:shd w:val="clear" w:color="auto" w:fill="auto"/>
            <w:vAlign w:val="center"/>
          </w:tcPr>
          <w:p>
            <w:pPr>
              <w:jc w:val="center"/>
              <w:rPr>
                <w:rFonts w:ascii="宋体" w:hAnsi="宋体"/>
                <w:color w:val="auto"/>
                <w:szCs w:val="21"/>
                <w:highlight w:val="none"/>
              </w:rPr>
            </w:pPr>
          </w:p>
        </w:tc>
        <w:tc>
          <w:tcPr>
            <w:tcW w:w="744" w:type="dxa"/>
            <w:shd w:val="clear" w:color="auto" w:fill="EEECE1"/>
            <w:vAlign w:val="center"/>
          </w:tcPr>
          <w:p>
            <w:pPr>
              <w:jc w:val="center"/>
              <w:rPr>
                <w:rFonts w:ascii="宋体" w:hAnsi="宋体"/>
                <w:color w:val="auto"/>
                <w:szCs w:val="21"/>
                <w:highlight w:val="none"/>
              </w:rPr>
            </w:pPr>
          </w:p>
        </w:tc>
        <w:tc>
          <w:tcPr>
            <w:tcW w:w="745" w:type="dxa"/>
            <w:shd w:val="clear" w:color="auto" w:fill="EEECE1"/>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right"/>
        </w:trPr>
        <w:tc>
          <w:tcPr>
            <w:tcW w:w="1771" w:type="dxa"/>
            <w:vMerge w:val="continue"/>
            <w:shd w:val="clear" w:color="auto" w:fill="auto"/>
            <w:vAlign w:val="center"/>
          </w:tcPr>
          <w:p>
            <w:pPr>
              <w:jc w:val="center"/>
              <w:rPr>
                <w:rFonts w:ascii="宋体" w:hAnsi="宋体"/>
                <w:color w:val="auto"/>
                <w:szCs w:val="21"/>
                <w:highlight w:val="none"/>
              </w:rPr>
            </w:pPr>
          </w:p>
        </w:tc>
        <w:tc>
          <w:tcPr>
            <w:tcW w:w="560" w:type="dxa"/>
            <w:shd w:val="clear" w:color="auto" w:fill="auto"/>
            <w:vAlign w:val="center"/>
          </w:tcPr>
          <w:p>
            <w:pPr>
              <w:numPr>
                <w:ilvl w:val="0"/>
                <w:numId w:val="19"/>
              </w:numPr>
              <w:jc w:val="center"/>
              <w:rPr>
                <w:rFonts w:ascii="宋体" w:hAnsi="宋体"/>
                <w:color w:val="auto"/>
                <w:szCs w:val="21"/>
                <w:highlight w:val="none"/>
              </w:rPr>
            </w:pPr>
          </w:p>
        </w:tc>
        <w:tc>
          <w:tcPr>
            <w:tcW w:w="4705" w:type="dxa"/>
            <w:shd w:val="clear" w:color="auto" w:fill="auto"/>
            <w:vAlign w:val="center"/>
          </w:tcPr>
          <w:p>
            <w:pPr>
              <w:pStyle w:val="32"/>
              <w:rPr>
                <w:rFonts w:hAnsi="宋体"/>
                <w:color w:val="auto"/>
                <w:kern w:val="0"/>
                <w:highlight w:val="none"/>
              </w:rPr>
            </w:pPr>
            <w:r>
              <w:rPr>
                <w:rFonts w:hint="eastAsia" w:hAnsi="宋体"/>
                <w:color w:val="auto"/>
                <w:kern w:val="0"/>
                <w:highlight w:val="none"/>
              </w:rPr>
              <w:t>明细报价表</w:t>
            </w:r>
          </w:p>
        </w:tc>
        <w:tc>
          <w:tcPr>
            <w:tcW w:w="641" w:type="dxa"/>
            <w:shd w:val="clear" w:color="auto" w:fill="auto"/>
            <w:vAlign w:val="center"/>
          </w:tcPr>
          <w:p>
            <w:pPr>
              <w:jc w:val="center"/>
              <w:rPr>
                <w:rFonts w:ascii="宋体" w:hAnsi="宋体"/>
                <w:color w:val="auto"/>
                <w:szCs w:val="21"/>
                <w:highlight w:val="none"/>
              </w:rPr>
            </w:pPr>
          </w:p>
        </w:tc>
        <w:tc>
          <w:tcPr>
            <w:tcW w:w="611" w:type="dxa"/>
            <w:shd w:val="clear" w:color="auto" w:fill="auto"/>
            <w:vAlign w:val="center"/>
          </w:tcPr>
          <w:p>
            <w:pPr>
              <w:jc w:val="center"/>
              <w:rPr>
                <w:rFonts w:ascii="宋体" w:hAnsi="宋体"/>
                <w:color w:val="auto"/>
                <w:szCs w:val="21"/>
                <w:highlight w:val="none"/>
              </w:rPr>
            </w:pPr>
          </w:p>
        </w:tc>
        <w:tc>
          <w:tcPr>
            <w:tcW w:w="744" w:type="dxa"/>
            <w:shd w:val="clear" w:color="auto" w:fill="EEECE1"/>
            <w:vAlign w:val="center"/>
          </w:tcPr>
          <w:p>
            <w:pPr>
              <w:jc w:val="center"/>
              <w:rPr>
                <w:rFonts w:ascii="宋体" w:hAnsi="宋体"/>
                <w:color w:val="auto"/>
                <w:szCs w:val="21"/>
                <w:highlight w:val="none"/>
              </w:rPr>
            </w:pPr>
          </w:p>
        </w:tc>
        <w:tc>
          <w:tcPr>
            <w:tcW w:w="745" w:type="dxa"/>
            <w:shd w:val="clear" w:color="auto" w:fill="EEECE1"/>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right"/>
        </w:trPr>
        <w:tc>
          <w:tcPr>
            <w:tcW w:w="1771" w:type="dxa"/>
            <w:vMerge w:val="continue"/>
            <w:shd w:val="clear" w:color="auto" w:fill="auto"/>
            <w:vAlign w:val="center"/>
          </w:tcPr>
          <w:p>
            <w:pPr>
              <w:jc w:val="center"/>
              <w:rPr>
                <w:rFonts w:ascii="宋体" w:hAnsi="宋体"/>
                <w:color w:val="auto"/>
                <w:szCs w:val="21"/>
                <w:highlight w:val="none"/>
              </w:rPr>
            </w:pPr>
          </w:p>
        </w:tc>
        <w:tc>
          <w:tcPr>
            <w:tcW w:w="560" w:type="dxa"/>
            <w:shd w:val="clear" w:color="auto" w:fill="auto"/>
            <w:vAlign w:val="center"/>
          </w:tcPr>
          <w:p>
            <w:pPr>
              <w:numPr>
                <w:ilvl w:val="0"/>
                <w:numId w:val="19"/>
              </w:numPr>
              <w:jc w:val="center"/>
              <w:rPr>
                <w:rFonts w:ascii="宋体" w:hAnsi="宋体"/>
                <w:color w:val="auto"/>
                <w:szCs w:val="21"/>
                <w:highlight w:val="none"/>
              </w:rPr>
            </w:pPr>
          </w:p>
        </w:tc>
        <w:tc>
          <w:tcPr>
            <w:tcW w:w="4705" w:type="dxa"/>
            <w:shd w:val="clear" w:color="auto" w:fill="auto"/>
            <w:vAlign w:val="center"/>
          </w:tcPr>
          <w:p>
            <w:pPr>
              <w:pStyle w:val="32"/>
              <w:rPr>
                <w:rFonts w:hAnsi="宋体"/>
                <w:color w:val="auto"/>
                <w:kern w:val="0"/>
                <w:highlight w:val="none"/>
              </w:rPr>
            </w:pPr>
            <w:r>
              <w:rPr>
                <w:rFonts w:hint="eastAsia" w:hAnsi="宋体"/>
                <w:color w:val="auto"/>
                <w:kern w:val="0"/>
                <w:highlight w:val="none"/>
              </w:rPr>
              <w:t>中小企业声明函（如适用）</w:t>
            </w:r>
          </w:p>
        </w:tc>
        <w:tc>
          <w:tcPr>
            <w:tcW w:w="641" w:type="dxa"/>
            <w:shd w:val="clear" w:color="auto" w:fill="auto"/>
            <w:vAlign w:val="center"/>
          </w:tcPr>
          <w:p>
            <w:pPr>
              <w:jc w:val="center"/>
              <w:rPr>
                <w:rFonts w:ascii="宋体" w:hAnsi="宋体"/>
                <w:color w:val="auto"/>
                <w:szCs w:val="21"/>
                <w:highlight w:val="none"/>
              </w:rPr>
            </w:pPr>
          </w:p>
        </w:tc>
        <w:tc>
          <w:tcPr>
            <w:tcW w:w="611" w:type="dxa"/>
            <w:shd w:val="clear" w:color="auto" w:fill="auto"/>
            <w:vAlign w:val="center"/>
          </w:tcPr>
          <w:p>
            <w:pPr>
              <w:jc w:val="center"/>
              <w:rPr>
                <w:rFonts w:ascii="宋体" w:hAnsi="宋体"/>
                <w:color w:val="auto"/>
                <w:szCs w:val="21"/>
                <w:highlight w:val="none"/>
              </w:rPr>
            </w:pPr>
          </w:p>
        </w:tc>
        <w:tc>
          <w:tcPr>
            <w:tcW w:w="744" w:type="dxa"/>
            <w:shd w:val="clear" w:color="auto" w:fill="EEECE1"/>
            <w:vAlign w:val="center"/>
          </w:tcPr>
          <w:p>
            <w:pPr>
              <w:jc w:val="center"/>
              <w:rPr>
                <w:rFonts w:ascii="宋体" w:hAnsi="宋体"/>
                <w:color w:val="auto"/>
                <w:szCs w:val="21"/>
                <w:highlight w:val="none"/>
              </w:rPr>
            </w:pPr>
          </w:p>
        </w:tc>
        <w:tc>
          <w:tcPr>
            <w:tcW w:w="745" w:type="dxa"/>
            <w:shd w:val="clear" w:color="auto" w:fill="EEECE1"/>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right"/>
        </w:trPr>
        <w:tc>
          <w:tcPr>
            <w:tcW w:w="1771" w:type="dxa"/>
            <w:vMerge w:val="continue"/>
            <w:shd w:val="clear" w:color="auto" w:fill="auto"/>
            <w:vAlign w:val="center"/>
          </w:tcPr>
          <w:p>
            <w:pPr>
              <w:jc w:val="center"/>
              <w:rPr>
                <w:rFonts w:ascii="宋体" w:hAnsi="宋体"/>
                <w:color w:val="auto"/>
                <w:szCs w:val="21"/>
                <w:highlight w:val="none"/>
              </w:rPr>
            </w:pPr>
          </w:p>
        </w:tc>
        <w:tc>
          <w:tcPr>
            <w:tcW w:w="560" w:type="dxa"/>
            <w:shd w:val="clear" w:color="auto" w:fill="auto"/>
            <w:vAlign w:val="center"/>
          </w:tcPr>
          <w:p>
            <w:pPr>
              <w:numPr>
                <w:ilvl w:val="0"/>
                <w:numId w:val="19"/>
              </w:numPr>
              <w:jc w:val="center"/>
              <w:rPr>
                <w:rFonts w:ascii="宋体" w:hAnsi="宋体"/>
                <w:color w:val="auto"/>
                <w:szCs w:val="21"/>
                <w:highlight w:val="none"/>
              </w:rPr>
            </w:pPr>
          </w:p>
        </w:tc>
        <w:tc>
          <w:tcPr>
            <w:tcW w:w="4705" w:type="dxa"/>
            <w:shd w:val="clear" w:color="auto" w:fill="auto"/>
            <w:vAlign w:val="center"/>
          </w:tcPr>
          <w:p>
            <w:pPr>
              <w:pStyle w:val="32"/>
              <w:rPr>
                <w:rFonts w:hAnsi="宋体"/>
                <w:color w:val="auto"/>
                <w:kern w:val="0"/>
                <w:highlight w:val="none"/>
              </w:rPr>
            </w:pPr>
            <w:r>
              <w:rPr>
                <w:rFonts w:hint="eastAsia" w:hAnsi="宋体"/>
                <w:color w:val="auto"/>
                <w:kern w:val="0"/>
                <w:highlight w:val="none"/>
              </w:rPr>
              <w:t>监狱企业的证明文件（如适用）</w:t>
            </w:r>
          </w:p>
        </w:tc>
        <w:tc>
          <w:tcPr>
            <w:tcW w:w="641" w:type="dxa"/>
            <w:shd w:val="clear" w:color="auto" w:fill="auto"/>
            <w:vAlign w:val="center"/>
          </w:tcPr>
          <w:p>
            <w:pPr>
              <w:jc w:val="center"/>
              <w:rPr>
                <w:rFonts w:ascii="宋体" w:hAnsi="宋体"/>
                <w:color w:val="auto"/>
                <w:szCs w:val="21"/>
                <w:highlight w:val="none"/>
              </w:rPr>
            </w:pPr>
          </w:p>
        </w:tc>
        <w:tc>
          <w:tcPr>
            <w:tcW w:w="611" w:type="dxa"/>
            <w:shd w:val="clear" w:color="auto" w:fill="auto"/>
            <w:vAlign w:val="center"/>
          </w:tcPr>
          <w:p>
            <w:pPr>
              <w:jc w:val="center"/>
              <w:rPr>
                <w:rFonts w:ascii="宋体" w:hAnsi="宋体"/>
                <w:color w:val="auto"/>
                <w:szCs w:val="21"/>
                <w:highlight w:val="none"/>
              </w:rPr>
            </w:pPr>
          </w:p>
        </w:tc>
        <w:tc>
          <w:tcPr>
            <w:tcW w:w="744" w:type="dxa"/>
            <w:shd w:val="clear" w:color="auto" w:fill="EEECE1"/>
            <w:vAlign w:val="center"/>
          </w:tcPr>
          <w:p>
            <w:pPr>
              <w:jc w:val="center"/>
              <w:rPr>
                <w:rFonts w:ascii="宋体" w:hAnsi="宋体"/>
                <w:color w:val="auto"/>
                <w:szCs w:val="21"/>
                <w:highlight w:val="none"/>
              </w:rPr>
            </w:pPr>
          </w:p>
        </w:tc>
        <w:tc>
          <w:tcPr>
            <w:tcW w:w="745" w:type="dxa"/>
            <w:shd w:val="clear" w:color="auto" w:fill="EEECE1"/>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right"/>
        </w:trPr>
        <w:tc>
          <w:tcPr>
            <w:tcW w:w="1771" w:type="dxa"/>
            <w:vMerge w:val="continue"/>
            <w:shd w:val="clear" w:color="auto" w:fill="auto"/>
            <w:vAlign w:val="center"/>
          </w:tcPr>
          <w:p>
            <w:pPr>
              <w:jc w:val="center"/>
              <w:rPr>
                <w:rFonts w:ascii="宋体" w:hAnsi="宋体"/>
                <w:color w:val="auto"/>
                <w:szCs w:val="21"/>
                <w:highlight w:val="none"/>
              </w:rPr>
            </w:pPr>
          </w:p>
        </w:tc>
        <w:tc>
          <w:tcPr>
            <w:tcW w:w="560" w:type="dxa"/>
            <w:shd w:val="clear" w:color="auto" w:fill="auto"/>
            <w:vAlign w:val="center"/>
          </w:tcPr>
          <w:p>
            <w:pPr>
              <w:numPr>
                <w:ilvl w:val="0"/>
                <w:numId w:val="19"/>
              </w:numPr>
              <w:jc w:val="center"/>
              <w:rPr>
                <w:rFonts w:ascii="宋体" w:hAnsi="宋体"/>
                <w:color w:val="auto"/>
                <w:szCs w:val="21"/>
                <w:highlight w:val="none"/>
              </w:rPr>
            </w:pPr>
          </w:p>
        </w:tc>
        <w:tc>
          <w:tcPr>
            <w:tcW w:w="4705" w:type="dxa"/>
            <w:shd w:val="clear" w:color="auto" w:fill="auto"/>
            <w:vAlign w:val="center"/>
          </w:tcPr>
          <w:p>
            <w:pPr>
              <w:pStyle w:val="32"/>
              <w:rPr>
                <w:rFonts w:hAnsi="宋体"/>
                <w:color w:val="auto"/>
                <w:kern w:val="0"/>
                <w:highlight w:val="none"/>
              </w:rPr>
            </w:pPr>
            <w:r>
              <w:rPr>
                <w:rFonts w:hint="eastAsia" w:hAnsi="宋体"/>
                <w:color w:val="auto"/>
                <w:kern w:val="0"/>
                <w:highlight w:val="none"/>
              </w:rPr>
              <w:t>残疾人福利性单位声明函（如适用）</w:t>
            </w:r>
          </w:p>
        </w:tc>
        <w:tc>
          <w:tcPr>
            <w:tcW w:w="641" w:type="dxa"/>
            <w:shd w:val="clear" w:color="auto" w:fill="auto"/>
            <w:vAlign w:val="center"/>
          </w:tcPr>
          <w:p>
            <w:pPr>
              <w:jc w:val="center"/>
              <w:rPr>
                <w:rFonts w:ascii="宋体" w:hAnsi="宋体"/>
                <w:color w:val="auto"/>
                <w:szCs w:val="21"/>
                <w:highlight w:val="none"/>
              </w:rPr>
            </w:pPr>
          </w:p>
        </w:tc>
        <w:tc>
          <w:tcPr>
            <w:tcW w:w="611" w:type="dxa"/>
            <w:shd w:val="clear" w:color="auto" w:fill="auto"/>
            <w:vAlign w:val="center"/>
          </w:tcPr>
          <w:p>
            <w:pPr>
              <w:jc w:val="center"/>
              <w:rPr>
                <w:rFonts w:ascii="宋体" w:hAnsi="宋体"/>
                <w:color w:val="auto"/>
                <w:szCs w:val="21"/>
                <w:highlight w:val="none"/>
              </w:rPr>
            </w:pPr>
          </w:p>
        </w:tc>
        <w:tc>
          <w:tcPr>
            <w:tcW w:w="744" w:type="dxa"/>
            <w:shd w:val="clear" w:color="auto" w:fill="EEECE1"/>
            <w:vAlign w:val="center"/>
          </w:tcPr>
          <w:p>
            <w:pPr>
              <w:jc w:val="center"/>
              <w:rPr>
                <w:rFonts w:ascii="宋体" w:hAnsi="宋体"/>
                <w:color w:val="auto"/>
                <w:szCs w:val="21"/>
                <w:highlight w:val="none"/>
              </w:rPr>
            </w:pPr>
          </w:p>
        </w:tc>
        <w:tc>
          <w:tcPr>
            <w:tcW w:w="745" w:type="dxa"/>
            <w:shd w:val="clear" w:color="auto" w:fill="EEECE1"/>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right"/>
        </w:trPr>
        <w:tc>
          <w:tcPr>
            <w:tcW w:w="1771" w:type="dxa"/>
            <w:vMerge w:val="continue"/>
            <w:shd w:val="clear" w:color="auto" w:fill="auto"/>
            <w:vAlign w:val="center"/>
          </w:tcPr>
          <w:p>
            <w:pPr>
              <w:jc w:val="center"/>
              <w:rPr>
                <w:rFonts w:ascii="宋体" w:hAnsi="宋体"/>
                <w:color w:val="auto"/>
                <w:szCs w:val="21"/>
                <w:highlight w:val="none"/>
              </w:rPr>
            </w:pPr>
          </w:p>
        </w:tc>
        <w:tc>
          <w:tcPr>
            <w:tcW w:w="560" w:type="dxa"/>
            <w:shd w:val="clear" w:color="auto" w:fill="auto"/>
            <w:vAlign w:val="center"/>
          </w:tcPr>
          <w:p>
            <w:pPr>
              <w:numPr>
                <w:ilvl w:val="0"/>
                <w:numId w:val="19"/>
              </w:numPr>
              <w:jc w:val="center"/>
              <w:rPr>
                <w:rFonts w:ascii="宋体" w:hAnsi="宋体"/>
                <w:color w:val="auto"/>
                <w:szCs w:val="21"/>
                <w:highlight w:val="none"/>
              </w:rPr>
            </w:pPr>
          </w:p>
        </w:tc>
        <w:tc>
          <w:tcPr>
            <w:tcW w:w="4705" w:type="dxa"/>
            <w:shd w:val="clear" w:color="auto" w:fill="auto"/>
            <w:vAlign w:val="center"/>
          </w:tcPr>
          <w:p>
            <w:pPr>
              <w:pStyle w:val="32"/>
              <w:rPr>
                <w:rFonts w:hAnsi="宋体"/>
                <w:color w:val="auto"/>
                <w:kern w:val="0"/>
                <w:highlight w:val="none"/>
              </w:rPr>
            </w:pPr>
            <w:r>
              <w:rPr>
                <w:rFonts w:hint="eastAsia" w:hAnsi="宋体"/>
                <w:color w:val="auto"/>
                <w:kern w:val="0"/>
                <w:highlight w:val="none"/>
              </w:rPr>
              <w:t>联合体共同投标协议书（如适用）</w:t>
            </w:r>
          </w:p>
        </w:tc>
        <w:tc>
          <w:tcPr>
            <w:tcW w:w="641" w:type="dxa"/>
            <w:shd w:val="clear" w:color="auto" w:fill="auto"/>
            <w:vAlign w:val="center"/>
          </w:tcPr>
          <w:p>
            <w:pPr>
              <w:jc w:val="center"/>
              <w:rPr>
                <w:rFonts w:ascii="宋体" w:hAnsi="宋体"/>
                <w:color w:val="auto"/>
                <w:szCs w:val="21"/>
                <w:highlight w:val="none"/>
              </w:rPr>
            </w:pPr>
          </w:p>
        </w:tc>
        <w:tc>
          <w:tcPr>
            <w:tcW w:w="611" w:type="dxa"/>
            <w:shd w:val="clear" w:color="auto" w:fill="auto"/>
            <w:vAlign w:val="center"/>
          </w:tcPr>
          <w:p>
            <w:pPr>
              <w:jc w:val="center"/>
              <w:rPr>
                <w:rFonts w:ascii="宋体" w:hAnsi="宋体"/>
                <w:color w:val="auto"/>
                <w:szCs w:val="21"/>
                <w:highlight w:val="none"/>
              </w:rPr>
            </w:pPr>
          </w:p>
        </w:tc>
        <w:tc>
          <w:tcPr>
            <w:tcW w:w="744" w:type="dxa"/>
            <w:shd w:val="clear" w:color="auto" w:fill="EEECE1"/>
            <w:vAlign w:val="center"/>
          </w:tcPr>
          <w:p>
            <w:pPr>
              <w:jc w:val="center"/>
              <w:rPr>
                <w:rFonts w:ascii="宋体" w:hAnsi="宋体"/>
                <w:color w:val="auto"/>
                <w:szCs w:val="21"/>
                <w:highlight w:val="none"/>
              </w:rPr>
            </w:pPr>
          </w:p>
        </w:tc>
        <w:tc>
          <w:tcPr>
            <w:tcW w:w="745" w:type="dxa"/>
            <w:shd w:val="clear" w:color="auto" w:fill="EEECE1"/>
            <w:vAlign w:val="center"/>
          </w:tcPr>
          <w:p>
            <w:pPr>
              <w:jc w:val="center"/>
              <w:rPr>
                <w:rFonts w:ascii="宋体" w:hAnsi="宋体"/>
                <w:color w:val="auto"/>
                <w:szCs w:val="21"/>
                <w:highlight w:val="none"/>
              </w:rPr>
            </w:pPr>
          </w:p>
        </w:tc>
      </w:tr>
    </w:tbl>
    <w:p>
      <w:pPr>
        <w:tabs>
          <w:tab w:val="right" w:pos="9000"/>
        </w:tabs>
        <w:suppressAutoHyphens/>
        <w:rPr>
          <w:rFonts w:ascii="宋体" w:hAnsi="宋体" w:cs="Arial"/>
          <w:bCs/>
          <w:iCs/>
          <w:color w:val="auto"/>
          <w:sz w:val="16"/>
          <w:highlight w:val="none"/>
          <w:shd w:val="solid" w:color="auto" w:fill="auto"/>
        </w:rPr>
      </w:pPr>
    </w:p>
    <w:p>
      <w:pPr>
        <w:tabs>
          <w:tab w:val="right" w:pos="9000"/>
        </w:tabs>
        <w:suppressAutoHyphens/>
        <w:rPr>
          <w:rFonts w:ascii="宋体" w:hAnsi="宋体" w:cs="Arial"/>
          <w:bCs/>
          <w:iCs/>
          <w:color w:val="auto"/>
          <w:sz w:val="16"/>
          <w:highlight w:val="none"/>
          <w:shd w:val="solid" w:color="auto" w:fill="auto"/>
        </w:rPr>
      </w:pPr>
    </w:p>
    <w:p>
      <w:pPr>
        <w:rPr>
          <w:rFonts w:ascii="宋体" w:hAnsi="宋体"/>
          <w:b/>
          <w:bCs/>
          <w:color w:val="auto"/>
          <w:sz w:val="16"/>
          <w:szCs w:val="16"/>
          <w:highlight w:val="none"/>
        </w:rPr>
      </w:pPr>
      <w:r>
        <w:rPr>
          <w:rFonts w:ascii="宋体" w:hAnsi="宋体"/>
          <w:b/>
          <w:bCs/>
          <w:color w:val="auto"/>
          <w:sz w:val="16"/>
          <w:szCs w:val="16"/>
          <w:highlight w:val="none"/>
        </w:rPr>
        <w:t>--</w:t>
      </w:r>
      <w:r>
        <w:rPr>
          <w:rFonts w:hint="eastAsia" w:ascii="宋体" w:hAnsi="宋体"/>
          <w:b/>
          <w:bCs/>
          <w:color w:val="auto"/>
          <w:sz w:val="16"/>
          <w:szCs w:val="16"/>
          <w:highlight w:val="none"/>
        </w:rPr>
        <w:t>备注</w:t>
      </w:r>
      <w:r>
        <w:rPr>
          <w:rFonts w:ascii="宋体" w:hAnsi="宋体"/>
          <w:b/>
          <w:bCs/>
          <w:color w:val="auto"/>
          <w:sz w:val="16"/>
          <w:szCs w:val="16"/>
          <w:highlight w:val="none"/>
        </w:rPr>
        <w:t>--</w:t>
      </w:r>
    </w:p>
    <w:p>
      <w:pPr>
        <w:pBdr>
          <w:top w:val="single" w:color="auto" w:sz="4" w:space="1"/>
          <w:left w:val="single" w:color="auto" w:sz="4" w:space="4"/>
          <w:bottom w:val="single" w:color="auto" w:sz="4" w:space="1"/>
          <w:right w:val="single" w:color="auto" w:sz="4" w:space="4"/>
        </w:pBdr>
        <w:tabs>
          <w:tab w:val="left" w:pos="6120"/>
        </w:tabs>
        <w:rPr>
          <w:rFonts w:ascii="宋体" w:hAnsi="宋体" w:cs="Arial"/>
          <w:i/>
          <w:color w:val="auto"/>
          <w:sz w:val="16"/>
          <w:szCs w:val="16"/>
          <w:highlight w:val="none"/>
        </w:rPr>
      </w:pPr>
      <w:r>
        <w:rPr>
          <w:rFonts w:hint="eastAsia" w:ascii="宋体" w:hAnsi="宋体" w:cs="Arial"/>
          <w:i/>
          <w:color w:val="auto"/>
          <w:sz w:val="16"/>
          <w:szCs w:val="16"/>
          <w:highlight w:val="none"/>
        </w:rPr>
        <w:t>1.所有斜体字仅用于指导投标人编制投标文件，投标人应在最终提交的投标文件中将其删除；</w:t>
      </w:r>
    </w:p>
    <w:p>
      <w:pPr>
        <w:pBdr>
          <w:top w:val="single" w:color="auto" w:sz="4" w:space="1"/>
          <w:left w:val="single" w:color="auto" w:sz="4" w:space="4"/>
          <w:bottom w:val="single" w:color="auto" w:sz="4" w:space="1"/>
          <w:right w:val="single" w:color="auto" w:sz="4" w:space="4"/>
        </w:pBdr>
        <w:tabs>
          <w:tab w:val="left" w:pos="6120"/>
        </w:tabs>
        <w:rPr>
          <w:rFonts w:ascii="宋体" w:hAnsi="宋体" w:cs="Arial"/>
          <w:i/>
          <w:color w:val="auto"/>
          <w:sz w:val="16"/>
          <w:szCs w:val="16"/>
          <w:highlight w:val="none"/>
        </w:rPr>
      </w:pPr>
      <w:r>
        <w:rPr>
          <w:rFonts w:hint="eastAsia" w:ascii="宋体" w:hAnsi="宋体" w:cs="Arial"/>
          <w:i/>
          <w:color w:val="auto"/>
          <w:sz w:val="16"/>
          <w:szCs w:val="16"/>
          <w:highlight w:val="none"/>
        </w:rPr>
        <w:t>2.投标人应根据投标文件中实际提交的内容在“提交情况（有/无）”列打“</w:t>
      </w:r>
      <w:r>
        <w:rPr>
          <w:rFonts w:ascii="宋体" w:hAnsi="宋体" w:cs="Arial"/>
          <w:i/>
          <w:color w:val="auto"/>
          <w:sz w:val="16"/>
          <w:szCs w:val="16"/>
          <w:highlight w:val="none"/>
        </w:rPr>
        <w:t>√</w:t>
      </w:r>
      <w:r>
        <w:rPr>
          <w:rFonts w:hint="eastAsia" w:ascii="宋体" w:hAnsi="宋体" w:cs="Arial"/>
          <w:i/>
          <w:color w:val="auto"/>
          <w:sz w:val="16"/>
          <w:szCs w:val="16"/>
          <w:highlight w:val="none"/>
        </w:rPr>
        <w:t>”或“</w:t>
      </w:r>
      <w:r>
        <w:rPr>
          <w:rFonts w:ascii="宋体" w:hAnsi="宋体" w:cs="Arial"/>
          <w:i/>
          <w:color w:val="auto"/>
          <w:sz w:val="16"/>
          <w:szCs w:val="16"/>
          <w:highlight w:val="none"/>
        </w:rPr>
        <w:t>×</w:t>
      </w:r>
      <w:r>
        <w:rPr>
          <w:rFonts w:hint="eastAsia" w:ascii="宋体" w:hAnsi="宋体" w:cs="Arial"/>
          <w:i/>
          <w:color w:val="auto"/>
          <w:sz w:val="16"/>
          <w:szCs w:val="16"/>
          <w:highlight w:val="none"/>
        </w:rPr>
        <w:t>”，打“</w:t>
      </w:r>
      <w:r>
        <w:rPr>
          <w:rFonts w:ascii="宋体" w:hAnsi="宋体" w:cs="Arial"/>
          <w:i/>
          <w:color w:val="auto"/>
          <w:sz w:val="16"/>
          <w:szCs w:val="16"/>
          <w:highlight w:val="none"/>
        </w:rPr>
        <w:t>√</w:t>
      </w:r>
      <w:r>
        <w:rPr>
          <w:rFonts w:hint="eastAsia" w:ascii="宋体" w:hAnsi="宋体" w:cs="Arial"/>
          <w:i/>
          <w:color w:val="auto"/>
          <w:sz w:val="16"/>
          <w:szCs w:val="16"/>
          <w:highlight w:val="none"/>
        </w:rPr>
        <w:t>”则在“页码范围”列填入内容在投标文件的页码范围，打“</w:t>
      </w:r>
      <w:r>
        <w:rPr>
          <w:rFonts w:ascii="宋体" w:hAnsi="宋体" w:cs="Arial"/>
          <w:i/>
          <w:color w:val="auto"/>
          <w:sz w:val="16"/>
          <w:szCs w:val="16"/>
          <w:highlight w:val="none"/>
        </w:rPr>
        <w:t>×</w:t>
      </w:r>
      <w:r>
        <w:rPr>
          <w:rFonts w:hint="eastAsia" w:ascii="宋体" w:hAnsi="宋体" w:cs="Arial"/>
          <w:i/>
          <w:color w:val="auto"/>
          <w:sz w:val="16"/>
          <w:szCs w:val="16"/>
          <w:highlight w:val="none"/>
        </w:rPr>
        <w:t>”则在“页码范围”列填入“\”。</w:t>
      </w:r>
    </w:p>
    <w:p>
      <w:pPr>
        <w:rPr>
          <w:rFonts w:ascii="宋体" w:hAnsi="宋体"/>
          <w:b/>
          <w:bCs/>
          <w:color w:val="auto"/>
          <w:highlight w:val="none"/>
        </w:rPr>
      </w:pPr>
      <w:r>
        <w:rPr>
          <w:rFonts w:hint="eastAsia" w:ascii="宋体" w:hAnsi="宋体"/>
          <w:b/>
          <w:bCs/>
          <w:color w:val="auto"/>
          <w:highlight w:val="none"/>
        </w:rPr>
        <w:br w:type="page"/>
      </w:r>
      <w:r>
        <w:rPr>
          <w:rFonts w:hint="eastAsia" w:ascii="宋体" w:hAnsi="宋体"/>
          <w:b/>
          <w:bCs/>
          <w:color w:val="auto"/>
          <w:highlight w:val="none"/>
        </w:rPr>
        <w:t>1.2 商务评分页码对应表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928"/>
        <w:gridCol w:w="3328"/>
        <w:gridCol w:w="3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b/>
                <w:color w:val="auto"/>
                <w:szCs w:val="21"/>
                <w:highlight w:val="none"/>
              </w:rPr>
            </w:pPr>
            <w:r>
              <w:rPr>
                <w:rFonts w:hint="eastAsia" w:ascii="宋体" w:hAnsi="宋体"/>
                <w:b/>
                <w:color w:val="auto"/>
                <w:szCs w:val="21"/>
                <w:highlight w:val="none"/>
              </w:rPr>
              <w:t>序号</w:t>
            </w:r>
          </w:p>
        </w:tc>
        <w:tc>
          <w:tcPr>
            <w:tcW w:w="1928" w:type="dxa"/>
            <w:vAlign w:val="center"/>
          </w:tcPr>
          <w:p>
            <w:pPr>
              <w:jc w:val="center"/>
              <w:rPr>
                <w:rFonts w:ascii="宋体" w:hAnsi="宋体"/>
                <w:b/>
                <w:color w:val="auto"/>
                <w:szCs w:val="21"/>
                <w:highlight w:val="none"/>
              </w:rPr>
            </w:pPr>
            <w:r>
              <w:rPr>
                <w:rFonts w:hint="eastAsia" w:ascii="宋体" w:hAnsi="宋体"/>
                <w:b/>
                <w:color w:val="auto"/>
                <w:szCs w:val="21"/>
                <w:highlight w:val="none"/>
              </w:rPr>
              <w:t>评审分项</w:t>
            </w:r>
          </w:p>
        </w:tc>
        <w:tc>
          <w:tcPr>
            <w:tcW w:w="3328" w:type="dxa"/>
            <w:vAlign w:val="center"/>
          </w:tcPr>
          <w:p>
            <w:pPr>
              <w:jc w:val="center"/>
              <w:rPr>
                <w:rFonts w:ascii="宋体" w:hAnsi="宋体"/>
                <w:b/>
                <w:color w:val="auto"/>
                <w:szCs w:val="21"/>
                <w:highlight w:val="none"/>
              </w:rPr>
            </w:pPr>
            <w:r>
              <w:rPr>
                <w:rFonts w:hint="eastAsia" w:ascii="宋体" w:hAnsi="宋体"/>
                <w:b/>
                <w:color w:val="auto"/>
                <w:szCs w:val="21"/>
                <w:highlight w:val="none"/>
              </w:rPr>
              <w:t>提交内容</w:t>
            </w:r>
          </w:p>
        </w:tc>
        <w:tc>
          <w:tcPr>
            <w:tcW w:w="3025" w:type="dxa"/>
            <w:vAlign w:val="center"/>
          </w:tcPr>
          <w:p>
            <w:pPr>
              <w:jc w:val="center"/>
              <w:rPr>
                <w:rFonts w:ascii="宋体" w:hAnsi="宋体"/>
                <w:b/>
                <w:color w:val="auto"/>
                <w:szCs w:val="21"/>
                <w:highlight w:val="none"/>
              </w:rPr>
            </w:pPr>
            <w:r>
              <w:rPr>
                <w:rFonts w:hint="eastAsia" w:ascii="宋体" w:hAnsi="宋体"/>
                <w:b/>
                <w:color w:val="auto"/>
                <w:szCs w:val="21"/>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1928" w:type="dxa"/>
            <w:vAlign w:val="center"/>
          </w:tcPr>
          <w:p>
            <w:pPr>
              <w:jc w:val="center"/>
              <w:rPr>
                <w:rFonts w:ascii="宋体" w:hAnsi="宋体"/>
                <w:color w:val="auto"/>
                <w:szCs w:val="21"/>
                <w:highlight w:val="none"/>
              </w:rPr>
            </w:pPr>
          </w:p>
        </w:tc>
        <w:tc>
          <w:tcPr>
            <w:tcW w:w="3328" w:type="dxa"/>
            <w:vAlign w:val="center"/>
          </w:tcPr>
          <w:p>
            <w:pPr>
              <w:jc w:val="center"/>
              <w:rPr>
                <w:rFonts w:ascii="宋体" w:hAnsi="宋体"/>
                <w:color w:val="auto"/>
                <w:szCs w:val="21"/>
                <w:highlight w:val="none"/>
              </w:rPr>
            </w:pPr>
          </w:p>
        </w:tc>
        <w:tc>
          <w:tcPr>
            <w:tcW w:w="3025" w:type="dxa"/>
            <w:vAlign w:val="center"/>
          </w:tcPr>
          <w:p>
            <w:pPr>
              <w:jc w:val="center"/>
              <w:rPr>
                <w:rFonts w:ascii="宋体" w:hAnsi="宋体"/>
                <w:color w:val="auto"/>
                <w:szCs w:val="21"/>
                <w:highlight w:val="none"/>
              </w:rPr>
            </w:pPr>
            <w:r>
              <w:rPr>
                <w:rFonts w:hint="eastAsia" w:ascii="宋体" w:hAnsi="宋体"/>
                <w:color w:val="auto"/>
                <w:szCs w:val="21"/>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1928" w:type="dxa"/>
            <w:vAlign w:val="center"/>
          </w:tcPr>
          <w:p>
            <w:pPr>
              <w:jc w:val="center"/>
              <w:rPr>
                <w:rFonts w:ascii="宋体" w:hAnsi="宋体"/>
                <w:color w:val="auto"/>
                <w:szCs w:val="21"/>
                <w:highlight w:val="none"/>
              </w:rPr>
            </w:pPr>
          </w:p>
        </w:tc>
        <w:tc>
          <w:tcPr>
            <w:tcW w:w="3328" w:type="dxa"/>
            <w:vAlign w:val="center"/>
          </w:tcPr>
          <w:p>
            <w:pPr>
              <w:jc w:val="center"/>
              <w:rPr>
                <w:rFonts w:ascii="宋体" w:hAnsi="宋体"/>
                <w:color w:val="auto"/>
                <w:szCs w:val="21"/>
                <w:highlight w:val="none"/>
              </w:rPr>
            </w:pPr>
          </w:p>
        </w:tc>
        <w:tc>
          <w:tcPr>
            <w:tcW w:w="3025" w:type="dxa"/>
            <w:vAlign w:val="center"/>
          </w:tcPr>
          <w:p>
            <w:pPr>
              <w:jc w:val="center"/>
              <w:rPr>
                <w:rFonts w:ascii="宋体" w:hAnsi="宋体"/>
                <w:color w:val="auto"/>
                <w:szCs w:val="21"/>
                <w:highlight w:val="none"/>
              </w:rPr>
            </w:pPr>
            <w:r>
              <w:rPr>
                <w:rFonts w:hint="eastAsia" w:ascii="宋体" w:hAnsi="宋体"/>
                <w:color w:val="auto"/>
                <w:szCs w:val="21"/>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1928" w:type="dxa"/>
            <w:vAlign w:val="center"/>
          </w:tcPr>
          <w:p>
            <w:pPr>
              <w:jc w:val="center"/>
              <w:rPr>
                <w:rFonts w:ascii="宋体" w:hAnsi="宋体"/>
                <w:color w:val="auto"/>
                <w:szCs w:val="21"/>
                <w:highlight w:val="none"/>
              </w:rPr>
            </w:pPr>
          </w:p>
        </w:tc>
        <w:tc>
          <w:tcPr>
            <w:tcW w:w="3328" w:type="dxa"/>
            <w:vAlign w:val="center"/>
          </w:tcPr>
          <w:p>
            <w:pPr>
              <w:jc w:val="center"/>
              <w:rPr>
                <w:rFonts w:ascii="宋体" w:hAnsi="宋体"/>
                <w:color w:val="auto"/>
                <w:szCs w:val="21"/>
                <w:highlight w:val="none"/>
              </w:rPr>
            </w:pPr>
          </w:p>
        </w:tc>
        <w:tc>
          <w:tcPr>
            <w:tcW w:w="3025" w:type="dxa"/>
            <w:vAlign w:val="center"/>
          </w:tcPr>
          <w:p>
            <w:pPr>
              <w:jc w:val="center"/>
              <w:rPr>
                <w:rFonts w:ascii="宋体" w:hAnsi="宋体"/>
                <w:color w:val="auto"/>
                <w:szCs w:val="21"/>
                <w:highlight w:val="none"/>
              </w:rPr>
            </w:pPr>
            <w:r>
              <w:rPr>
                <w:rFonts w:hint="eastAsia" w:ascii="宋体" w:hAnsi="宋体"/>
                <w:color w:val="auto"/>
                <w:szCs w:val="21"/>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1928" w:type="dxa"/>
            <w:vAlign w:val="center"/>
          </w:tcPr>
          <w:p>
            <w:pPr>
              <w:jc w:val="center"/>
              <w:rPr>
                <w:rFonts w:ascii="宋体" w:hAnsi="宋体"/>
                <w:color w:val="auto"/>
                <w:szCs w:val="21"/>
                <w:highlight w:val="none"/>
              </w:rPr>
            </w:pPr>
          </w:p>
        </w:tc>
        <w:tc>
          <w:tcPr>
            <w:tcW w:w="3328" w:type="dxa"/>
            <w:vAlign w:val="center"/>
          </w:tcPr>
          <w:p>
            <w:pPr>
              <w:jc w:val="center"/>
              <w:rPr>
                <w:rFonts w:ascii="宋体" w:hAnsi="宋体"/>
                <w:color w:val="auto"/>
                <w:szCs w:val="21"/>
                <w:highlight w:val="none"/>
              </w:rPr>
            </w:pPr>
          </w:p>
        </w:tc>
        <w:tc>
          <w:tcPr>
            <w:tcW w:w="3025" w:type="dxa"/>
            <w:vAlign w:val="center"/>
          </w:tcPr>
          <w:p>
            <w:pPr>
              <w:jc w:val="center"/>
              <w:rPr>
                <w:rFonts w:ascii="宋体" w:hAnsi="宋体"/>
                <w:color w:val="auto"/>
                <w:szCs w:val="21"/>
                <w:highlight w:val="none"/>
              </w:rPr>
            </w:pPr>
            <w:r>
              <w:rPr>
                <w:rFonts w:hint="eastAsia" w:ascii="宋体" w:hAnsi="宋体"/>
                <w:color w:val="auto"/>
                <w:szCs w:val="21"/>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1928" w:type="dxa"/>
            <w:vAlign w:val="center"/>
          </w:tcPr>
          <w:p>
            <w:pPr>
              <w:jc w:val="center"/>
              <w:rPr>
                <w:rFonts w:ascii="宋体" w:hAnsi="宋体"/>
                <w:color w:val="auto"/>
                <w:szCs w:val="21"/>
                <w:highlight w:val="none"/>
              </w:rPr>
            </w:pPr>
          </w:p>
        </w:tc>
        <w:tc>
          <w:tcPr>
            <w:tcW w:w="3328" w:type="dxa"/>
            <w:vAlign w:val="center"/>
          </w:tcPr>
          <w:p>
            <w:pPr>
              <w:jc w:val="center"/>
              <w:rPr>
                <w:rFonts w:ascii="宋体" w:hAnsi="宋体"/>
                <w:color w:val="auto"/>
                <w:szCs w:val="21"/>
                <w:highlight w:val="none"/>
              </w:rPr>
            </w:pPr>
          </w:p>
        </w:tc>
        <w:tc>
          <w:tcPr>
            <w:tcW w:w="3025" w:type="dxa"/>
            <w:vAlign w:val="center"/>
          </w:tcPr>
          <w:p>
            <w:pPr>
              <w:jc w:val="center"/>
              <w:rPr>
                <w:rFonts w:ascii="宋体" w:hAnsi="宋体"/>
                <w:color w:val="auto"/>
                <w:szCs w:val="21"/>
                <w:highlight w:val="none"/>
              </w:rPr>
            </w:pPr>
            <w:r>
              <w:rPr>
                <w:rFonts w:hint="eastAsia" w:ascii="宋体" w:hAnsi="宋体"/>
                <w:color w:val="auto"/>
                <w:szCs w:val="21"/>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928" w:type="dxa"/>
            <w:vAlign w:val="center"/>
          </w:tcPr>
          <w:p>
            <w:pPr>
              <w:jc w:val="center"/>
              <w:rPr>
                <w:rFonts w:ascii="宋体" w:hAnsi="宋体"/>
                <w:color w:val="auto"/>
                <w:szCs w:val="21"/>
                <w:highlight w:val="none"/>
              </w:rPr>
            </w:pPr>
          </w:p>
        </w:tc>
        <w:tc>
          <w:tcPr>
            <w:tcW w:w="3328" w:type="dxa"/>
            <w:vAlign w:val="center"/>
          </w:tcPr>
          <w:p>
            <w:pPr>
              <w:jc w:val="center"/>
              <w:rPr>
                <w:rFonts w:ascii="宋体" w:hAnsi="宋体"/>
                <w:color w:val="auto"/>
                <w:szCs w:val="21"/>
                <w:highlight w:val="none"/>
              </w:rPr>
            </w:pPr>
          </w:p>
        </w:tc>
        <w:tc>
          <w:tcPr>
            <w:tcW w:w="3025" w:type="dxa"/>
            <w:vAlign w:val="center"/>
          </w:tcPr>
          <w:p>
            <w:pPr>
              <w:rPr>
                <w:rFonts w:ascii="宋体" w:hAnsi="宋体"/>
                <w:color w:val="auto"/>
                <w:szCs w:val="21"/>
                <w:highlight w:val="none"/>
              </w:rPr>
            </w:pPr>
          </w:p>
        </w:tc>
      </w:tr>
    </w:tbl>
    <w:p>
      <w:pPr>
        <w:adjustRightInd w:val="0"/>
        <w:snapToGrid w:val="0"/>
        <w:spacing w:line="360" w:lineRule="auto"/>
        <w:rPr>
          <w:rFonts w:ascii="宋体" w:hAnsi="宋体"/>
          <w:color w:val="auto"/>
          <w:sz w:val="28"/>
          <w:szCs w:val="28"/>
          <w:highlight w:val="none"/>
        </w:rPr>
      </w:pPr>
    </w:p>
    <w:p>
      <w:pPr>
        <w:rPr>
          <w:rFonts w:ascii="宋体" w:hAnsi="宋体"/>
          <w:b/>
          <w:bCs/>
          <w:color w:val="auto"/>
          <w:highlight w:val="none"/>
        </w:rPr>
      </w:pPr>
      <w:r>
        <w:rPr>
          <w:rFonts w:hint="eastAsia" w:ascii="宋体" w:hAnsi="宋体"/>
          <w:b/>
          <w:bCs/>
          <w:color w:val="auto"/>
          <w:highlight w:val="none"/>
        </w:rPr>
        <w:t xml:space="preserve">1.3 </w:t>
      </w:r>
      <w:r>
        <w:rPr>
          <w:rFonts w:hint="eastAsia" w:ascii="宋体" w:hAnsi="宋体"/>
          <w:b/>
          <w:color w:val="auto"/>
          <w:highlight w:val="none"/>
        </w:rPr>
        <w:t>技术（服务）</w:t>
      </w:r>
      <w:r>
        <w:rPr>
          <w:rFonts w:hint="eastAsia" w:ascii="宋体" w:hAnsi="宋体"/>
          <w:b/>
          <w:bCs/>
          <w:color w:val="auto"/>
          <w:highlight w:val="none"/>
        </w:rPr>
        <w:t>评分页码对应表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928"/>
        <w:gridCol w:w="3328"/>
        <w:gridCol w:w="3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b/>
                <w:color w:val="auto"/>
                <w:szCs w:val="21"/>
                <w:highlight w:val="none"/>
              </w:rPr>
            </w:pPr>
            <w:r>
              <w:rPr>
                <w:rFonts w:hint="eastAsia" w:ascii="宋体" w:hAnsi="宋体"/>
                <w:b/>
                <w:color w:val="auto"/>
                <w:szCs w:val="21"/>
                <w:highlight w:val="none"/>
              </w:rPr>
              <w:t>序号</w:t>
            </w:r>
          </w:p>
        </w:tc>
        <w:tc>
          <w:tcPr>
            <w:tcW w:w="1928" w:type="dxa"/>
            <w:vAlign w:val="center"/>
          </w:tcPr>
          <w:p>
            <w:pPr>
              <w:jc w:val="center"/>
              <w:rPr>
                <w:rFonts w:ascii="宋体" w:hAnsi="宋体"/>
                <w:b/>
                <w:color w:val="auto"/>
                <w:szCs w:val="21"/>
                <w:highlight w:val="none"/>
              </w:rPr>
            </w:pPr>
            <w:r>
              <w:rPr>
                <w:rFonts w:hint="eastAsia" w:ascii="宋体" w:hAnsi="宋体"/>
                <w:b/>
                <w:color w:val="auto"/>
                <w:szCs w:val="21"/>
                <w:highlight w:val="none"/>
              </w:rPr>
              <w:t>评审分项</w:t>
            </w:r>
          </w:p>
        </w:tc>
        <w:tc>
          <w:tcPr>
            <w:tcW w:w="3328" w:type="dxa"/>
            <w:vAlign w:val="center"/>
          </w:tcPr>
          <w:p>
            <w:pPr>
              <w:jc w:val="center"/>
              <w:rPr>
                <w:rFonts w:ascii="宋体" w:hAnsi="宋体"/>
                <w:b/>
                <w:color w:val="auto"/>
                <w:szCs w:val="21"/>
                <w:highlight w:val="none"/>
              </w:rPr>
            </w:pPr>
            <w:r>
              <w:rPr>
                <w:rFonts w:hint="eastAsia" w:ascii="宋体" w:hAnsi="宋体"/>
                <w:b/>
                <w:color w:val="auto"/>
                <w:szCs w:val="21"/>
                <w:highlight w:val="none"/>
              </w:rPr>
              <w:t>提交内容</w:t>
            </w:r>
          </w:p>
        </w:tc>
        <w:tc>
          <w:tcPr>
            <w:tcW w:w="3025" w:type="dxa"/>
            <w:vAlign w:val="center"/>
          </w:tcPr>
          <w:p>
            <w:pPr>
              <w:jc w:val="center"/>
              <w:rPr>
                <w:rFonts w:ascii="宋体" w:hAnsi="宋体"/>
                <w:b/>
                <w:color w:val="auto"/>
                <w:szCs w:val="21"/>
                <w:highlight w:val="none"/>
              </w:rPr>
            </w:pPr>
            <w:r>
              <w:rPr>
                <w:rFonts w:hint="eastAsia" w:ascii="宋体" w:hAnsi="宋体"/>
                <w:b/>
                <w:color w:val="auto"/>
                <w:szCs w:val="21"/>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1928" w:type="dxa"/>
            <w:vAlign w:val="center"/>
          </w:tcPr>
          <w:p>
            <w:pPr>
              <w:jc w:val="center"/>
              <w:rPr>
                <w:rFonts w:ascii="宋体" w:hAnsi="宋体"/>
                <w:color w:val="auto"/>
                <w:szCs w:val="21"/>
                <w:highlight w:val="none"/>
              </w:rPr>
            </w:pPr>
          </w:p>
        </w:tc>
        <w:tc>
          <w:tcPr>
            <w:tcW w:w="3328" w:type="dxa"/>
            <w:vAlign w:val="center"/>
          </w:tcPr>
          <w:p>
            <w:pPr>
              <w:jc w:val="center"/>
              <w:rPr>
                <w:rFonts w:ascii="宋体" w:hAnsi="宋体"/>
                <w:color w:val="auto"/>
                <w:szCs w:val="21"/>
                <w:highlight w:val="none"/>
              </w:rPr>
            </w:pPr>
          </w:p>
        </w:tc>
        <w:tc>
          <w:tcPr>
            <w:tcW w:w="3025" w:type="dxa"/>
            <w:vAlign w:val="center"/>
          </w:tcPr>
          <w:p>
            <w:pPr>
              <w:jc w:val="center"/>
              <w:rPr>
                <w:rFonts w:ascii="宋体" w:hAnsi="宋体"/>
                <w:color w:val="auto"/>
                <w:szCs w:val="21"/>
                <w:highlight w:val="none"/>
              </w:rPr>
            </w:pPr>
            <w:r>
              <w:rPr>
                <w:rFonts w:hint="eastAsia" w:ascii="宋体" w:hAnsi="宋体"/>
                <w:color w:val="auto"/>
                <w:szCs w:val="21"/>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1928" w:type="dxa"/>
            <w:vAlign w:val="center"/>
          </w:tcPr>
          <w:p>
            <w:pPr>
              <w:jc w:val="center"/>
              <w:rPr>
                <w:rFonts w:ascii="宋体" w:hAnsi="宋体"/>
                <w:color w:val="auto"/>
                <w:szCs w:val="21"/>
                <w:highlight w:val="none"/>
              </w:rPr>
            </w:pPr>
          </w:p>
        </w:tc>
        <w:tc>
          <w:tcPr>
            <w:tcW w:w="3328" w:type="dxa"/>
            <w:vAlign w:val="center"/>
          </w:tcPr>
          <w:p>
            <w:pPr>
              <w:jc w:val="center"/>
              <w:rPr>
                <w:rFonts w:ascii="宋体" w:hAnsi="宋体"/>
                <w:color w:val="auto"/>
                <w:szCs w:val="21"/>
                <w:highlight w:val="none"/>
              </w:rPr>
            </w:pPr>
          </w:p>
        </w:tc>
        <w:tc>
          <w:tcPr>
            <w:tcW w:w="3025" w:type="dxa"/>
            <w:vAlign w:val="center"/>
          </w:tcPr>
          <w:p>
            <w:pPr>
              <w:jc w:val="center"/>
              <w:rPr>
                <w:rFonts w:ascii="宋体" w:hAnsi="宋体"/>
                <w:color w:val="auto"/>
                <w:szCs w:val="21"/>
                <w:highlight w:val="none"/>
              </w:rPr>
            </w:pPr>
            <w:r>
              <w:rPr>
                <w:rFonts w:hint="eastAsia" w:ascii="宋体" w:hAnsi="宋体"/>
                <w:color w:val="auto"/>
                <w:szCs w:val="21"/>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1928" w:type="dxa"/>
            <w:vAlign w:val="center"/>
          </w:tcPr>
          <w:p>
            <w:pPr>
              <w:jc w:val="center"/>
              <w:rPr>
                <w:rFonts w:ascii="宋体" w:hAnsi="宋体"/>
                <w:color w:val="auto"/>
                <w:szCs w:val="21"/>
                <w:highlight w:val="none"/>
              </w:rPr>
            </w:pPr>
          </w:p>
        </w:tc>
        <w:tc>
          <w:tcPr>
            <w:tcW w:w="3328" w:type="dxa"/>
            <w:vAlign w:val="center"/>
          </w:tcPr>
          <w:p>
            <w:pPr>
              <w:jc w:val="center"/>
              <w:rPr>
                <w:rFonts w:ascii="宋体" w:hAnsi="宋体"/>
                <w:color w:val="auto"/>
                <w:szCs w:val="21"/>
                <w:highlight w:val="none"/>
              </w:rPr>
            </w:pPr>
          </w:p>
        </w:tc>
        <w:tc>
          <w:tcPr>
            <w:tcW w:w="3025" w:type="dxa"/>
            <w:vAlign w:val="center"/>
          </w:tcPr>
          <w:p>
            <w:pPr>
              <w:jc w:val="center"/>
              <w:rPr>
                <w:rFonts w:ascii="宋体" w:hAnsi="宋体"/>
                <w:color w:val="auto"/>
                <w:szCs w:val="21"/>
                <w:highlight w:val="none"/>
              </w:rPr>
            </w:pPr>
            <w:r>
              <w:rPr>
                <w:rFonts w:hint="eastAsia" w:ascii="宋体" w:hAnsi="宋体"/>
                <w:color w:val="auto"/>
                <w:szCs w:val="21"/>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1928" w:type="dxa"/>
            <w:vAlign w:val="center"/>
          </w:tcPr>
          <w:p>
            <w:pPr>
              <w:jc w:val="center"/>
              <w:rPr>
                <w:rFonts w:ascii="宋体" w:hAnsi="宋体"/>
                <w:color w:val="auto"/>
                <w:szCs w:val="21"/>
                <w:highlight w:val="none"/>
              </w:rPr>
            </w:pPr>
          </w:p>
        </w:tc>
        <w:tc>
          <w:tcPr>
            <w:tcW w:w="3328" w:type="dxa"/>
            <w:vAlign w:val="center"/>
          </w:tcPr>
          <w:p>
            <w:pPr>
              <w:jc w:val="center"/>
              <w:rPr>
                <w:rFonts w:ascii="宋体" w:hAnsi="宋体"/>
                <w:color w:val="auto"/>
                <w:szCs w:val="21"/>
                <w:highlight w:val="none"/>
              </w:rPr>
            </w:pPr>
          </w:p>
        </w:tc>
        <w:tc>
          <w:tcPr>
            <w:tcW w:w="3025" w:type="dxa"/>
            <w:vAlign w:val="center"/>
          </w:tcPr>
          <w:p>
            <w:pPr>
              <w:jc w:val="center"/>
              <w:rPr>
                <w:rFonts w:ascii="宋体" w:hAnsi="宋体"/>
                <w:color w:val="auto"/>
                <w:szCs w:val="21"/>
                <w:highlight w:val="none"/>
              </w:rPr>
            </w:pPr>
            <w:r>
              <w:rPr>
                <w:rFonts w:hint="eastAsia" w:ascii="宋体" w:hAnsi="宋体"/>
                <w:color w:val="auto"/>
                <w:szCs w:val="21"/>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1928" w:type="dxa"/>
            <w:vAlign w:val="center"/>
          </w:tcPr>
          <w:p>
            <w:pPr>
              <w:jc w:val="center"/>
              <w:rPr>
                <w:rFonts w:ascii="宋体" w:hAnsi="宋体"/>
                <w:color w:val="auto"/>
                <w:szCs w:val="21"/>
                <w:highlight w:val="none"/>
              </w:rPr>
            </w:pPr>
          </w:p>
        </w:tc>
        <w:tc>
          <w:tcPr>
            <w:tcW w:w="3328" w:type="dxa"/>
            <w:vAlign w:val="center"/>
          </w:tcPr>
          <w:p>
            <w:pPr>
              <w:jc w:val="center"/>
              <w:rPr>
                <w:rFonts w:ascii="宋体" w:hAnsi="宋体"/>
                <w:color w:val="auto"/>
                <w:szCs w:val="21"/>
                <w:highlight w:val="none"/>
              </w:rPr>
            </w:pPr>
          </w:p>
        </w:tc>
        <w:tc>
          <w:tcPr>
            <w:tcW w:w="3025" w:type="dxa"/>
            <w:vAlign w:val="center"/>
          </w:tcPr>
          <w:p>
            <w:pPr>
              <w:jc w:val="center"/>
              <w:rPr>
                <w:rFonts w:ascii="宋体" w:hAnsi="宋体"/>
                <w:color w:val="auto"/>
                <w:szCs w:val="21"/>
                <w:highlight w:val="none"/>
              </w:rPr>
            </w:pPr>
            <w:r>
              <w:rPr>
                <w:rFonts w:hint="eastAsia" w:ascii="宋体" w:hAnsi="宋体"/>
                <w:color w:val="auto"/>
                <w:szCs w:val="21"/>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928" w:type="dxa"/>
            <w:vAlign w:val="center"/>
          </w:tcPr>
          <w:p>
            <w:pPr>
              <w:jc w:val="center"/>
              <w:rPr>
                <w:rFonts w:ascii="宋体" w:hAnsi="宋体"/>
                <w:color w:val="auto"/>
                <w:szCs w:val="21"/>
                <w:highlight w:val="none"/>
              </w:rPr>
            </w:pPr>
          </w:p>
        </w:tc>
        <w:tc>
          <w:tcPr>
            <w:tcW w:w="3328" w:type="dxa"/>
            <w:vAlign w:val="center"/>
          </w:tcPr>
          <w:p>
            <w:pPr>
              <w:jc w:val="center"/>
              <w:rPr>
                <w:rFonts w:ascii="宋体" w:hAnsi="宋体"/>
                <w:color w:val="auto"/>
                <w:szCs w:val="21"/>
                <w:highlight w:val="none"/>
              </w:rPr>
            </w:pPr>
          </w:p>
        </w:tc>
        <w:tc>
          <w:tcPr>
            <w:tcW w:w="3025" w:type="dxa"/>
            <w:vAlign w:val="center"/>
          </w:tcPr>
          <w:p>
            <w:pPr>
              <w:rPr>
                <w:rFonts w:ascii="宋体" w:hAnsi="宋体"/>
                <w:color w:val="auto"/>
                <w:szCs w:val="21"/>
                <w:highlight w:val="none"/>
              </w:rPr>
            </w:pPr>
          </w:p>
        </w:tc>
      </w:tr>
    </w:tbl>
    <w:p>
      <w:pPr>
        <w:adjustRightInd w:val="0"/>
        <w:snapToGrid w:val="0"/>
        <w:spacing w:line="360" w:lineRule="auto"/>
        <w:jc w:val="left"/>
        <w:rPr>
          <w:rFonts w:ascii="宋体" w:hAnsi="宋体"/>
          <w:b/>
          <w:color w:val="auto"/>
          <w:szCs w:val="21"/>
          <w:highlight w:val="none"/>
          <w:lang w:val="en-GB"/>
        </w:rPr>
      </w:pPr>
    </w:p>
    <w:p>
      <w:pPr>
        <w:tabs>
          <w:tab w:val="right" w:pos="9000"/>
        </w:tabs>
        <w:suppressAutoHyphens/>
        <w:rPr>
          <w:rFonts w:ascii="宋体" w:hAnsi="宋体" w:cs="Arial"/>
          <w:bCs/>
          <w:iCs/>
          <w:color w:val="auto"/>
          <w:sz w:val="16"/>
          <w:highlight w:val="none"/>
          <w:shd w:val="solid" w:color="auto" w:fill="auto"/>
        </w:rPr>
      </w:pPr>
    </w:p>
    <w:p>
      <w:pPr>
        <w:tabs>
          <w:tab w:val="right" w:pos="9000"/>
        </w:tabs>
        <w:suppressAutoHyphens/>
        <w:rPr>
          <w:rFonts w:ascii="宋体" w:hAnsi="宋体" w:cs="Arial"/>
          <w:bCs/>
          <w:iCs/>
          <w:color w:val="auto"/>
          <w:sz w:val="16"/>
          <w:highlight w:val="none"/>
          <w:shd w:val="solid" w:color="auto" w:fill="auto"/>
        </w:rPr>
      </w:pPr>
    </w:p>
    <w:p>
      <w:pPr>
        <w:tabs>
          <w:tab w:val="right" w:pos="9000"/>
        </w:tabs>
        <w:suppressAutoHyphens/>
        <w:rPr>
          <w:rFonts w:ascii="宋体" w:hAnsi="宋体" w:cs="Arial"/>
          <w:bCs/>
          <w:iCs/>
          <w:color w:val="auto"/>
          <w:sz w:val="16"/>
          <w:highlight w:val="none"/>
          <w:shd w:val="solid" w:color="auto" w:fill="auto"/>
        </w:rPr>
      </w:pPr>
    </w:p>
    <w:p>
      <w:pPr>
        <w:tabs>
          <w:tab w:val="right" w:pos="9000"/>
        </w:tabs>
        <w:suppressAutoHyphens/>
        <w:rPr>
          <w:rFonts w:ascii="宋体" w:hAnsi="宋体" w:cs="Arial"/>
          <w:bCs/>
          <w:iCs/>
          <w:color w:val="auto"/>
          <w:sz w:val="16"/>
          <w:highlight w:val="none"/>
          <w:shd w:val="solid" w:color="auto" w:fill="auto"/>
        </w:rPr>
      </w:pPr>
    </w:p>
    <w:p>
      <w:pPr>
        <w:tabs>
          <w:tab w:val="right" w:pos="9000"/>
        </w:tabs>
        <w:suppressAutoHyphens/>
        <w:rPr>
          <w:rFonts w:ascii="宋体" w:hAnsi="宋体" w:cs="Arial"/>
          <w:bCs/>
          <w:iCs/>
          <w:color w:val="auto"/>
          <w:sz w:val="16"/>
          <w:highlight w:val="none"/>
          <w:shd w:val="solid" w:color="auto" w:fill="auto"/>
        </w:rPr>
      </w:pPr>
    </w:p>
    <w:p>
      <w:pPr>
        <w:tabs>
          <w:tab w:val="right" w:pos="9000"/>
        </w:tabs>
        <w:suppressAutoHyphens/>
        <w:rPr>
          <w:rFonts w:ascii="宋体" w:hAnsi="宋体" w:cs="Arial"/>
          <w:bCs/>
          <w:iCs/>
          <w:color w:val="auto"/>
          <w:sz w:val="16"/>
          <w:highlight w:val="none"/>
          <w:shd w:val="solid" w:color="auto" w:fill="auto"/>
        </w:rPr>
      </w:pPr>
    </w:p>
    <w:p>
      <w:pPr>
        <w:tabs>
          <w:tab w:val="right" w:pos="9000"/>
        </w:tabs>
        <w:suppressAutoHyphens/>
        <w:rPr>
          <w:rFonts w:ascii="宋体" w:hAnsi="宋体" w:cs="Arial"/>
          <w:bCs/>
          <w:iCs/>
          <w:color w:val="auto"/>
          <w:sz w:val="16"/>
          <w:highlight w:val="none"/>
          <w:shd w:val="solid" w:color="auto" w:fill="auto"/>
        </w:rPr>
      </w:pPr>
    </w:p>
    <w:p>
      <w:pPr>
        <w:tabs>
          <w:tab w:val="right" w:pos="9000"/>
        </w:tabs>
        <w:suppressAutoHyphens/>
        <w:rPr>
          <w:rFonts w:ascii="宋体" w:hAnsi="宋体" w:cs="Arial"/>
          <w:bCs/>
          <w:iCs/>
          <w:color w:val="auto"/>
          <w:sz w:val="16"/>
          <w:highlight w:val="none"/>
          <w:shd w:val="solid" w:color="auto" w:fill="auto"/>
        </w:rPr>
      </w:pPr>
    </w:p>
    <w:p>
      <w:pPr>
        <w:rPr>
          <w:rFonts w:ascii="宋体" w:hAnsi="宋体"/>
          <w:b/>
          <w:bCs/>
          <w:color w:val="auto"/>
          <w:sz w:val="16"/>
          <w:szCs w:val="16"/>
          <w:highlight w:val="none"/>
        </w:rPr>
      </w:pPr>
      <w:r>
        <w:rPr>
          <w:rFonts w:ascii="宋体" w:hAnsi="宋体"/>
          <w:b/>
          <w:bCs/>
          <w:color w:val="auto"/>
          <w:sz w:val="16"/>
          <w:szCs w:val="16"/>
          <w:highlight w:val="none"/>
        </w:rPr>
        <w:t>--</w:t>
      </w:r>
      <w:r>
        <w:rPr>
          <w:rFonts w:hint="eastAsia" w:ascii="宋体" w:hAnsi="宋体"/>
          <w:b/>
          <w:bCs/>
          <w:color w:val="auto"/>
          <w:sz w:val="16"/>
          <w:szCs w:val="16"/>
          <w:highlight w:val="none"/>
        </w:rPr>
        <w:t>备注</w:t>
      </w:r>
      <w:r>
        <w:rPr>
          <w:rFonts w:ascii="宋体" w:hAnsi="宋体"/>
          <w:b/>
          <w:bCs/>
          <w:color w:val="auto"/>
          <w:sz w:val="16"/>
          <w:szCs w:val="16"/>
          <w:highlight w:val="none"/>
        </w:rPr>
        <w:t>--</w:t>
      </w:r>
    </w:p>
    <w:p>
      <w:pPr>
        <w:pBdr>
          <w:top w:val="single" w:color="auto" w:sz="4" w:space="1"/>
          <w:left w:val="single" w:color="auto" w:sz="4" w:space="4"/>
          <w:bottom w:val="single" w:color="auto" w:sz="4" w:space="1"/>
          <w:right w:val="single" w:color="auto" w:sz="4" w:space="4"/>
        </w:pBdr>
        <w:tabs>
          <w:tab w:val="left" w:pos="6120"/>
        </w:tabs>
        <w:rPr>
          <w:rFonts w:ascii="宋体" w:hAnsi="宋体" w:cs="Arial"/>
          <w:i/>
          <w:color w:val="auto"/>
          <w:sz w:val="16"/>
          <w:szCs w:val="16"/>
          <w:highlight w:val="none"/>
        </w:rPr>
      </w:pPr>
      <w:r>
        <w:rPr>
          <w:rFonts w:hint="eastAsia" w:ascii="宋体" w:hAnsi="宋体" w:cs="Arial"/>
          <w:i/>
          <w:color w:val="auto"/>
          <w:sz w:val="16"/>
          <w:szCs w:val="16"/>
          <w:highlight w:val="none"/>
        </w:rPr>
        <w:t>1.《第六部分 投标文件格式》所有斜体字仅用于指导投标人编制投标文件，投标人应在最终提交的投标文件中将其删除；</w:t>
      </w:r>
    </w:p>
    <w:p>
      <w:pPr>
        <w:pBdr>
          <w:top w:val="single" w:color="auto" w:sz="4" w:space="1"/>
          <w:left w:val="single" w:color="auto" w:sz="4" w:space="4"/>
          <w:bottom w:val="single" w:color="auto" w:sz="4" w:space="1"/>
          <w:right w:val="single" w:color="auto" w:sz="4" w:space="4"/>
        </w:pBdr>
        <w:tabs>
          <w:tab w:val="left" w:pos="6120"/>
        </w:tabs>
        <w:rPr>
          <w:rFonts w:ascii="宋体" w:hAnsi="宋体" w:cs="Arial"/>
          <w:i/>
          <w:color w:val="auto"/>
          <w:sz w:val="16"/>
          <w:szCs w:val="16"/>
          <w:highlight w:val="none"/>
        </w:rPr>
      </w:pPr>
      <w:r>
        <w:rPr>
          <w:rFonts w:hint="eastAsia" w:ascii="宋体" w:hAnsi="宋体" w:cs="Arial"/>
          <w:i/>
          <w:color w:val="auto"/>
          <w:sz w:val="16"/>
          <w:szCs w:val="16"/>
          <w:highlight w:val="none"/>
        </w:rPr>
        <w:t>2.投标人应根据《第四部分 评标原则和方法》中《附表三 商务评分表》评审项目的各项内容，按顺序填写《商务评分页码对应表》；</w:t>
      </w:r>
    </w:p>
    <w:p>
      <w:pPr>
        <w:pBdr>
          <w:top w:val="single" w:color="auto" w:sz="4" w:space="1"/>
          <w:left w:val="single" w:color="auto" w:sz="4" w:space="4"/>
          <w:bottom w:val="single" w:color="auto" w:sz="4" w:space="1"/>
          <w:right w:val="single" w:color="auto" w:sz="4" w:space="4"/>
        </w:pBdr>
        <w:tabs>
          <w:tab w:val="left" w:pos="6120"/>
        </w:tabs>
        <w:rPr>
          <w:rFonts w:ascii="宋体" w:hAnsi="宋体" w:cs="Arial"/>
          <w:i/>
          <w:color w:val="auto"/>
          <w:sz w:val="16"/>
          <w:szCs w:val="16"/>
          <w:highlight w:val="none"/>
        </w:rPr>
      </w:pPr>
      <w:r>
        <w:rPr>
          <w:rFonts w:hint="eastAsia" w:ascii="宋体" w:hAnsi="宋体" w:cs="Arial"/>
          <w:i/>
          <w:color w:val="auto"/>
          <w:sz w:val="16"/>
          <w:szCs w:val="16"/>
          <w:highlight w:val="none"/>
        </w:rPr>
        <w:t>3.投标人应根据《第四部分 评标原则和方法》中《附表四 技术（服务）评分表》评审项目的各项内容，按顺序填写《技术（服务）评分页码对应表》；</w:t>
      </w:r>
    </w:p>
    <w:p>
      <w:pPr>
        <w:pBdr>
          <w:top w:val="single" w:color="auto" w:sz="4" w:space="1"/>
          <w:left w:val="single" w:color="auto" w:sz="4" w:space="4"/>
          <w:bottom w:val="single" w:color="auto" w:sz="4" w:space="1"/>
          <w:right w:val="single" w:color="auto" w:sz="4" w:space="4"/>
        </w:pBdr>
        <w:tabs>
          <w:tab w:val="left" w:pos="6120"/>
        </w:tabs>
        <w:rPr>
          <w:rFonts w:ascii="宋体" w:hAnsi="宋体" w:cs="Arial"/>
          <w:i/>
          <w:color w:val="auto"/>
          <w:sz w:val="16"/>
          <w:szCs w:val="16"/>
          <w:highlight w:val="none"/>
        </w:rPr>
      </w:pPr>
      <w:r>
        <w:rPr>
          <w:rFonts w:hint="eastAsia" w:ascii="宋体" w:hAnsi="宋体" w:cs="Arial"/>
          <w:i/>
          <w:color w:val="auto"/>
          <w:sz w:val="16"/>
          <w:szCs w:val="16"/>
          <w:highlight w:val="none"/>
        </w:rPr>
        <w:t>4.“提交内容”列填写投标人根据评审细则提交的材料。</w:t>
      </w:r>
    </w:p>
    <w:p>
      <w:pPr>
        <w:adjustRightInd w:val="0"/>
        <w:snapToGrid w:val="0"/>
        <w:spacing w:line="360" w:lineRule="auto"/>
        <w:jc w:val="center"/>
        <w:outlineLvl w:val="1"/>
        <w:rPr>
          <w:rFonts w:ascii="宋体" w:hAnsi="宋体"/>
          <w:color w:val="auto"/>
          <w:sz w:val="28"/>
          <w:szCs w:val="28"/>
          <w:highlight w:val="none"/>
        </w:rPr>
      </w:pPr>
      <w:r>
        <w:rPr>
          <w:rFonts w:ascii="宋体" w:hAnsi="宋体"/>
          <w:color w:val="auto"/>
          <w:sz w:val="28"/>
          <w:szCs w:val="28"/>
          <w:highlight w:val="none"/>
        </w:rPr>
        <w:br w:type="page"/>
      </w:r>
      <w:bookmarkStart w:id="44" w:name="_Toc8141"/>
      <w:r>
        <w:rPr>
          <w:rFonts w:hint="eastAsia" w:ascii="宋体" w:hAnsi="宋体"/>
          <w:b/>
          <w:bCs/>
          <w:color w:val="auto"/>
          <w:sz w:val="28"/>
          <w:szCs w:val="28"/>
          <w:highlight w:val="none"/>
        </w:rPr>
        <w:t>二、资格性符合性</w:t>
      </w:r>
      <w:bookmarkEnd w:id="44"/>
      <w:r>
        <w:rPr>
          <w:rFonts w:hint="eastAsia" w:ascii="宋体" w:hAnsi="宋体"/>
          <w:b/>
          <w:bCs/>
          <w:color w:val="auto"/>
          <w:sz w:val="28"/>
          <w:szCs w:val="28"/>
          <w:highlight w:val="none"/>
        </w:rPr>
        <w:t>部分</w:t>
      </w:r>
    </w:p>
    <w:p>
      <w:pPr>
        <w:spacing w:before="100" w:beforeAutospacing="1" w:after="100" w:afterAutospacing="1"/>
        <w:jc w:val="left"/>
        <w:rPr>
          <w:rFonts w:ascii="宋体" w:hAnsi="宋体"/>
          <w:b/>
          <w:bCs/>
          <w:color w:val="auto"/>
          <w:sz w:val="24"/>
          <w:highlight w:val="none"/>
        </w:rPr>
      </w:pPr>
      <w:r>
        <w:rPr>
          <w:rFonts w:hint="eastAsia" w:ascii="宋体" w:hAnsi="宋体"/>
          <w:b/>
          <w:bCs/>
          <w:color w:val="auto"/>
          <w:sz w:val="24"/>
          <w:highlight w:val="none"/>
        </w:rPr>
        <w:t>2.1投标函</w:t>
      </w:r>
    </w:p>
    <w:p>
      <w:pPr>
        <w:adjustRightInd w:val="0"/>
        <w:snapToGrid w:val="0"/>
        <w:spacing w:line="288" w:lineRule="auto"/>
        <w:jc w:val="center"/>
        <w:rPr>
          <w:rFonts w:ascii="宋体" w:hAnsi="宋体"/>
          <w:b/>
          <w:bCs/>
          <w:color w:val="auto"/>
          <w:sz w:val="28"/>
          <w:szCs w:val="28"/>
          <w:highlight w:val="none"/>
        </w:rPr>
      </w:pPr>
      <w:r>
        <w:rPr>
          <w:rFonts w:hint="eastAsia" w:ascii="宋体" w:hAnsi="宋体"/>
          <w:b/>
          <w:bCs/>
          <w:color w:val="auto"/>
          <w:sz w:val="28"/>
          <w:szCs w:val="28"/>
          <w:highlight w:val="none"/>
        </w:rPr>
        <w:t>投标函</w:t>
      </w:r>
    </w:p>
    <w:p>
      <w:pPr>
        <w:adjustRightInd w:val="0"/>
        <w:snapToGrid w:val="0"/>
        <w:spacing w:line="288" w:lineRule="auto"/>
        <w:jc w:val="center"/>
        <w:rPr>
          <w:rFonts w:ascii="宋体" w:hAnsi="宋体"/>
          <w:b/>
          <w:bCs/>
          <w:color w:val="auto"/>
          <w:sz w:val="28"/>
          <w:szCs w:val="28"/>
          <w:highlight w:val="none"/>
        </w:rPr>
      </w:pPr>
    </w:p>
    <w:p>
      <w:pPr>
        <w:adjustRightInd w:val="0"/>
        <w:snapToGrid w:val="0"/>
        <w:spacing w:line="288" w:lineRule="auto"/>
        <w:rPr>
          <w:rFonts w:ascii="宋体" w:hAnsi="宋体"/>
          <w:color w:val="auto"/>
          <w:szCs w:val="21"/>
          <w:highlight w:val="none"/>
        </w:rPr>
      </w:pPr>
      <w:r>
        <w:rPr>
          <w:rFonts w:hint="eastAsia" w:ascii="宋体" w:hAnsi="宋体"/>
          <w:color w:val="auto"/>
          <w:szCs w:val="21"/>
          <w:highlight w:val="none"/>
          <w:u w:val="single"/>
        </w:rPr>
        <w:t>（国家税务总局罗定市税务局/广东广招招标采购有限公司）</w:t>
      </w:r>
      <w:r>
        <w:rPr>
          <w:rFonts w:hint="eastAsia" w:ascii="宋体" w:hAnsi="宋体"/>
          <w:color w:val="auto"/>
          <w:szCs w:val="21"/>
          <w:highlight w:val="none"/>
        </w:rPr>
        <w:t>：</w:t>
      </w:r>
    </w:p>
    <w:p>
      <w:pPr>
        <w:autoSpaceDE w:val="0"/>
        <w:autoSpaceDN w:val="0"/>
        <w:adjustRightInd w:val="0"/>
        <w:spacing w:line="288" w:lineRule="auto"/>
        <w:ind w:left="105" w:leftChars="50" w:right="26" w:firstLine="315" w:firstLineChars="150"/>
        <w:rPr>
          <w:rFonts w:ascii="宋体" w:hAnsi="宋体"/>
          <w:color w:val="auto"/>
          <w:kern w:val="0"/>
          <w:szCs w:val="21"/>
          <w:highlight w:val="none"/>
        </w:rPr>
      </w:pPr>
      <w:r>
        <w:rPr>
          <w:rFonts w:hint="eastAsia" w:ascii="宋体" w:hAnsi="宋体"/>
          <w:color w:val="auto"/>
          <w:kern w:val="0"/>
          <w:szCs w:val="21"/>
          <w:highlight w:val="none"/>
        </w:rPr>
        <w:t>依据贵方</w:t>
      </w:r>
      <w:r>
        <w:rPr>
          <w:rFonts w:hint="eastAsia" w:ascii="宋体" w:hAnsi="宋体"/>
          <w:color w:val="auto"/>
          <w:szCs w:val="21"/>
          <w:highlight w:val="none"/>
        </w:rPr>
        <w:t>采购（</w:t>
      </w:r>
      <w:r>
        <w:rPr>
          <w:rFonts w:hint="eastAsia" w:ascii="宋体" w:hAnsi="宋体"/>
          <w:color w:val="auto"/>
          <w:szCs w:val="21"/>
          <w:highlight w:val="none"/>
          <w:u w:val="single"/>
        </w:rPr>
        <w:t xml:space="preserve">项目名称： 国家税务总局罗定市税务局机关及下属税务分局物业管理服务项目，项目编号：0877-23GZTP01Y774） </w:t>
      </w:r>
      <w:r>
        <w:rPr>
          <w:rFonts w:hint="eastAsia" w:ascii="宋体" w:hAnsi="宋体"/>
          <w:color w:val="auto"/>
          <w:kern w:val="0"/>
          <w:szCs w:val="21"/>
          <w:highlight w:val="none"/>
        </w:rPr>
        <w:t>项目招标采购货物及服务的招标公告，我方代表</w:t>
      </w:r>
      <w:r>
        <w:rPr>
          <w:rFonts w:hint="eastAsia" w:ascii="宋体" w:hAnsi="宋体" w:cs="宋体"/>
          <w:color w:val="auto"/>
          <w:kern w:val="0"/>
          <w:szCs w:val="21"/>
          <w:highlight w:val="none"/>
          <w:u w:val="single"/>
        </w:rPr>
        <w:t xml:space="preserve"> </w:t>
      </w:r>
      <w:r>
        <w:rPr>
          <w:rFonts w:hint="eastAsia" w:ascii="宋体" w:hAnsi="宋体" w:cs="宋体"/>
          <w:i/>
          <w:color w:val="auto"/>
          <w:szCs w:val="21"/>
          <w:highlight w:val="none"/>
          <w:u w:val="single"/>
        </w:rPr>
        <w:t xml:space="preserve">（填写姓名、职务） </w:t>
      </w:r>
      <w:r>
        <w:rPr>
          <w:rFonts w:hint="eastAsia" w:ascii="宋体" w:hAnsi="宋体"/>
          <w:color w:val="auto"/>
          <w:kern w:val="0"/>
          <w:szCs w:val="21"/>
          <w:highlight w:val="none"/>
        </w:rPr>
        <w:t>经正式授权并代表</w:t>
      </w:r>
      <w:r>
        <w:rPr>
          <w:rFonts w:hint="eastAsia" w:ascii="宋体" w:hAnsi="宋体" w:cs="宋体"/>
          <w:i/>
          <w:color w:val="auto"/>
          <w:szCs w:val="21"/>
          <w:highlight w:val="none"/>
          <w:u w:val="single"/>
        </w:rPr>
        <w:t xml:space="preserve"> （填写投标人名称、地址）</w:t>
      </w:r>
      <w:r>
        <w:rPr>
          <w:rFonts w:hint="eastAsia" w:ascii="宋体" w:hAnsi="宋体" w:cs="宋体"/>
          <w:i/>
          <w:iCs/>
          <w:color w:val="auto"/>
          <w:kern w:val="0"/>
          <w:szCs w:val="21"/>
          <w:highlight w:val="none"/>
          <w:u w:val="single"/>
        </w:rPr>
        <w:t xml:space="preserve"> </w:t>
      </w:r>
      <w:r>
        <w:rPr>
          <w:rFonts w:hint="eastAsia" w:ascii="宋体" w:hAnsi="宋体"/>
          <w:color w:val="auto"/>
          <w:kern w:val="0"/>
          <w:szCs w:val="21"/>
          <w:highlight w:val="none"/>
        </w:rPr>
        <w:t>提交下述文件正本</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份，副本</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份。</w:t>
      </w:r>
    </w:p>
    <w:p>
      <w:pPr>
        <w:autoSpaceDE w:val="0"/>
        <w:autoSpaceDN w:val="0"/>
        <w:adjustRightInd w:val="0"/>
        <w:spacing w:line="288" w:lineRule="auto"/>
        <w:ind w:right="246" w:firstLine="420" w:firstLineChars="200"/>
        <w:rPr>
          <w:rFonts w:ascii="宋体" w:hAnsi="宋体"/>
          <w:color w:val="auto"/>
          <w:kern w:val="0"/>
          <w:szCs w:val="21"/>
          <w:highlight w:val="none"/>
        </w:rPr>
      </w:pPr>
      <w:r>
        <w:rPr>
          <w:rFonts w:hint="eastAsia" w:ascii="宋体" w:hAnsi="宋体"/>
          <w:color w:val="auto"/>
          <w:kern w:val="0"/>
          <w:szCs w:val="21"/>
          <w:highlight w:val="none"/>
        </w:rPr>
        <w:t>1.</w:t>
      </w:r>
      <w:r>
        <w:rPr>
          <w:rFonts w:hint="eastAsia" w:ascii="宋体" w:hAnsi="宋体"/>
          <w:color w:val="auto"/>
          <w:szCs w:val="21"/>
          <w:highlight w:val="none"/>
        </w:rPr>
        <w:t>自查表</w:t>
      </w:r>
      <w:r>
        <w:rPr>
          <w:rFonts w:hint="eastAsia" w:ascii="宋体" w:hAnsi="宋体"/>
          <w:color w:val="auto"/>
          <w:kern w:val="0"/>
          <w:szCs w:val="21"/>
          <w:highlight w:val="none"/>
        </w:rPr>
        <w:t>；</w:t>
      </w:r>
    </w:p>
    <w:p>
      <w:pPr>
        <w:autoSpaceDE w:val="0"/>
        <w:autoSpaceDN w:val="0"/>
        <w:adjustRightInd w:val="0"/>
        <w:spacing w:line="288" w:lineRule="auto"/>
        <w:ind w:right="246" w:firstLine="420" w:firstLineChars="200"/>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szCs w:val="21"/>
          <w:highlight w:val="none"/>
        </w:rPr>
        <w:t>资格性符合性部分</w:t>
      </w:r>
      <w:r>
        <w:rPr>
          <w:rFonts w:hint="eastAsia" w:ascii="宋体" w:hAnsi="宋体"/>
          <w:color w:val="auto"/>
          <w:kern w:val="0"/>
          <w:szCs w:val="21"/>
          <w:highlight w:val="none"/>
        </w:rPr>
        <w:t>；</w:t>
      </w:r>
    </w:p>
    <w:p>
      <w:pPr>
        <w:autoSpaceDE w:val="0"/>
        <w:autoSpaceDN w:val="0"/>
        <w:adjustRightInd w:val="0"/>
        <w:spacing w:line="288" w:lineRule="auto"/>
        <w:ind w:right="246" w:firstLine="420" w:firstLineChars="200"/>
        <w:rPr>
          <w:rFonts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szCs w:val="21"/>
          <w:highlight w:val="none"/>
        </w:rPr>
        <w:t>商务部分</w:t>
      </w:r>
      <w:r>
        <w:rPr>
          <w:rFonts w:hint="eastAsia" w:ascii="宋体" w:hAnsi="宋体"/>
          <w:color w:val="auto"/>
          <w:kern w:val="0"/>
          <w:szCs w:val="21"/>
          <w:highlight w:val="none"/>
        </w:rPr>
        <w:t>；</w:t>
      </w:r>
    </w:p>
    <w:p>
      <w:pPr>
        <w:autoSpaceDE w:val="0"/>
        <w:autoSpaceDN w:val="0"/>
        <w:adjustRightInd w:val="0"/>
        <w:spacing w:line="288" w:lineRule="auto"/>
        <w:ind w:right="246" w:firstLine="420" w:firstLineChars="200"/>
        <w:rPr>
          <w:rFonts w:ascii="宋体" w:hAnsi="宋体"/>
          <w:color w:val="auto"/>
          <w:kern w:val="0"/>
          <w:szCs w:val="21"/>
          <w:highlight w:val="none"/>
        </w:rPr>
      </w:pPr>
      <w:r>
        <w:rPr>
          <w:rFonts w:hint="eastAsia" w:ascii="宋体" w:hAnsi="宋体"/>
          <w:color w:val="auto"/>
          <w:kern w:val="0"/>
          <w:szCs w:val="21"/>
          <w:highlight w:val="none"/>
        </w:rPr>
        <w:t>4.技术（服务）部分；</w:t>
      </w:r>
    </w:p>
    <w:p>
      <w:pPr>
        <w:autoSpaceDE w:val="0"/>
        <w:autoSpaceDN w:val="0"/>
        <w:adjustRightInd w:val="0"/>
        <w:spacing w:line="288" w:lineRule="auto"/>
        <w:ind w:right="246" w:firstLine="420" w:firstLineChars="200"/>
        <w:rPr>
          <w:rFonts w:ascii="宋体" w:hAnsi="宋体"/>
          <w:color w:val="auto"/>
          <w:szCs w:val="21"/>
          <w:highlight w:val="none"/>
        </w:rPr>
      </w:pPr>
      <w:r>
        <w:rPr>
          <w:rFonts w:hint="eastAsia" w:ascii="宋体" w:hAnsi="宋体"/>
          <w:color w:val="auto"/>
          <w:kern w:val="0"/>
          <w:szCs w:val="21"/>
          <w:highlight w:val="none"/>
        </w:rPr>
        <w:t>5.</w:t>
      </w:r>
      <w:r>
        <w:rPr>
          <w:rFonts w:hint="eastAsia" w:ascii="宋体" w:hAnsi="宋体"/>
          <w:color w:val="auto"/>
          <w:szCs w:val="21"/>
          <w:highlight w:val="none"/>
        </w:rPr>
        <w:t>价格部分。</w:t>
      </w:r>
    </w:p>
    <w:p>
      <w:pPr>
        <w:autoSpaceDE w:val="0"/>
        <w:autoSpaceDN w:val="0"/>
        <w:adjustRightInd w:val="0"/>
        <w:spacing w:line="288" w:lineRule="auto"/>
        <w:ind w:right="246"/>
        <w:rPr>
          <w:rFonts w:ascii="宋体" w:hAnsi="宋体"/>
          <w:color w:val="auto"/>
          <w:kern w:val="0"/>
          <w:szCs w:val="21"/>
          <w:highlight w:val="none"/>
        </w:rPr>
      </w:pPr>
      <w:r>
        <w:rPr>
          <w:rFonts w:hint="eastAsia" w:ascii="宋体" w:hAnsi="宋体"/>
          <w:b/>
          <w:color w:val="auto"/>
          <w:kern w:val="0"/>
          <w:szCs w:val="21"/>
          <w:highlight w:val="none"/>
        </w:rPr>
        <w:t>在此，我方声明如下：</w:t>
      </w:r>
    </w:p>
    <w:p>
      <w:pPr>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1.同意并接受招标文件的各项要求，遵守招标文件中的各项规定，按招标文件的要求提供报价。</w:t>
      </w:r>
    </w:p>
    <w:p>
      <w:pPr>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2.投标有效期为递交投标文件之日起 </w:t>
      </w:r>
      <w:r>
        <w:rPr>
          <w:rFonts w:hint="eastAsia" w:ascii="宋体" w:hAnsi="宋体"/>
          <w:color w:val="auto"/>
          <w:szCs w:val="21"/>
          <w:highlight w:val="none"/>
          <w:u w:val="single"/>
        </w:rPr>
        <w:t xml:space="preserve">90 </w:t>
      </w:r>
      <w:r>
        <w:rPr>
          <w:rFonts w:hint="eastAsia" w:ascii="宋体" w:hAnsi="宋体"/>
          <w:color w:val="auto"/>
          <w:szCs w:val="21"/>
          <w:highlight w:val="none"/>
        </w:rPr>
        <w:t>天，如中标，有效期将延至合同终止日为止。</w:t>
      </w:r>
    </w:p>
    <w:p>
      <w:pPr>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3.我方已经详细地阅读了全部招标文件及其附件，包括全部澄清及参考文件(如果有的话)。我方认为此招标文件没有倾向性，也没有存在排斥潜在投标人的内容。我方已完全清晰理解招标文件的要求，不存在任何含糊不清和误解之处，同意放弃对这些文件所提出的异议和质疑的权利。</w:t>
      </w:r>
    </w:p>
    <w:p>
      <w:pPr>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4.我方已毫无保留地向贵方提供一切所需的证明材料。</w:t>
      </w:r>
    </w:p>
    <w:p>
      <w:pPr>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5.我方承诺在本次投标文件中提供的一切文件，无论是原件还是复印件均为真实和准确的，绝无任何虚假、伪造和夸大的成份，否则，愿承担相应的后果和法律责任。</w:t>
      </w:r>
    </w:p>
    <w:p>
      <w:pPr>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6.我方尊重评委会所作的评定结果，同时清楚理解到报价最低并非意味着必定获得中标资格。</w:t>
      </w:r>
    </w:p>
    <w:p>
      <w:pPr>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7.我方同意如在本项目开标后、投标有效期之内撤回投标，或中标后未在规定期限内签订合同并送贵方备案的，贵方将不退还投标保证金(如果有的话)。</w:t>
      </w:r>
    </w:p>
    <w:p>
      <w:pPr>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8.我方保证，采购人在中华人民共和国境内使用我方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9.我方如果中标，保证履行投标文件中承诺的全部责任和义务，并按招标文件规定向采购代理机构足额缴纳中标服务费(如果《第三部分　投标人须知》写明由中标人缴纳的话)。</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10.我方具备《中华人民共和国政府采购法》第二十二条规定的条件，承诺如下：</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（1）我方具有独立承担民事责任的能力；</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（2）我方具有良好的商业信誉和健全的财务会计制度；</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（3）我方具有履行合同所必需的设备和专业技术能力；</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（4）我方具有依法缴纳税收和社会保障资金的良好记录；</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（5）我方参加本项目政府采购活动前3年内在经营活动中没有重大违法记录。</w:t>
      </w:r>
    </w:p>
    <w:p>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（6）我方符合法律、行政法规规定的其他条件。</w:t>
      </w:r>
    </w:p>
    <w:p>
      <w:pPr>
        <w:autoSpaceDE w:val="0"/>
        <w:autoSpaceDN w:val="0"/>
        <w:adjustRightInd w:val="0"/>
        <w:spacing w:line="288" w:lineRule="auto"/>
        <w:ind w:right="246" w:firstLine="420" w:firstLineChars="200"/>
        <w:rPr>
          <w:rFonts w:ascii="宋体" w:hAnsi="宋体"/>
          <w:color w:val="auto"/>
          <w:kern w:val="0"/>
          <w:szCs w:val="21"/>
          <w:highlight w:val="none"/>
        </w:rPr>
      </w:pPr>
      <w:r>
        <w:rPr>
          <w:rFonts w:hint="eastAsia" w:ascii="宋体" w:hAnsi="宋体"/>
          <w:color w:val="auto"/>
          <w:szCs w:val="21"/>
          <w:highlight w:val="none"/>
        </w:rPr>
        <w:t>11.我方对在本函及投标文件中所作的所有承诺承担法律责任。</w:t>
      </w:r>
    </w:p>
    <w:p>
      <w:pPr>
        <w:adjustRightInd w:val="0"/>
        <w:snapToGrid w:val="0"/>
        <w:spacing w:line="288" w:lineRule="auto"/>
        <w:rPr>
          <w:rFonts w:ascii="宋体" w:hAnsi="宋体"/>
          <w:color w:val="auto"/>
          <w:szCs w:val="21"/>
          <w:highlight w:val="none"/>
        </w:rPr>
      </w:pPr>
    </w:p>
    <w:p>
      <w:pPr>
        <w:adjustRightInd w:val="0"/>
        <w:snapToGrid w:val="0"/>
        <w:spacing w:line="288" w:lineRule="auto"/>
        <w:rPr>
          <w:rFonts w:ascii="宋体" w:hAnsi="宋体"/>
          <w:color w:val="auto"/>
          <w:szCs w:val="21"/>
          <w:highlight w:val="none"/>
          <w:u w:val="single"/>
        </w:rPr>
      </w:pPr>
      <w:r>
        <w:rPr>
          <w:rFonts w:hint="eastAsia" w:ascii="宋体" w:hAnsi="宋体"/>
          <w:color w:val="auto"/>
          <w:szCs w:val="21"/>
          <w:highlight w:val="none"/>
        </w:rPr>
        <w:t>投标人法定代表人（或法定代表人授权代表）签字或盖私章：</w:t>
      </w:r>
      <w:r>
        <w:rPr>
          <w:rFonts w:hint="eastAsia" w:ascii="宋体" w:hAnsi="宋体"/>
          <w:color w:val="auto"/>
          <w:szCs w:val="21"/>
          <w:highlight w:val="none"/>
          <w:u w:val="single"/>
        </w:rPr>
        <w:t xml:space="preserve">             </w:t>
      </w:r>
    </w:p>
    <w:p>
      <w:pPr>
        <w:adjustRightInd w:val="0"/>
        <w:snapToGrid w:val="0"/>
        <w:spacing w:line="288" w:lineRule="auto"/>
        <w:ind w:firstLine="359" w:firstLineChars="171"/>
        <w:rPr>
          <w:rFonts w:ascii="宋体" w:hAnsi="宋体"/>
          <w:color w:val="auto"/>
          <w:szCs w:val="21"/>
          <w:highlight w:val="none"/>
        </w:rPr>
      </w:pPr>
    </w:p>
    <w:p>
      <w:pPr>
        <w:adjustRightInd w:val="0"/>
        <w:snapToGrid w:val="0"/>
        <w:spacing w:line="288" w:lineRule="auto"/>
        <w:rPr>
          <w:rFonts w:ascii="宋体" w:hAnsi="宋体"/>
          <w:color w:val="auto"/>
          <w:szCs w:val="21"/>
          <w:highlight w:val="none"/>
        </w:rPr>
      </w:pPr>
      <w:r>
        <w:rPr>
          <w:rFonts w:hint="eastAsia" w:ascii="宋体" w:hAnsi="宋体"/>
          <w:color w:val="auto"/>
          <w:szCs w:val="21"/>
          <w:highlight w:val="none"/>
        </w:rPr>
        <w:t>投标人名称(</w:t>
      </w:r>
      <w:r>
        <w:rPr>
          <w:rFonts w:hint="eastAsia" w:ascii="宋体" w:hAnsi="宋体"/>
          <w:color w:val="auto"/>
          <w:highlight w:val="none"/>
        </w:rPr>
        <w:t>单位盖</w:t>
      </w:r>
      <w:r>
        <w:rPr>
          <w:rFonts w:hint="eastAsia" w:ascii="宋体" w:hAnsi="宋体"/>
          <w:color w:val="auto"/>
          <w:spacing w:val="4"/>
          <w:highlight w:val="none"/>
        </w:rPr>
        <w:t>公章</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pPr>
        <w:adjustRightInd w:val="0"/>
        <w:snapToGrid w:val="0"/>
        <w:spacing w:line="288" w:lineRule="auto"/>
        <w:ind w:firstLine="359" w:firstLineChars="171"/>
        <w:rPr>
          <w:rFonts w:ascii="宋体" w:hAnsi="宋体"/>
          <w:color w:val="auto"/>
          <w:szCs w:val="21"/>
          <w:highlight w:val="none"/>
        </w:rPr>
      </w:pPr>
    </w:p>
    <w:p>
      <w:pPr>
        <w:adjustRightInd w:val="0"/>
        <w:snapToGrid w:val="0"/>
        <w:spacing w:line="288" w:lineRule="auto"/>
        <w:rPr>
          <w:rFonts w:ascii="宋体" w:hAnsi="宋体"/>
          <w:color w:val="auto"/>
          <w:szCs w:val="21"/>
          <w:highlight w:val="none"/>
          <w:u w:val="singl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p>
    <w:p>
      <w:pPr>
        <w:adjustRightInd w:val="0"/>
        <w:snapToGrid w:val="0"/>
        <w:spacing w:line="288" w:lineRule="auto"/>
        <w:rPr>
          <w:rFonts w:ascii="宋体" w:hAnsi="宋体"/>
          <w:color w:val="auto"/>
          <w:szCs w:val="21"/>
          <w:highlight w:val="none"/>
          <w:u w:val="single"/>
        </w:rPr>
      </w:pPr>
    </w:p>
    <w:p>
      <w:pPr>
        <w:adjustRightInd w:val="0"/>
        <w:snapToGrid w:val="0"/>
        <w:spacing w:line="288" w:lineRule="auto"/>
        <w:rPr>
          <w:rFonts w:ascii="宋体" w:hAnsi="宋体"/>
          <w:color w:val="auto"/>
          <w:szCs w:val="21"/>
          <w:highlight w:val="none"/>
          <w:u w:val="single"/>
        </w:rPr>
      </w:pPr>
    </w:p>
    <w:p>
      <w:pPr>
        <w:adjustRightInd w:val="0"/>
        <w:snapToGrid w:val="0"/>
        <w:spacing w:line="288" w:lineRule="auto"/>
        <w:rPr>
          <w:rFonts w:ascii="宋体" w:hAnsi="宋体"/>
          <w:color w:val="auto"/>
          <w:szCs w:val="21"/>
          <w:highlight w:val="none"/>
          <w:u w:val="single"/>
        </w:rPr>
      </w:pPr>
    </w:p>
    <w:p>
      <w:pPr>
        <w:rPr>
          <w:rFonts w:ascii="宋体" w:hAnsi="宋体"/>
          <w:b/>
          <w:bCs/>
          <w:color w:val="auto"/>
          <w:sz w:val="16"/>
          <w:szCs w:val="16"/>
          <w:highlight w:val="none"/>
        </w:rPr>
      </w:pPr>
      <w:r>
        <w:rPr>
          <w:rFonts w:ascii="宋体" w:hAnsi="宋体"/>
          <w:b/>
          <w:bCs/>
          <w:color w:val="auto"/>
          <w:sz w:val="16"/>
          <w:szCs w:val="16"/>
          <w:highlight w:val="none"/>
        </w:rPr>
        <w:t>--</w:t>
      </w:r>
      <w:r>
        <w:rPr>
          <w:rFonts w:hint="eastAsia" w:ascii="宋体" w:hAnsi="宋体"/>
          <w:b/>
          <w:bCs/>
          <w:color w:val="auto"/>
          <w:sz w:val="16"/>
          <w:szCs w:val="16"/>
          <w:highlight w:val="none"/>
        </w:rPr>
        <w:t>备注</w:t>
      </w:r>
      <w:r>
        <w:rPr>
          <w:rFonts w:ascii="宋体" w:hAnsi="宋体"/>
          <w:b/>
          <w:bCs/>
          <w:color w:val="auto"/>
          <w:sz w:val="16"/>
          <w:szCs w:val="16"/>
          <w:highlight w:val="none"/>
        </w:rPr>
        <w:t>--</w:t>
      </w:r>
    </w:p>
    <w:p>
      <w:pPr>
        <w:pBdr>
          <w:top w:val="single" w:color="auto" w:sz="4" w:space="1"/>
          <w:left w:val="single" w:color="auto" w:sz="4" w:space="4"/>
          <w:bottom w:val="single" w:color="auto" w:sz="4" w:space="1"/>
          <w:right w:val="single" w:color="auto" w:sz="4" w:space="4"/>
        </w:pBdr>
        <w:tabs>
          <w:tab w:val="left" w:pos="6120"/>
        </w:tabs>
        <w:rPr>
          <w:rFonts w:ascii="宋体" w:hAnsi="宋体" w:cs="Arial"/>
          <w:i/>
          <w:color w:val="auto"/>
          <w:sz w:val="16"/>
          <w:szCs w:val="16"/>
          <w:highlight w:val="none"/>
        </w:rPr>
      </w:pPr>
      <w:r>
        <w:rPr>
          <w:rFonts w:hint="eastAsia" w:ascii="宋体" w:hAnsi="宋体" w:cs="Arial"/>
          <w:i/>
          <w:color w:val="auto"/>
          <w:sz w:val="16"/>
          <w:szCs w:val="16"/>
          <w:highlight w:val="none"/>
        </w:rPr>
        <w:t>《第六部分 投标文件格式》所有斜体字仅用于指导投标人编制投标文件，投标人应在最终提交的投标文件中将其删除。</w:t>
      </w:r>
    </w:p>
    <w:p>
      <w:pPr>
        <w:adjustRightInd w:val="0"/>
        <w:snapToGrid w:val="0"/>
        <w:spacing w:line="288" w:lineRule="auto"/>
        <w:rPr>
          <w:rFonts w:ascii="宋体" w:hAnsi="宋体"/>
          <w:b/>
          <w:bCs/>
          <w:color w:val="auto"/>
          <w:sz w:val="24"/>
          <w:highlight w:val="none"/>
        </w:rPr>
      </w:pPr>
      <w:r>
        <w:rPr>
          <w:rFonts w:hint="eastAsia" w:ascii="宋体" w:hAnsi="宋体"/>
          <w:color w:val="auto"/>
          <w:szCs w:val="21"/>
          <w:highlight w:val="none"/>
          <w:u w:val="single"/>
        </w:rPr>
        <w:br w:type="page"/>
      </w:r>
      <w:r>
        <w:rPr>
          <w:rFonts w:hint="eastAsia" w:ascii="宋体" w:hAnsi="宋体"/>
          <w:b/>
          <w:bCs/>
          <w:color w:val="auto"/>
          <w:sz w:val="24"/>
          <w:highlight w:val="none"/>
        </w:rPr>
        <w:t>2.2.1 法定代表人资格证明书</w:t>
      </w:r>
    </w:p>
    <w:p>
      <w:pPr>
        <w:spacing w:line="300" w:lineRule="auto"/>
        <w:jc w:val="center"/>
        <w:rPr>
          <w:rFonts w:ascii="宋体" w:hAnsi="宋体"/>
          <w:b/>
          <w:color w:val="auto"/>
          <w:sz w:val="28"/>
          <w:szCs w:val="28"/>
          <w:highlight w:val="none"/>
        </w:rPr>
      </w:pPr>
    </w:p>
    <w:p>
      <w:pPr>
        <w:spacing w:line="300" w:lineRule="auto"/>
        <w:jc w:val="center"/>
        <w:rPr>
          <w:rFonts w:ascii="宋体" w:hAnsi="宋体"/>
          <w:b/>
          <w:color w:val="auto"/>
          <w:sz w:val="28"/>
          <w:szCs w:val="28"/>
          <w:highlight w:val="none"/>
        </w:rPr>
      </w:pPr>
      <w:r>
        <w:rPr>
          <w:rFonts w:hint="eastAsia" w:ascii="宋体" w:hAnsi="宋体"/>
          <w:b/>
          <w:color w:val="auto"/>
          <w:sz w:val="28"/>
          <w:szCs w:val="28"/>
          <w:highlight w:val="none"/>
        </w:rPr>
        <w:t>法定代表人资格证明书</w:t>
      </w:r>
    </w:p>
    <w:p>
      <w:pPr>
        <w:spacing w:line="30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国家税务总局罗定市税务局/广东广招招标采购有限公司</w:t>
      </w:r>
      <w:r>
        <w:rPr>
          <w:rFonts w:hint="eastAsia" w:ascii="宋体" w:hAnsi="宋体"/>
          <w:color w:val="auto"/>
          <w:szCs w:val="21"/>
          <w:highlight w:val="none"/>
        </w:rPr>
        <w:t>：</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女士/小姐/先生，现任我单位</w:t>
      </w:r>
      <w:r>
        <w:rPr>
          <w:rFonts w:hint="eastAsia" w:ascii="宋体" w:hAnsi="宋体"/>
          <w:color w:val="auto"/>
          <w:szCs w:val="21"/>
          <w:highlight w:val="none"/>
          <w:u w:val="single"/>
        </w:rPr>
        <w:t xml:space="preserve">          </w:t>
      </w:r>
      <w:r>
        <w:rPr>
          <w:rFonts w:hint="eastAsia" w:ascii="宋体" w:hAnsi="宋体"/>
          <w:color w:val="auto"/>
          <w:szCs w:val="21"/>
          <w:highlight w:val="none"/>
        </w:rPr>
        <w:t>职务，为法定代表人，特此证明。</w:t>
      </w:r>
    </w:p>
    <w:p>
      <w:pPr>
        <w:spacing w:line="360" w:lineRule="auto"/>
        <w:ind w:firstLine="210" w:firstLineChars="100"/>
        <w:rPr>
          <w:rFonts w:ascii="宋体" w:hAnsi="宋体"/>
          <w:color w:val="auto"/>
          <w:szCs w:val="21"/>
          <w:highlight w:val="none"/>
        </w:rPr>
      </w:pPr>
    </w:p>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投标人名称</w:t>
      </w:r>
      <w:r>
        <w:rPr>
          <w:rFonts w:hint="eastAsia" w:ascii="宋体" w:hAnsi="宋体"/>
          <w:b/>
          <w:bCs/>
          <w:color w:val="auto"/>
          <w:szCs w:val="21"/>
          <w:highlight w:val="none"/>
        </w:rPr>
        <w:t>（</w:t>
      </w:r>
      <w:r>
        <w:rPr>
          <w:rFonts w:hint="eastAsia" w:ascii="宋体" w:hAnsi="宋体"/>
          <w:b/>
          <w:bCs/>
          <w:color w:val="auto"/>
          <w:highlight w:val="none"/>
        </w:rPr>
        <w:t>单位盖</w:t>
      </w:r>
      <w:r>
        <w:rPr>
          <w:rFonts w:hint="eastAsia" w:ascii="宋体" w:hAnsi="宋体"/>
          <w:b/>
          <w:bCs/>
          <w:color w:val="auto"/>
          <w:spacing w:val="4"/>
          <w:highlight w:val="none"/>
        </w:rPr>
        <w:t>公章</w:t>
      </w:r>
      <w:r>
        <w:rPr>
          <w:rFonts w:hint="eastAsia" w:ascii="宋体" w:hAnsi="宋体"/>
          <w:b/>
          <w:bCs/>
          <w:color w:val="auto"/>
          <w:szCs w:val="21"/>
          <w:highlight w:val="none"/>
        </w:rPr>
        <w:t>）</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pPr>
        <w:spacing w:line="360" w:lineRule="auto"/>
        <w:ind w:firstLine="210" w:firstLineChars="100"/>
        <w:rPr>
          <w:rFonts w:ascii="宋体" w:hAnsi="宋体"/>
          <w:color w:val="auto"/>
          <w:szCs w:val="21"/>
          <w:highlight w:val="none"/>
          <w:u w:val="single"/>
        </w:rPr>
      </w:pPr>
      <w:r>
        <w:rPr>
          <w:rFonts w:hint="eastAsia" w:ascii="宋体" w:hAnsi="宋体"/>
          <w:color w:val="auto"/>
          <w:szCs w:val="21"/>
          <w:highlight w:val="none"/>
        </w:rPr>
        <w:t>签发日期：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w:t>
      </w:r>
    </w:p>
    <w:p>
      <w:pPr>
        <w:spacing w:line="360" w:lineRule="auto"/>
        <w:ind w:firstLine="210" w:firstLineChars="100"/>
        <w:rPr>
          <w:rFonts w:ascii="宋体" w:hAnsi="宋体"/>
          <w:color w:val="auto"/>
          <w:szCs w:val="21"/>
          <w:highlight w:val="none"/>
        </w:rPr>
      </w:pPr>
    </w:p>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附：法定代表人性别：</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年龄：</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360" w:lineRule="auto"/>
        <w:ind w:firstLine="630" w:firstLineChars="300"/>
        <w:rPr>
          <w:rFonts w:ascii="宋体" w:hAnsi="宋体"/>
          <w:color w:val="auto"/>
          <w:szCs w:val="21"/>
          <w:highlight w:val="non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p>
    <w:p>
      <w:pPr>
        <w:spacing w:line="300" w:lineRule="auto"/>
        <w:rPr>
          <w:rFonts w:ascii="宋体" w:hAnsi="宋体"/>
          <w:color w:val="auto"/>
          <w:szCs w:val="21"/>
          <w:highlight w:val="none"/>
        </w:rPr>
      </w:pPr>
    </w:p>
    <w:p>
      <w:pPr>
        <w:spacing w:line="300" w:lineRule="auto"/>
        <w:rPr>
          <w:rFonts w:ascii="宋体" w:hAnsi="宋体"/>
          <w:b/>
          <w:color w:val="auto"/>
          <w:szCs w:val="21"/>
          <w:highlight w:val="none"/>
        </w:rPr>
      </w:pPr>
      <w:r>
        <w:rPr>
          <w:rFonts w:ascii="宋体" w:hAnsi="宋体"/>
          <w:b/>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198120</wp:posOffset>
                </wp:positionV>
                <wp:extent cx="2333625" cy="1413510"/>
                <wp:effectExtent l="4445" t="4445" r="5080" b="10795"/>
                <wp:wrapNone/>
                <wp:docPr id="1" name="自选图形 47"/>
                <wp:cNvGraphicFramePr/>
                <a:graphic xmlns:a="http://schemas.openxmlformats.org/drawingml/2006/main">
                  <a:graphicData uri="http://schemas.microsoft.com/office/word/2010/wordprocessingShape">
                    <wps:wsp>
                      <wps:cNvSpPr/>
                      <wps:spPr>
                        <a:xfrm>
                          <a:off x="0" y="0"/>
                          <a:ext cx="2333625" cy="141351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rPr>
                                <w:rFonts w:hAnsi="宋体"/>
                                <w:szCs w:val="21"/>
                              </w:rPr>
                            </w:pPr>
                          </w:p>
                          <w:p>
                            <w:pPr>
                              <w:jc w:val="center"/>
                              <w:rPr>
                                <w:rFonts w:hAnsi="宋体"/>
                                <w:szCs w:val="21"/>
                              </w:rPr>
                            </w:pPr>
                            <w:r>
                              <w:rPr>
                                <w:rFonts w:hint="eastAsia" w:hAnsi="宋体"/>
                                <w:szCs w:val="21"/>
                              </w:rPr>
                              <w:t>法定代表人</w:t>
                            </w:r>
                          </w:p>
                          <w:p>
                            <w:pPr>
                              <w:jc w:val="center"/>
                              <w:rPr>
                                <w:szCs w:val="21"/>
                              </w:rPr>
                            </w:pPr>
                            <w:r>
                              <w:rPr>
                                <w:rFonts w:hint="eastAsia" w:hAnsi="宋体"/>
                                <w:szCs w:val="21"/>
                              </w:rPr>
                              <w:t>身份证复印件（正反面）</w:t>
                            </w:r>
                          </w:p>
                          <w:p>
                            <w:pPr>
                              <w:jc w:val="center"/>
                              <w:rPr>
                                <w:szCs w:val="21"/>
                              </w:rPr>
                            </w:pPr>
                          </w:p>
                        </w:txbxContent>
                      </wps:txbx>
                      <wps:bodyPr wrap="square" upright="1"/>
                    </wps:wsp>
                  </a:graphicData>
                </a:graphic>
              </wp:anchor>
            </w:drawing>
          </mc:Choice>
          <mc:Fallback>
            <w:pict>
              <v:shape id="自选图形 47" o:spid="_x0000_s1026" o:spt="176" type="#_x0000_t176" style="position:absolute;left:0pt;margin-left:99pt;margin-top:15.6pt;height:111.3pt;width:183.75pt;z-index:251659264;mso-width-relative:page;mso-height-relative:page;" fillcolor="#FFFFFF" filled="t" stroked="t" coordsize="21600,21600" o:gfxdata="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wAUzbYAAAACgEAAA8AAAAAAAAAAQAgAAAAIgAAAGRycy9kb3ducmV2LnhtbFBLAQIU&#10;ABQAAAAIAIdO4kBm7K4sLAIAAGIEAAAOAAAAAAAAAAEAIAAAACcBAABkcnMvZTJvRG9jLnhtbFBL&#10;BQYAAAAABgAGAFkBAADFBQAAAAA=&#10;">
                <v:fill on="t" focussize="0,0"/>
                <v:stroke color="#000000" joinstyle="miter"/>
                <v:imagedata o:title=""/>
                <o:lock v:ext="edit" aspectratio="f"/>
                <v:textbox>
                  <w:txbxContent>
                    <w:p>
                      <w:pPr>
                        <w:jc w:val="center"/>
                        <w:rPr>
                          <w:rFonts w:hAnsi="宋体"/>
                          <w:szCs w:val="21"/>
                        </w:rPr>
                      </w:pPr>
                    </w:p>
                    <w:p>
                      <w:pPr>
                        <w:rPr>
                          <w:rFonts w:hAnsi="宋体"/>
                          <w:szCs w:val="21"/>
                        </w:rPr>
                      </w:pPr>
                    </w:p>
                    <w:p>
                      <w:pPr>
                        <w:jc w:val="center"/>
                        <w:rPr>
                          <w:rFonts w:hAnsi="宋体"/>
                          <w:szCs w:val="21"/>
                        </w:rPr>
                      </w:pPr>
                      <w:r>
                        <w:rPr>
                          <w:rFonts w:hint="eastAsia" w:hAnsi="宋体"/>
                          <w:szCs w:val="21"/>
                        </w:rPr>
                        <w:t>法定代表人</w:t>
                      </w:r>
                    </w:p>
                    <w:p>
                      <w:pPr>
                        <w:jc w:val="center"/>
                        <w:rPr>
                          <w:szCs w:val="21"/>
                        </w:rPr>
                      </w:pPr>
                      <w:r>
                        <w:rPr>
                          <w:rFonts w:hint="eastAsia" w:hAnsi="宋体"/>
                          <w:szCs w:val="21"/>
                        </w:rPr>
                        <w:t>身份证复印件（正反面）</w:t>
                      </w:r>
                    </w:p>
                    <w:p>
                      <w:pPr>
                        <w:jc w:val="center"/>
                        <w:rPr>
                          <w:szCs w:val="21"/>
                        </w:rPr>
                      </w:pPr>
                    </w:p>
                  </w:txbxContent>
                </v:textbox>
              </v:shape>
            </w:pict>
          </mc:Fallback>
        </mc:AlternateContent>
      </w:r>
      <w:r>
        <w:rPr>
          <w:rFonts w:hint="eastAsia" w:ascii="宋体" w:hAnsi="宋体"/>
          <w:color w:val="auto"/>
          <w:szCs w:val="21"/>
          <w:highlight w:val="none"/>
        </w:rPr>
        <w:t xml:space="preserve"> </w:t>
      </w:r>
      <w:r>
        <w:rPr>
          <w:rFonts w:hint="eastAsia" w:ascii="宋体" w:hAnsi="宋体"/>
          <w:b/>
          <w:color w:val="auto"/>
          <w:szCs w:val="21"/>
          <w:highlight w:val="none"/>
        </w:rPr>
        <w:t xml:space="preserve"> </w:t>
      </w:r>
    </w:p>
    <w:p>
      <w:pPr>
        <w:spacing w:line="300" w:lineRule="auto"/>
        <w:rPr>
          <w:rFonts w:ascii="宋体" w:hAnsi="宋体"/>
          <w:b/>
          <w:color w:val="auto"/>
          <w:szCs w:val="21"/>
          <w:highlight w:val="none"/>
        </w:rPr>
      </w:pPr>
    </w:p>
    <w:p>
      <w:pPr>
        <w:spacing w:line="300" w:lineRule="auto"/>
        <w:rPr>
          <w:rFonts w:ascii="宋体" w:hAnsi="宋体"/>
          <w:b/>
          <w:color w:val="auto"/>
          <w:szCs w:val="21"/>
          <w:highlight w:val="none"/>
        </w:rPr>
      </w:pPr>
    </w:p>
    <w:p>
      <w:pPr>
        <w:spacing w:line="300" w:lineRule="auto"/>
        <w:rPr>
          <w:rFonts w:ascii="宋体" w:hAnsi="宋体"/>
          <w:b/>
          <w:color w:val="auto"/>
          <w:szCs w:val="21"/>
          <w:highlight w:val="none"/>
        </w:rPr>
      </w:pPr>
    </w:p>
    <w:p>
      <w:pPr>
        <w:spacing w:line="300" w:lineRule="auto"/>
        <w:rPr>
          <w:rFonts w:ascii="宋体" w:hAnsi="宋体"/>
          <w:b/>
          <w:color w:val="auto"/>
          <w:szCs w:val="21"/>
          <w:highlight w:val="none"/>
        </w:rPr>
      </w:pPr>
    </w:p>
    <w:p>
      <w:pPr>
        <w:spacing w:line="300" w:lineRule="auto"/>
        <w:rPr>
          <w:rFonts w:ascii="宋体" w:hAnsi="宋体"/>
          <w:b/>
          <w:color w:val="auto"/>
          <w:szCs w:val="21"/>
          <w:highlight w:val="none"/>
        </w:rPr>
      </w:pPr>
    </w:p>
    <w:p>
      <w:pPr>
        <w:spacing w:line="300" w:lineRule="auto"/>
        <w:rPr>
          <w:rFonts w:ascii="宋体" w:hAnsi="宋体"/>
          <w:b/>
          <w:color w:val="auto"/>
          <w:szCs w:val="21"/>
          <w:highlight w:val="none"/>
        </w:rPr>
      </w:pPr>
    </w:p>
    <w:p>
      <w:pPr>
        <w:tabs>
          <w:tab w:val="left" w:pos="654"/>
          <w:tab w:val="left" w:pos="1734"/>
          <w:tab w:val="left" w:pos="2814"/>
          <w:tab w:val="left" w:pos="3894"/>
          <w:tab w:val="left" w:pos="5334"/>
          <w:tab w:val="left" w:pos="6414"/>
          <w:tab w:val="left" w:pos="7254"/>
          <w:tab w:val="left" w:pos="8574"/>
          <w:tab w:val="left" w:pos="9654"/>
        </w:tabs>
        <w:spacing w:line="300" w:lineRule="auto"/>
        <w:rPr>
          <w:rFonts w:ascii="宋体" w:hAnsi="宋体"/>
          <w:color w:val="auto"/>
          <w:szCs w:val="21"/>
          <w:highlight w:val="none"/>
        </w:rPr>
      </w:pPr>
    </w:p>
    <w:p>
      <w:pPr>
        <w:spacing w:line="300" w:lineRule="auto"/>
        <w:rPr>
          <w:rFonts w:ascii="宋体" w:hAnsi="宋体"/>
          <w:color w:val="auto"/>
          <w:sz w:val="24"/>
          <w:highlight w:val="none"/>
        </w:rPr>
      </w:pPr>
      <w:r>
        <w:rPr>
          <w:rFonts w:ascii="宋体" w:hAnsi="宋体"/>
          <w:b/>
          <w:color w:val="auto"/>
          <w:sz w:val="28"/>
          <w:szCs w:val="28"/>
          <w:highlight w:val="none"/>
        </w:rPr>
        <w:br w:type="page"/>
      </w:r>
      <w:r>
        <w:rPr>
          <w:rFonts w:hint="eastAsia" w:ascii="宋体" w:hAnsi="宋体"/>
          <w:b/>
          <w:bCs/>
          <w:color w:val="auto"/>
          <w:sz w:val="24"/>
          <w:highlight w:val="none"/>
        </w:rPr>
        <w:t>2.2.2 法定代表人授权委托书</w:t>
      </w:r>
    </w:p>
    <w:p>
      <w:pPr>
        <w:spacing w:line="300" w:lineRule="auto"/>
        <w:jc w:val="center"/>
        <w:rPr>
          <w:rFonts w:ascii="宋体" w:hAnsi="宋体"/>
          <w:b/>
          <w:color w:val="auto"/>
          <w:sz w:val="28"/>
          <w:szCs w:val="28"/>
          <w:highlight w:val="none"/>
        </w:rPr>
      </w:pPr>
    </w:p>
    <w:p>
      <w:pPr>
        <w:spacing w:line="300" w:lineRule="auto"/>
        <w:jc w:val="center"/>
        <w:rPr>
          <w:rFonts w:ascii="宋体" w:hAnsi="宋体"/>
          <w:color w:val="auto"/>
          <w:szCs w:val="21"/>
          <w:highlight w:val="none"/>
        </w:rPr>
      </w:pPr>
      <w:r>
        <w:rPr>
          <w:rFonts w:hint="eastAsia" w:ascii="宋体" w:hAnsi="宋体"/>
          <w:b/>
          <w:color w:val="auto"/>
          <w:sz w:val="28"/>
          <w:szCs w:val="28"/>
          <w:highlight w:val="none"/>
        </w:rPr>
        <w:t>法定代表人授权委托书</w:t>
      </w:r>
    </w:p>
    <w:p>
      <w:pPr>
        <w:spacing w:line="30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国家税务总局罗定市税务局/广东广招招标采购有限公司</w:t>
      </w:r>
      <w:r>
        <w:rPr>
          <w:rFonts w:hint="eastAsia" w:ascii="宋体" w:hAnsi="宋体"/>
          <w:color w:val="auto"/>
          <w:szCs w:val="21"/>
          <w:highlight w:val="none"/>
        </w:rPr>
        <w:t>：</w:t>
      </w:r>
    </w:p>
    <w:p>
      <w:pPr>
        <w:spacing w:line="360" w:lineRule="auto"/>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兹授权</w:t>
      </w:r>
      <w:r>
        <w:rPr>
          <w:rFonts w:hint="eastAsia" w:ascii="宋体" w:hAnsi="宋体"/>
          <w:color w:val="auto"/>
          <w:szCs w:val="21"/>
          <w:highlight w:val="none"/>
          <w:u w:val="single"/>
        </w:rPr>
        <w:t xml:space="preserve">             </w:t>
      </w:r>
      <w:r>
        <w:rPr>
          <w:rFonts w:hint="eastAsia" w:ascii="宋体" w:hAnsi="宋体"/>
          <w:color w:val="auto"/>
          <w:szCs w:val="21"/>
          <w:highlight w:val="none"/>
        </w:rPr>
        <w:t>女士/小姐/先生，为我方处理</w:t>
      </w:r>
      <w:r>
        <w:rPr>
          <w:rFonts w:hint="eastAsia" w:ascii="宋体" w:hAnsi="宋体"/>
          <w:color w:val="auto"/>
          <w:szCs w:val="21"/>
          <w:highlight w:val="none"/>
          <w:u w:val="single"/>
        </w:rPr>
        <w:t>国家税务总局罗定市税务局机关及下属税务分局物业管理服务项目</w:t>
      </w:r>
      <w:r>
        <w:rPr>
          <w:rFonts w:hint="eastAsia" w:ascii="宋体" w:hAnsi="宋体"/>
          <w:color w:val="auto"/>
          <w:szCs w:val="21"/>
          <w:highlight w:val="none"/>
        </w:rPr>
        <w:t>投标的事务代理人，其权限是：</w:t>
      </w:r>
      <w:r>
        <w:rPr>
          <w:rFonts w:hint="eastAsia" w:ascii="宋体" w:hAnsi="宋体" w:cs="宋体"/>
          <w:i/>
          <w:color w:val="auto"/>
          <w:sz w:val="16"/>
          <w:szCs w:val="16"/>
          <w:highlight w:val="none"/>
          <w:u w:val="single"/>
        </w:rPr>
        <w:t xml:space="preserve">（填写投标、参与开标、签署合同等）           </w:t>
      </w:r>
      <w:r>
        <w:rPr>
          <w:rFonts w:hint="eastAsia" w:ascii="宋体" w:hAnsi="宋体"/>
          <w:color w:val="auto"/>
          <w:szCs w:val="21"/>
          <w:highlight w:val="none"/>
        </w:rPr>
        <w:t>。</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投标人名称</w:t>
      </w:r>
      <w:r>
        <w:rPr>
          <w:rFonts w:hint="eastAsia" w:ascii="宋体" w:hAnsi="宋体"/>
          <w:b/>
          <w:bCs/>
          <w:color w:val="auto"/>
          <w:szCs w:val="21"/>
          <w:highlight w:val="none"/>
        </w:rPr>
        <w:t>（</w:t>
      </w:r>
      <w:r>
        <w:rPr>
          <w:rFonts w:hint="eastAsia" w:ascii="宋体" w:hAnsi="宋体"/>
          <w:b/>
          <w:bCs/>
          <w:color w:val="auto"/>
          <w:highlight w:val="none"/>
        </w:rPr>
        <w:t>单位盖</w:t>
      </w:r>
      <w:r>
        <w:rPr>
          <w:rFonts w:hint="eastAsia" w:ascii="宋体" w:hAnsi="宋体"/>
          <w:b/>
          <w:bCs/>
          <w:color w:val="auto"/>
          <w:spacing w:val="4"/>
          <w:highlight w:val="none"/>
        </w:rPr>
        <w:t>公章</w:t>
      </w:r>
      <w:r>
        <w:rPr>
          <w:rFonts w:hint="eastAsia" w:ascii="宋体" w:hAnsi="宋体"/>
          <w:b/>
          <w:bCs/>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b/>
          <w:bCs/>
          <w:color w:val="auto"/>
          <w:szCs w:val="21"/>
          <w:highlight w:val="none"/>
        </w:rPr>
        <w:t>（签名或盖私章）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签发日期：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w:t>
      </w:r>
    </w:p>
    <w:p>
      <w:pPr>
        <w:spacing w:line="360" w:lineRule="auto"/>
        <w:rPr>
          <w:rFonts w:ascii="宋体" w:hAnsi="宋体"/>
          <w:color w:val="auto"/>
          <w:szCs w:val="21"/>
          <w:highlight w:val="none"/>
        </w:rPr>
      </w:pPr>
      <w:r>
        <w:rPr>
          <w:rFonts w:hint="eastAsia" w:ascii="宋体" w:hAnsi="宋体"/>
          <w:color w:val="auto"/>
          <w:szCs w:val="21"/>
          <w:highlight w:val="none"/>
        </w:rPr>
        <w:t>有效期限：</w:t>
      </w:r>
      <w:r>
        <w:rPr>
          <w:rFonts w:hint="eastAsia" w:ascii="宋体" w:hAnsi="宋体"/>
          <w:color w:val="auto"/>
          <w:szCs w:val="21"/>
          <w:highlight w:val="none"/>
          <w:u w:val="single"/>
        </w:rPr>
        <w:t xml:space="preserve">   120天     </w:t>
      </w:r>
      <w:r>
        <w:rPr>
          <w:rFonts w:hint="eastAsia" w:ascii="宋体" w:hAnsi="宋体"/>
          <w:color w:val="auto"/>
          <w:szCs w:val="21"/>
          <w:highlight w:val="non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附：授权代表性别：</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年龄：</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职务：</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联系电话：</w:t>
      </w:r>
      <w:r>
        <w:rPr>
          <w:rFonts w:hint="eastAsia" w:ascii="宋体" w:hAnsi="宋体"/>
          <w:color w:val="auto"/>
          <w:szCs w:val="21"/>
          <w:highlight w:val="none"/>
          <w:u w:val="single"/>
        </w:rPr>
        <w:t xml:space="preserve">           </w:t>
      </w:r>
    </w:p>
    <w:p>
      <w:pPr>
        <w:spacing w:line="300" w:lineRule="auto"/>
        <w:ind w:firstLine="644" w:firstLineChars="307"/>
        <w:rPr>
          <w:rFonts w:ascii="宋体" w:hAnsi="宋体"/>
          <w:color w:val="auto"/>
          <w:szCs w:val="21"/>
          <w:highlight w:val="none"/>
        </w:rPr>
      </w:pPr>
    </w:p>
    <w:p>
      <w:pPr>
        <w:spacing w:line="300" w:lineRule="auto"/>
        <w:ind w:firstLine="420"/>
        <w:rPr>
          <w:rFonts w:ascii="宋体" w:hAnsi="宋体"/>
          <w:color w:val="auto"/>
          <w:szCs w:val="21"/>
          <w:highlight w:val="none"/>
          <w:u w:val="single"/>
        </w:rPr>
      </w:pPr>
      <w:r>
        <w:rPr>
          <w:rFonts w:ascii="宋体" w:hAnsi="宋体"/>
          <w:color w:val="auto"/>
          <w:szCs w:val="21"/>
          <w:highlight w:val="none"/>
          <w:u w:val="single"/>
        </w:rPr>
        <mc:AlternateContent>
          <mc:Choice Requires="wps">
            <w:drawing>
              <wp:anchor distT="0" distB="0" distL="114300" distR="114300" simplePos="0" relativeHeight="251660288" behindDoc="0" locked="0" layoutInCell="1" allowOverlap="1">
                <wp:simplePos x="0" y="0"/>
                <wp:positionH relativeFrom="column">
                  <wp:posOffset>1193800</wp:posOffset>
                </wp:positionH>
                <wp:positionV relativeFrom="paragraph">
                  <wp:posOffset>50800</wp:posOffset>
                </wp:positionV>
                <wp:extent cx="2333625" cy="1296670"/>
                <wp:effectExtent l="4445" t="5080" r="5080" b="12700"/>
                <wp:wrapNone/>
                <wp:docPr id="2" name="自选图形 48"/>
                <wp:cNvGraphicFramePr/>
                <a:graphic xmlns:a="http://schemas.openxmlformats.org/drawingml/2006/main">
                  <a:graphicData uri="http://schemas.microsoft.com/office/word/2010/wordprocessingShape">
                    <wps:wsp>
                      <wps:cNvSpPr/>
                      <wps:spPr>
                        <a:xfrm>
                          <a:off x="0" y="0"/>
                          <a:ext cx="2333625" cy="1296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rPr>
                                <w:rFonts w:hAnsi="宋体"/>
                                <w:szCs w:val="21"/>
                              </w:rPr>
                            </w:pPr>
                          </w:p>
                          <w:p>
                            <w:pPr>
                              <w:jc w:val="center"/>
                            </w:pPr>
                            <w:r>
                              <w:rPr>
                                <w:rFonts w:hint="eastAsia" w:hAnsi="宋体"/>
                                <w:szCs w:val="21"/>
                              </w:rPr>
                              <w:t>被授权人</w:t>
                            </w:r>
                            <w:r>
                              <w:rPr>
                                <w:rFonts w:hint="eastAsia"/>
                              </w:rPr>
                              <w:t>（授权代表）</w:t>
                            </w:r>
                          </w:p>
                          <w:p>
                            <w:pPr>
                              <w:jc w:val="center"/>
                              <w:rPr>
                                <w:szCs w:val="21"/>
                              </w:rPr>
                            </w:pPr>
                            <w:r>
                              <w:rPr>
                                <w:rFonts w:hint="eastAsia" w:hAnsi="宋体"/>
                                <w:szCs w:val="21"/>
                              </w:rPr>
                              <w:t>身份证复印件（正反面）</w:t>
                            </w:r>
                          </w:p>
                          <w:p>
                            <w:pPr>
                              <w:jc w:val="center"/>
                              <w:rPr>
                                <w:szCs w:val="21"/>
                              </w:rPr>
                            </w:pPr>
                          </w:p>
                        </w:txbxContent>
                      </wps:txbx>
                      <wps:bodyPr wrap="square" upright="1"/>
                    </wps:wsp>
                  </a:graphicData>
                </a:graphic>
              </wp:anchor>
            </w:drawing>
          </mc:Choice>
          <mc:Fallback>
            <w:pict>
              <v:shape id="自选图形 48" o:spid="_x0000_s1026" o:spt="176" type="#_x0000_t176" style="position:absolute;left:0pt;margin-left:94pt;margin-top:4pt;height:102.1pt;width:183.75pt;z-index:251660288;mso-width-relative:page;mso-height-relative:page;" fillcolor="#FFFFFF" filled="t" stroked="t" coordsize="21600,21600" o:gfxdata="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fsqh21gAAAAkBAAAPAAAAAAAAAAEAIAAAACIAAABkcnMvZG93bnJldi54bWxQSwECFAAU&#10;AAAACACHTuJAQt/zESwCAABiBAAADgAAAAAAAAABACAAAAAlAQAAZHJzL2Uyb0RvYy54bWxQSwUG&#10;AAAAAAYABgBZAQAAwwUAAAAA&#10;">
                <v:fill on="t" focussize="0,0"/>
                <v:stroke color="#000000" joinstyle="miter"/>
                <v:imagedata o:title=""/>
                <o:lock v:ext="edit" aspectratio="f"/>
                <v:textbox>
                  <w:txbxContent>
                    <w:p>
                      <w:pPr>
                        <w:jc w:val="center"/>
                        <w:rPr>
                          <w:rFonts w:hAnsi="宋体"/>
                          <w:szCs w:val="21"/>
                        </w:rPr>
                      </w:pPr>
                    </w:p>
                    <w:p>
                      <w:pPr>
                        <w:rPr>
                          <w:rFonts w:hAnsi="宋体"/>
                          <w:szCs w:val="21"/>
                        </w:rPr>
                      </w:pPr>
                    </w:p>
                    <w:p>
                      <w:pPr>
                        <w:jc w:val="center"/>
                      </w:pPr>
                      <w:r>
                        <w:rPr>
                          <w:rFonts w:hint="eastAsia" w:hAnsi="宋体"/>
                          <w:szCs w:val="21"/>
                        </w:rPr>
                        <w:t>被授权人</w:t>
                      </w:r>
                      <w:r>
                        <w:rPr>
                          <w:rFonts w:hint="eastAsia"/>
                        </w:rPr>
                        <w:t>（授权代表）</w:t>
                      </w:r>
                    </w:p>
                    <w:p>
                      <w:pPr>
                        <w:jc w:val="center"/>
                        <w:rPr>
                          <w:szCs w:val="21"/>
                        </w:rPr>
                      </w:pPr>
                      <w:r>
                        <w:rPr>
                          <w:rFonts w:hint="eastAsia" w:hAnsi="宋体"/>
                          <w:szCs w:val="21"/>
                        </w:rPr>
                        <w:t>身份证复印件（正反面）</w:t>
                      </w:r>
                    </w:p>
                    <w:p>
                      <w:pPr>
                        <w:jc w:val="center"/>
                        <w:rPr>
                          <w:szCs w:val="21"/>
                        </w:rPr>
                      </w:pPr>
                    </w:p>
                  </w:txbxContent>
                </v:textbox>
              </v:shape>
            </w:pict>
          </mc:Fallback>
        </mc:AlternateContent>
      </w:r>
    </w:p>
    <w:p>
      <w:pPr>
        <w:spacing w:line="300" w:lineRule="auto"/>
        <w:ind w:firstLine="420"/>
        <w:rPr>
          <w:rFonts w:ascii="宋体" w:hAnsi="宋体"/>
          <w:color w:val="auto"/>
          <w:szCs w:val="21"/>
          <w:highlight w:val="none"/>
          <w:u w:val="single"/>
        </w:rPr>
      </w:pPr>
    </w:p>
    <w:p>
      <w:pPr>
        <w:spacing w:line="300" w:lineRule="auto"/>
        <w:ind w:firstLine="420"/>
        <w:rPr>
          <w:rFonts w:ascii="宋体" w:hAnsi="宋体"/>
          <w:color w:val="auto"/>
          <w:szCs w:val="21"/>
          <w:highlight w:val="none"/>
          <w:u w:val="single"/>
        </w:rPr>
      </w:pPr>
    </w:p>
    <w:p>
      <w:pPr>
        <w:spacing w:line="300" w:lineRule="auto"/>
        <w:ind w:firstLine="420"/>
        <w:rPr>
          <w:rFonts w:ascii="宋体" w:hAnsi="宋体"/>
          <w:color w:val="auto"/>
          <w:szCs w:val="21"/>
          <w:highlight w:val="none"/>
          <w:u w:val="single"/>
        </w:rPr>
      </w:pPr>
    </w:p>
    <w:p>
      <w:pPr>
        <w:spacing w:line="300" w:lineRule="auto"/>
        <w:ind w:firstLine="420"/>
        <w:rPr>
          <w:rFonts w:ascii="宋体" w:hAnsi="宋体"/>
          <w:color w:val="auto"/>
          <w:szCs w:val="21"/>
          <w:highlight w:val="none"/>
          <w:u w:val="single"/>
        </w:rPr>
      </w:pPr>
    </w:p>
    <w:p>
      <w:pPr>
        <w:spacing w:line="300" w:lineRule="auto"/>
        <w:ind w:firstLine="420"/>
        <w:rPr>
          <w:rFonts w:ascii="宋体" w:hAnsi="宋体"/>
          <w:color w:val="auto"/>
          <w:szCs w:val="21"/>
          <w:highlight w:val="none"/>
          <w:u w:val="single"/>
        </w:rPr>
      </w:pPr>
    </w:p>
    <w:p>
      <w:pPr>
        <w:spacing w:line="300" w:lineRule="auto"/>
        <w:ind w:firstLine="420"/>
        <w:rPr>
          <w:rFonts w:ascii="宋体" w:hAnsi="宋体"/>
          <w:color w:val="auto"/>
          <w:szCs w:val="21"/>
          <w:highlight w:val="none"/>
          <w:u w:val="single"/>
        </w:rPr>
      </w:pPr>
    </w:p>
    <w:p>
      <w:pPr>
        <w:spacing w:line="300" w:lineRule="auto"/>
        <w:rPr>
          <w:rFonts w:ascii="宋体" w:hAnsi="宋体"/>
          <w:color w:val="auto"/>
          <w:sz w:val="24"/>
          <w:highlight w:val="none"/>
        </w:rPr>
      </w:pPr>
    </w:p>
    <w:p>
      <w:pPr>
        <w:rPr>
          <w:rFonts w:ascii="宋体" w:hAnsi="宋体"/>
          <w:b/>
          <w:bCs/>
          <w:color w:val="auto"/>
          <w:sz w:val="16"/>
          <w:szCs w:val="16"/>
          <w:highlight w:val="none"/>
        </w:rPr>
      </w:pPr>
      <w:r>
        <w:rPr>
          <w:rFonts w:ascii="宋体" w:hAnsi="宋体"/>
          <w:b/>
          <w:bCs/>
          <w:color w:val="auto"/>
          <w:sz w:val="16"/>
          <w:szCs w:val="16"/>
          <w:highlight w:val="none"/>
        </w:rPr>
        <w:t>--</w:t>
      </w:r>
      <w:r>
        <w:rPr>
          <w:rFonts w:hint="eastAsia" w:ascii="宋体" w:hAnsi="宋体"/>
          <w:b/>
          <w:bCs/>
          <w:color w:val="auto"/>
          <w:sz w:val="16"/>
          <w:szCs w:val="16"/>
          <w:highlight w:val="none"/>
        </w:rPr>
        <w:t>备注</w:t>
      </w:r>
      <w:r>
        <w:rPr>
          <w:rFonts w:ascii="宋体" w:hAnsi="宋体"/>
          <w:b/>
          <w:bCs/>
          <w:color w:val="auto"/>
          <w:sz w:val="16"/>
          <w:szCs w:val="16"/>
          <w:highlight w:val="none"/>
        </w:rPr>
        <w:t>--</w:t>
      </w:r>
    </w:p>
    <w:p>
      <w:pPr>
        <w:pBdr>
          <w:top w:val="single" w:color="auto" w:sz="4" w:space="1"/>
          <w:left w:val="single" w:color="auto" w:sz="4" w:space="4"/>
          <w:bottom w:val="single" w:color="auto" w:sz="4" w:space="1"/>
          <w:right w:val="single" w:color="auto" w:sz="4" w:space="4"/>
        </w:pBdr>
        <w:tabs>
          <w:tab w:val="left" w:pos="6120"/>
        </w:tabs>
        <w:rPr>
          <w:rFonts w:ascii="宋体" w:hAnsi="宋体" w:cs="Arial"/>
          <w:i/>
          <w:color w:val="auto"/>
          <w:sz w:val="16"/>
          <w:szCs w:val="16"/>
          <w:highlight w:val="none"/>
        </w:rPr>
      </w:pPr>
      <w:r>
        <w:rPr>
          <w:rFonts w:hint="eastAsia" w:ascii="宋体" w:hAnsi="宋体" w:cs="Arial"/>
          <w:i/>
          <w:color w:val="auto"/>
          <w:sz w:val="16"/>
          <w:szCs w:val="16"/>
          <w:highlight w:val="none"/>
        </w:rPr>
        <w:t>1.《第六部分 投标文件格式》所有斜体字仅用于指导投标人编制投标文件，投标人应在最终提交的投标文件中将其删除；</w:t>
      </w:r>
    </w:p>
    <w:p>
      <w:pPr>
        <w:pBdr>
          <w:top w:val="single" w:color="auto" w:sz="4" w:space="1"/>
          <w:left w:val="single" w:color="auto" w:sz="4" w:space="4"/>
          <w:bottom w:val="single" w:color="auto" w:sz="4" w:space="1"/>
          <w:right w:val="single" w:color="auto" w:sz="4" w:space="4"/>
        </w:pBdr>
        <w:tabs>
          <w:tab w:val="left" w:pos="6120"/>
        </w:tabs>
        <w:rPr>
          <w:rFonts w:ascii="宋体" w:hAnsi="宋体" w:cs="Arial"/>
          <w:i/>
          <w:color w:val="auto"/>
          <w:sz w:val="16"/>
          <w:szCs w:val="16"/>
          <w:highlight w:val="none"/>
        </w:rPr>
      </w:pPr>
      <w:r>
        <w:rPr>
          <w:rFonts w:hint="eastAsia" w:ascii="宋体" w:hAnsi="宋体" w:cs="Arial"/>
          <w:i/>
          <w:color w:val="auto"/>
          <w:sz w:val="16"/>
          <w:szCs w:val="16"/>
          <w:highlight w:val="none"/>
        </w:rPr>
        <w:t>2.若投标签字代表为法定代表人，则无需提供本授权委托书；</w:t>
      </w:r>
    </w:p>
    <w:p>
      <w:pPr>
        <w:pBdr>
          <w:top w:val="single" w:color="auto" w:sz="4" w:space="1"/>
          <w:left w:val="single" w:color="auto" w:sz="4" w:space="4"/>
          <w:bottom w:val="single" w:color="auto" w:sz="4" w:space="1"/>
          <w:right w:val="single" w:color="auto" w:sz="4" w:space="4"/>
        </w:pBdr>
        <w:tabs>
          <w:tab w:val="left" w:pos="6120"/>
        </w:tabs>
        <w:rPr>
          <w:rFonts w:ascii="宋体" w:hAnsi="宋体" w:cs="Arial"/>
          <w:i/>
          <w:color w:val="auto"/>
          <w:sz w:val="16"/>
          <w:szCs w:val="16"/>
          <w:highlight w:val="none"/>
        </w:rPr>
      </w:pPr>
      <w:r>
        <w:rPr>
          <w:rFonts w:hint="eastAsia" w:ascii="宋体" w:hAnsi="宋体" w:cs="Arial"/>
          <w:i/>
          <w:color w:val="auto"/>
          <w:sz w:val="16"/>
          <w:szCs w:val="16"/>
          <w:highlight w:val="none"/>
        </w:rPr>
        <w:t>3.本授权委托书为唯一必须由投标人法定代表人签名或盖私章的格式，请投标人务必注意。</w:t>
      </w:r>
    </w:p>
    <w:p>
      <w:pPr>
        <w:pBdr>
          <w:top w:val="single" w:color="auto" w:sz="4" w:space="1"/>
          <w:left w:val="single" w:color="auto" w:sz="4" w:space="4"/>
          <w:bottom w:val="single" w:color="auto" w:sz="4" w:space="1"/>
          <w:right w:val="single" w:color="auto" w:sz="4" w:space="4"/>
        </w:pBdr>
        <w:tabs>
          <w:tab w:val="left" w:pos="6120"/>
        </w:tabs>
        <w:rPr>
          <w:rFonts w:ascii="宋体" w:hAnsi="宋体" w:cs="Arial"/>
          <w:i/>
          <w:color w:val="auto"/>
          <w:sz w:val="16"/>
          <w:szCs w:val="16"/>
          <w:highlight w:val="none"/>
        </w:rPr>
      </w:pPr>
    </w:p>
    <w:p>
      <w:pPr>
        <w:rPr>
          <w:rFonts w:ascii="宋体" w:hAnsi="宋体"/>
          <w:color w:val="auto"/>
          <w:sz w:val="24"/>
          <w:highlight w:val="none"/>
        </w:rPr>
      </w:pPr>
      <w:r>
        <w:rPr>
          <w:rFonts w:ascii="宋体" w:hAnsi="宋体"/>
          <w:color w:val="auto"/>
          <w:sz w:val="28"/>
          <w:szCs w:val="28"/>
          <w:highlight w:val="none"/>
        </w:rPr>
        <w:br w:type="page"/>
      </w:r>
      <w:r>
        <w:rPr>
          <w:rFonts w:hint="eastAsia" w:ascii="宋体" w:hAnsi="宋体"/>
          <w:b/>
          <w:bCs/>
          <w:color w:val="auto"/>
          <w:sz w:val="24"/>
          <w:highlight w:val="none"/>
        </w:rPr>
        <w:t>2.4投标人资格声明函</w:t>
      </w:r>
    </w:p>
    <w:p>
      <w:pPr>
        <w:spacing w:line="300" w:lineRule="auto"/>
        <w:jc w:val="center"/>
        <w:rPr>
          <w:rFonts w:ascii="宋体" w:hAnsi="宋体"/>
          <w:color w:val="auto"/>
          <w:sz w:val="28"/>
          <w:szCs w:val="28"/>
          <w:highlight w:val="none"/>
        </w:rPr>
      </w:pPr>
      <w:r>
        <w:rPr>
          <w:rFonts w:hint="eastAsia" w:ascii="宋体" w:hAnsi="宋体"/>
          <w:color w:val="auto"/>
          <w:sz w:val="28"/>
          <w:szCs w:val="28"/>
          <w:highlight w:val="none"/>
        </w:rPr>
        <w:t>投标人资格声明函</w:t>
      </w: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国家税务总局罗定市税务局/广东广招招标采购有限公司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关于贵方（</w:t>
      </w:r>
      <w:r>
        <w:rPr>
          <w:rFonts w:hint="eastAsia" w:ascii="宋体" w:hAnsi="宋体"/>
          <w:color w:val="auto"/>
          <w:szCs w:val="21"/>
          <w:highlight w:val="none"/>
          <w:u w:val="single"/>
        </w:rPr>
        <w:t>项目名称: 国家税务总局罗定市税务局机关及下属税务分局物业管理服务项目，项目编号：0877-23GZTP01Y774 ）</w:t>
      </w:r>
      <w:r>
        <w:rPr>
          <w:rFonts w:hint="eastAsia" w:ascii="宋体" w:hAnsi="宋体"/>
          <w:color w:val="auto"/>
          <w:szCs w:val="21"/>
          <w:highlight w:val="none"/>
        </w:rPr>
        <w:t>采购项目，我单位愿意参加投标，提供招标文件中规定的货物及服务，并证明提交的下列文件和说明是准确的和真实的。</w:t>
      </w:r>
    </w:p>
    <w:p>
      <w:pPr>
        <w:autoSpaceDE w:val="0"/>
        <w:autoSpaceDN w:val="0"/>
        <w:adjustRightInd w:val="0"/>
        <w:spacing w:line="360" w:lineRule="auto"/>
        <w:ind w:left="420"/>
        <w:jc w:val="left"/>
        <w:textAlignment w:val="baseline"/>
        <w:rPr>
          <w:rFonts w:ascii="宋体" w:hAnsi="宋体"/>
          <w:color w:val="auto"/>
          <w:szCs w:val="21"/>
          <w:highlight w:val="none"/>
        </w:rPr>
      </w:pPr>
    </w:p>
    <w:p>
      <w:pPr>
        <w:autoSpaceDE w:val="0"/>
        <w:autoSpaceDN w:val="0"/>
        <w:adjustRightInd w:val="0"/>
        <w:spacing w:line="360" w:lineRule="auto"/>
        <w:jc w:val="left"/>
        <w:textAlignment w:val="baseline"/>
        <w:rPr>
          <w:rFonts w:ascii="宋体" w:hAnsi="宋体"/>
          <w:color w:val="auto"/>
          <w:szCs w:val="21"/>
          <w:highlight w:val="none"/>
        </w:rPr>
      </w:pPr>
      <w:r>
        <w:rPr>
          <w:rFonts w:hint="eastAsia" w:ascii="宋体" w:hAnsi="宋体"/>
          <w:color w:val="auto"/>
          <w:szCs w:val="21"/>
          <w:highlight w:val="none"/>
        </w:rPr>
        <w:t>附：投标人应提交所有《第一部分 招标公告》“二、申请人的资格要求”所需提供的证明材料，加盖投标人公章（内容见2.4.1）</w:t>
      </w:r>
    </w:p>
    <w:p>
      <w:pPr>
        <w:adjustRightInd w:val="0"/>
        <w:snapToGrid w:val="0"/>
        <w:spacing w:line="300" w:lineRule="auto"/>
        <w:rPr>
          <w:rFonts w:ascii="宋体" w:hAnsi="宋体"/>
          <w:color w:val="auto"/>
          <w:szCs w:val="21"/>
          <w:highlight w:val="none"/>
        </w:rPr>
      </w:pPr>
    </w:p>
    <w:p>
      <w:pPr>
        <w:adjustRightInd w:val="0"/>
        <w:snapToGrid w:val="0"/>
        <w:spacing w:line="300" w:lineRule="auto"/>
        <w:rPr>
          <w:rFonts w:ascii="宋体" w:hAnsi="宋体"/>
          <w:color w:val="auto"/>
          <w:szCs w:val="21"/>
          <w:highlight w:val="none"/>
        </w:rPr>
      </w:pPr>
    </w:p>
    <w:p>
      <w:pPr>
        <w:adjustRightInd w:val="0"/>
        <w:snapToGrid w:val="0"/>
        <w:spacing w:line="300" w:lineRule="auto"/>
        <w:rPr>
          <w:rFonts w:ascii="宋体" w:hAnsi="宋体"/>
          <w:color w:val="auto"/>
          <w:szCs w:val="21"/>
          <w:highlight w:val="none"/>
          <w:u w:val="single"/>
        </w:rPr>
      </w:pPr>
      <w:r>
        <w:rPr>
          <w:rFonts w:hint="eastAsia" w:ascii="宋体" w:hAnsi="宋体"/>
          <w:color w:val="auto"/>
          <w:szCs w:val="21"/>
          <w:highlight w:val="none"/>
        </w:rPr>
        <w:t>投标人名称（单位盖公章）：</w:t>
      </w:r>
      <w:r>
        <w:rPr>
          <w:rFonts w:hint="eastAsia" w:ascii="宋体" w:hAnsi="宋体"/>
          <w:color w:val="auto"/>
          <w:szCs w:val="21"/>
          <w:highlight w:val="none"/>
          <w:u w:val="single"/>
        </w:rPr>
        <w:t xml:space="preserve">                        </w:t>
      </w:r>
    </w:p>
    <w:p>
      <w:pPr>
        <w:adjustRightInd w:val="0"/>
        <w:snapToGrid w:val="0"/>
        <w:spacing w:line="30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w:t>
      </w:r>
    </w:p>
    <w:p>
      <w:pPr>
        <w:adjustRightInd w:val="0"/>
        <w:snapToGrid w:val="0"/>
        <w:spacing w:line="360" w:lineRule="auto"/>
        <w:rPr>
          <w:rFonts w:ascii="宋体" w:hAnsi="宋体"/>
          <w:b/>
          <w:bCs/>
          <w:color w:val="auto"/>
          <w:sz w:val="24"/>
          <w:highlight w:val="none"/>
        </w:rPr>
      </w:pPr>
      <w:r>
        <w:rPr>
          <w:rFonts w:ascii="宋体" w:hAnsi="宋体"/>
          <w:color w:val="auto"/>
          <w:szCs w:val="21"/>
          <w:highlight w:val="none"/>
        </w:rPr>
        <w:br w:type="page"/>
      </w:r>
      <w:r>
        <w:rPr>
          <w:rFonts w:hint="eastAsia" w:ascii="宋体" w:hAnsi="宋体"/>
          <w:b/>
          <w:bCs/>
          <w:color w:val="auto"/>
          <w:sz w:val="24"/>
          <w:highlight w:val="none"/>
        </w:rPr>
        <w:t>2.4.1 供应商资格条件证明材料</w:t>
      </w:r>
    </w:p>
    <w:p>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(1)在中华人民共和国境内注册的法人或其他组织或自然人，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snapToGrid w:val="0"/>
        <w:spacing w:line="360" w:lineRule="auto"/>
        <w:rPr>
          <w:rFonts w:ascii="宋体" w:hAnsi="宋体"/>
          <w:color w:val="auto"/>
          <w:highlight w:val="none"/>
        </w:rPr>
      </w:pPr>
    </w:p>
    <w:p>
      <w:pPr>
        <w:snapToGrid w:val="0"/>
        <w:spacing w:line="360" w:lineRule="auto"/>
        <w:rPr>
          <w:rFonts w:ascii="宋体" w:hAnsi="宋体" w:cs="宋体"/>
          <w:color w:val="auto"/>
          <w:sz w:val="24"/>
          <w:highlight w:val="none"/>
        </w:rPr>
      </w:pPr>
      <w:r>
        <w:rPr>
          <w:rFonts w:hint="eastAsia" w:ascii="宋体" w:hAnsi="宋体" w:cs="宋体"/>
          <w:b/>
          <w:bCs/>
          <w:color w:val="auto"/>
          <w:sz w:val="24"/>
          <w:highlight w:val="none"/>
        </w:rPr>
        <w:t>(2)</w:t>
      </w:r>
      <w:r>
        <w:rPr>
          <w:rFonts w:hint="eastAsia"/>
          <w:color w:val="auto"/>
          <w:highlight w:val="none"/>
        </w:rPr>
        <w:t xml:space="preserve"> </w:t>
      </w:r>
      <w:r>
        <w:rPr>
          <w:rFonts w:hint="eastAsia" w:ascii="宋体" w:hAnsi="宋体" w:cs="宋体"/>
          <w:b/>
          <w:bCs/>
          <w:color w:val="auto"/>
          <w:sz w:val="24"/>
          <w:highlight w:val="none"/>
        </w:rPr>
        <w:t>提供2022或2023年度任意一个月的财务状况报告或基本开户行出具的资信证明；</w:t>
      </w:r>
    </w:p>
    <w:p>
      <w:pPr>
        <w:snapToGrid w:val="0"/>
        <w:spacing w:line="360" w:lineRule="auto"/>
        <w:rPr>
          <w:rFonts w:ascii="宋体" w:hAnsi="宋体"/>
          <w:color w:val="auto"/>
          <w:sz w:val="24"/>
          <w:highlight w:val="none"/>
        </w:rPr>
      </w:pPr>
    </w:p>
    <w:p>
      <w:pPr>
        <w:numPr>
          <w:ilvl w:val="0"/>
          <w:numId w:val="6"/>
        </w:num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提供投标截止日前6个月内任意1个月依法缴纳税收和社会保障资金的相关材料。 如依法免税或不需要缴纳社会保障资金的， 提供相应证明材料.</w:t>
      </w:r>
    </w:p>
    <w:p>
      <w:pPr>
        <w:snapToGrid w:val="0"/>
        <w:spacing w:line="360" w:lineRule="auto"/>
        <w:rPr>
          <w:rFonts w:ascii="宋体" w:hAnsi="宋体" w:cs="宋体"/>
          <w:b/>
          <w:bCs/>
          <w:color w:val="auto"/>
          <w:sz w:val="24"/>
          <w:highlight w:val="none"/>
        </w:rPr>
      </w:pPr>
    </w:p>
    <w:p>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(4)履行合同所必需的设备和专业技术能力的书面声明；</w:t>
      </w:r>
    </w:p>
    <w:p>
      <w:pPr>
        <w:snapToGrid w:val="0"/>
        <w:spacing w:line="360" w:lineRule="auto"/>
        <w:rPr>
          <w:rFonts w:ascii="宋体" w:hAnsi="宋体" w:cs="宋体"/>
          <w:color w:val="auto"/>
          <w:highlight w:val="none"/>
        </w:rPr>
      </w:pPr>
    </w:p>
    <w:p>
      <w:pPr>
        <w:snapToGrid w:val="0"/>
        <w:spacing w:line="360" w:lineRule="auto"/>
        <w:ind w:firstLine="420"/>
        <w:jc w:val="center"/>
        <w:rPr>
          <w:rFonts w:ascii="宋体" w:hAnsi="宋体" w:cs="宋体"/>
          <w:b/>
          <w:color w:val="auto"/>
          <w:sz w:val="28"/>
          <w:szCs w:val="28"/>
          <w:highlight w:val="none"/>
        </w:rPr>
      </w:pPr>
      <w:r>
        <w:rPr>
          <w:rFonts w:hint="eastAsia" w:ascii="宋体" w:hAnsi="宋体" w:cs="宋体"/>
          <w:b/>
          <w:color w:val="auto"/>
          <w:sz w:val="28"/>
          <w:szCs w:val="28"/>
          <w:highlight w:val="none"/>
        </w:rPr>
        <w:t>书面声明</w:t>
      </w:r>
    </w:p>
    <w:p>
      <w:pPr>
        <w:snapToGrid w:val="0"/>
        <w:spacing w:line="360" w:lineRule="auto"/>
        <w:ind w:firstLine="420"/>
        <w:jc w:val="center"/>
        <w:rPr>
          <w:rFonts w:ascii="宋体" w:hAnsi="宋体" w:cs="宋体"/>
          <w:b/>
          <w:color w:val="auto"/>
          <w:sz w:val="28"/>
          <w:szCs w:val="28"/>
          <w:highlight w:val="none"/>
        </w:rPr>
      </w:pPr>
    </w:p>
    <w:p>
      <w:pPr>
        <w:snapToGrid w:val="0"/>
        <w:spacing w:line="360" w:lineRule="auto"/>
        <w:jc w:val="left"/>
        <w:rPr>
          <w:rFonts w:ascii="宋体" w:hAnsi="宋体"/>
          <w:b/>
          <w:color w:val="auto"/>
          <w:sz w:val="28"/>
          <w:szCs w:val="28"/>
          <w:highlight w:val="none"/>
        </w:rPr>
      </w:pPr>
      <w:r>
        <w:rPr>
          <w:rFonts w:hint="eastAsia" w:ascii="宋体" w:hAnsi="宋体"/>
          <w:color w:val="auto"/>
          <w:szCs w:val="21"/>
          <w:highlight w:val="none"/>
          <w:u w:val="single"/>
        </w:rPr>
        <w:t>国家税务总局罗定市税务局/广东广招招标采购有限公司</w:t>
      </w:r>
    </w:p>
    <w:p>
      <w:pPr>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本单位郑重声明:我单位具备履行本项采购合同所必需的设备和专业技术能力。</w:t>
      </w:r>
    </w:p>
    <w:p>
      <w:pPr>
        <w:snapToGrid w:val="0"/>
        <w:spacing w:line="360" w:lineRule="auto"/>
        <w:rPr>
          <w:rFonts w:ascii="宋体" w:hAnsi="宋体" w:cs="宋体"/>
          <w:color w:val="auto"/>
          <w:highlight w:val="none"/>
        </w:rPr>
      </w:pPr>
    </w:p>
    <w:p>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投标人名称（单位盖公章）：</w:t>
      </w:r>
      <w:r>
        <w:rPr>
          <w:rFonts w:hint="eastAsia" w:ascii="宋体" w:hAnsi="宋体" w:cs="宋体"/>
          <w:color w:val="auto"/>
          <w:szCs w:val="21"/>
          <w:highlight w:val="none"/>
          <w:u w:val="single"/>
        </w:rPr>
        <w:t xml:space="preserve">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napToGrid w:val="0"/>
        <w:spacing w:line="360" w:lineRule="auto"/>
        <w:rPr>
          <w:rFonts w:ascii="宋体" w:hAnsi="宋体" w:cs="宋体"/>
          <w:color w:val="auto"/>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s="宋体"/>
          <w:color w:val="auto"/>
          <w:sz w:val="24"/>
          <w:highlight w:val="none"/>
        </w:rPr>
      </w:pPr>
      <w:r>
        <w:rPr>
          <w:rFonts w:hint="eastAsia" w:ascii="宋体" w:hAnsi="宋体" w:cs="宋体"/>
          <w:b/>
          <w:bCs/>
          <w:color w:val="auto"/>
          <w:sz w:val="24"/>
          <w:highlight w:val="none"/>
        </w:rPr>
        <w:t>(5)参加政府采购活动前3年内在经营活动中没有重大违法记录的书面声明；</w:t>
      </w:r>
    </w:p>
    <w:p>
      <w:pPr>
        <w:snapToGrid w:val="0"/>
        <w:spacing w:line="360" w:lineRule="auto"/>
        <w:ind w:firstLine="420"/>
        <w:jc w:val="center"/>
        <w:rPr>
          <w:rFonts w:ascii="宋体" w:hAnsi="宋体" w:cs="宋体"/>
          <w:b/>
          <w:color w:val="auto"/>
          <w:sz w:val="28"/>
          <w:szCs w:val="28"/>
          <w:highlight w:val="none"/>
        </w:rPr>
      </w:pPr>
    </w:p>
    <w:p>
      <w:pPr>
        <w:snapToGrid w:val="0"/>
        <w:spacing w:line="360" w:lineRule="auto"/>
        <w:ind w:firstLine="420"/>
        <w:jc w:val="center"/>
        <w:rPr>
          <w:rFonts w:ascii="宋体" w:hAnsi="宋体" w:cs="宋体"/>
          <w:b/>
          <w:color w:val="auto"/>
          <w:sz w:val="28"/>
          <w:szCs w:val="28"/>
          <w:highlight w:val="none"/>
        </w:rPr>
      </w:pPr>
      <w:r>
        <w:rPr>
          <w:rFonts w:hint="eastAsia" w:ascii="宋体" w:hAnsi="宋体" w:cs="宋体"/>
          <w:b/>
          <w:color w:val="auto"/>
          <w:sz w:val="28"/>
          <w:szCs w:val="28"/>
          <w:highlight w:val="none"/>
        </w:rPr>
        <w:t>书面声明</w:t>
      </w:r>
    </w:p>
    <w:p>
      <w:pPr>
        <w:snapToGrid w:val="0"/>
        <w:spacing w:line="360" w:lineRule="auto"/>
        <w:ind w:firstLine="420"/>
        <w:jc w:val="center"/>
        <w:rPr>
          <w:rFonts w:ascii="宋体" w:hAnsi="宋体" w:cs="宋体"/>
          <w:b/>
          <w:color w:val="auto"/>
          <w:sz w:val="28"/>
          <w:szCs w:val="28"/>
          <w:highlight w:val="none"/>
        </w:rPr>
      </w:pPr>
    </w:p>
    <w:p>
      <w:pPr>
        <w:snapToGrid w:val="0"/>
        <w:spacing w:line="360" w:lineRule="auto"/>
        <w:jc w:val="left"/>
        <w:rPr>
          <w:rFonts w:ascii="宋体" w:hAnsi="宋体"/>
          <w:b/>
          <w:color w:val="auto"/>
          <w:sz w:val="28"/>
          <w:szCs w:val="28"/>
          <w:highlight w:val="none"/>
        </w:rPr>
      </w:pPr>
      <w:r>
        <w:rPr>
          <w:rFonts w:hint="eastAsia" w:ascii="宋体" w:hAnsi="宋体"/>
          <w:color w:val="auto"/>
          <w:szCs w:val="21"/>
          <w:highlight w:val="none"/>
          <w:u w:val="single"/>
        </w:rPr>
        <w:t>国家税务总局罗定市税务局/广东广招招标采购有限公司</w:t>
      </w:r>
    </w:p>
    <w:p>
      <w:pPr>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本单位郑重声明:我单位在参加政府采购活动前3年内在经营活动中没有重大违法记录。</w:t>
      </w:r>
    </w:p>
    <w:p>
      <w:pPr>
        <w:snapToGrid w:val="0"/>
        <w:spacing w:line="360" w:lineRule="auto"/>
        <w:rPr>
          <w:rFonts w:ascii="宋体" w:hAnsi="宋体" w:cs="宋体"/>
          <w:color w:val="auto"/>
          <w:highlight w:val="none"/>
        </w:rPr>
      </w:pPr>
    </w:p>
    <w:p>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投标人名称（单位盖公章）：</w:t>
      </w:r>
      <w:r>
        <w:rPr>
          <w:rFonts w:hint="eastAsia" w:ascii="宋体" w:hAnsi="宋体" w:cs="宋体"/>
          <w:color w:val="auto"/>
          <w:szCs w:val="21"/>
          <w:highlight w:val="none"/>
          <w:u w:val="single"/>
        </w:rPr>
        <w:t xml:space="preserve">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napToGrid w:val="0"/>
        <w:spacing w:line="360" w:lineRule="auto"/>
        <w:rPr>
          <w:rFonts w:ascii="宋体" w:hAnsi="宋体" w:cs="宋体"/>
          <w:b/>
          <w:bCs/>
          <w:color w:val="auto"/>
          <w:sz w:val="24"/>
          <w:highlight w:val="none"/>
        </w:rPr>
      </w:pPr>
    </w:p>
    <w:p>
      <w:pPr>
        <w:snapToGrid w:val="0"/>
        <w:spacing w:line="360" w:lineRule="auto"/>
        <w:rPr>
          <w:rFonts w:ascii="宋体" w:hAnsi="宋体" w:cs="宋体"/>
          <w:b/>
          <w:bCs/>
          <w:color w:val="auto"/>
          <w:sz w:val="24"/>
          <w:highlight w:val="none"/>
        </w:rPr>
      </w:pPr>
    </w:p>
    <w:p>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（6） 为采购项目提供整体设计、规范编制或者项目管理、监理、检测等服务的供应商，不得再参加同一采购项目的其他采购活动的书面声明；</w:t>
      </w:r>
    </w:p>
    <w:p>
      <w:pPr>
        <w:snapToGrid w:val="0"/>
        <w:spacing w:line="360" w:lineRule="auto"/>
        <w:ind w:firstLine="420"/>
        <w:jc w:val="center"/>
        <w:rPr>
          <w:rFonts w:ascii="宋体" w:hAnsi="宋体"/>
          <w:b/>
          <w:color w:val="auto"/>
          <w:sz w:val="28"/>
          <w:szCs w:val="28"/>
          <w:highlight w:val="none"/>
        </w:rPr>
      </w:pPr>
    </w:p>
    <w:p>
      <w:pPr>
        <w:snapToGrid w:val="0"/>
        <w:spacing w:line="360" w:lineRule="auto"/>
        <w:ind w:firstLine="420"/>
        <w:jc w:val="center"/>
        <w:rPr>
          <w:rFonts w:ascii="宋体" w:hAnsi="宋体" w:cs="宋体"/>
          <w:b/>
          <w:color w:val="auto"/>
          <w:sz w:val="28"/>
          <w:szCs w:val="28"/>
          <w:highlight w:val="none"/>
        </w:rPr>
      </w:pPr>
      <w:r>
        <w:rPr>
          <w:rFonts w:hint="eastAsia" w:ascii="宋体" w:hAnsi="宋体" w:cs="宋体"/>
          <w:b/>
          <w:color w:val="auto"/>
          <w:sz w:val="28"/>
          <w:szCs w:val="28"/>
          <w:highlight w:val="none"/>
        </w:rPr>
        <w:t>书面声明</w:t>
      </w:r>
    </w:p>
    <w:p>
      <w:pPr>
        <w:snapToGrid w:val="0"/>
        <w:spacing w:line="360" w:lineRule="auto"/>
        <w:ind w:firstLine="420"/>
        <w:jc w:val="center"/>
        <w:rPr>
          <w:rFonts w:ascii="宋体" w:hAnsi="宋体" w:cs="宋体"/>
          <w:b/>
          <w:color w:val="auto"/>
          <w:sz w:val="28"/>
          <w:szCs w:val="28"/>
          <w:highlight w:val="none"/>
        </w:rPr>
      </w:pPr>
    </w:p>
    <w:p>
      <w:pPr>
        <w:snapToGrid w:val="0"/>
        <w:spacing w:line="360" w:lineRule="auto"/>
        <w:jc w:val="left"/>
        <w:rPr>
          <w:rFonts w:ascii="宋体" w:hAnsi="宋体"/>
          <w:color w:val="auto"/>
          <w:szCs w:val="21"/>
          <w:highlight w:val="none"/>
        </w:rPr>
      </w:pPr>
      <w:r>
        <w:rPr>
          <w:rFonts w:hint="eastAsia" w:ascii="宋体" w:hAnsi="宋体"/>
          <w:color w:val="auto"/>
          <w:szCs w:val="21"/>
          <w:highlight w:val="none"/>
          <w:u w:val="single"/>
        </w:rPr>
        <w:t>国家税务总局罗定市税务局/广东广招招标采购有限公司</w:t>
      </w:r>
    </w:p>
    <w:p>
      <w:pPr>
        <w:snapToGrid w:val="0"/>
        <w:spacing w:line="360" w:lineRule="auto"/>
        <w:ind w:firstLine="420"/>
        <w:rPr>
          <w:rFonts w:ascii="宋体" w:hAnsi="宋体"/>
          <w:color w:val="auto"/>
          <w:szCs w:val="21"/>
          <w:highlight w:val="none"/>
        </w:rPr>
      </w:pPr>
      <w:r>
        <w:rPr>
          <w:rFonts w:hint="eastAsia" w:ascii="宋体" w:hAnsi="宋体"/>
          <w:color w:val="auto"/>
          <w:szCs w:val="21"/>
          <w:highlight w:val="none"/>
        </w:rPr>
        <w:t>根据《中华人民共和国政府采购法实施条例》的规定，我单位及附属机构，非为采购项目提供整体设计、规范编制或者项目管理、监理、检测等服务的供应商。否则，由此所造成的损失、不良后果及法律责任，一律由我单位承担。</w:t>
      </w:r>
    </w:p>
    <w:p>
      <w:pPr>
        <w:snapToGrid w:val="0"/>
        <w:spacing w:beforeLines="50" w:line="360" w:lineRule="auto"/>
        <w:ind w:firstLine="525" w:firstLineChars="250"/>
        <w:rPr>
          <w:rFonts w:ascii="宋体" w:hAnsi="宋体"/>
          <w:color w:val="auto"/>
          <w:szCs w:val="21"/>
          <w:highlight w:val="none"/>
        </w:rPr>
      </w:pPr>
    </w:p>
    <w:p>
      <w:pPr>
        <w:adjustRightInd w:val="0"/>
        <w:spacing w:line="360" w:lineRule="auto"/>
        <w:rPr>
          <w:rFonts w:ascii="宋体" w:hAnsi="宋体"/>
          <w:color w:val="auto"/>
          <w:szCs w:val="21"/>
          <w:highlight w:val="none"/>
          <w:u w:val="single"/>
        </w:rPr>
      </w:pPr>
      <w:r>
        <w:rPr>
          <w:rFonts w:hint="eastAsia" w:ascii="宋体" w:hAnsi="宋体"/>
          <w:color w:val="auto"/>
          <w:szCs w:val="21"/>
          <w:highlight w:val="none"/>
        </w:rPr>
        <w:t>投标人名称（单位盖公章）：</w:t>
      </w:r>
      <w:r>
        <w:rPr>
          <w:rFonts w:hint="eastAsia" w:ascii="宋体" w:hAnsi="宋体"/>
          <w:color w:val="auto"/>
          <w:szCs w:val="21"/>
          <w:highlight w:val="none"/>
          <w:u w:val="single"/>
        </w:rPr>
        <w:t xml:space="preserve">                        </w:t>
      </w:r>
    </w:p>
    <w:p>
      <w:pPr>
        <w:widowControl/>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w:t>
      </w:r>
    </w:p>
    <w:p>
      <w:pPr>
        <w:snapToGrid w:val="0"/>
        <w:spacing w:line="360" w:lineRule="auto"/>
        <w:rPr>
          <w:rFonts w:ascii="宋体" w:hAnsi="宋体" w:cs="宋体"/>
          <w:b/>
          <w:bCs/>
          <w:color w:val="auto"/>
          <w:sz w:val="24"/>
          <w:highlight w:val="none"/>
        </w:rPr>
      </w:pPr>
    </w:p>
    <w:p>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(7)单位负责人为同一人或者存在直接控股、管理关系的不同供应商，不得参加同一合同项下的政府采购活动的书面声明；</w:t>
      </w:r>
    </w:p>
    <w:p>
      <w:pPr>
        <w:snapToGrid w:val="0"/>
        <w:spacing w:line="360" w:lineRule="auto"/>
        <w:rPr>
          <w:rFonts w:ascii="宋体" w:hAnsi="宋体" w:cs="宋体"/>
          <w:color w:val="auto"/>
          <w:highlight w:val="none"/>
        </w:rPr>
      </w:pPr>
    </w:p>
    <w:p>
      <w:pPr>
        <w:snapToGrid w:val="0"/>
        <w:spacing w:line="360" w:lineRule="auto"/>
        <w:ind w:firstLine="420"/>
        <w:jc w:val="center"/>
        <w:rPr>
          <w:rFonts w:ascii="宋体" w:hAnsi="宋体" w:cs="宋体"/>
          <w:b/>
          <w:color w:val="auto"/>
          <w:sz w:val="28"/>
          <w:szCs w:val="28"/>
          <w:highlight w:val="none"/>
        </w:rPr>
      </w:pPr>
      <w:r>
        <w:rPr>
          <w:rFonts w:hint="eastAsia" w:ascii="宋体" w:hAnsi="宋体" w:cs="宋体"/>
          <w:b/>
          <w:color w:val="auto"/>
          <w:sz w:val="28"/>
          <w:szCs w:val="28"/>
          <w:highlight w:val="none"/>
        </w:rPr>
        <w:t>书面声明</w:t>
      </w:r>
    </w:p>
    <w:p>
      <w:pPr>
        <w:snapToGrid w:val="0"/>
        <w:spacing w:line="360" w:lineRule="auto"/>
        <w:ind w:firstLine="420"/>
        <w:jc w:val="center"/>
        <w:rPr>
          <w:rFonts w:ascii="宋体" w:hAnsi="宋体"/>
          <w:b/>
          <w:color w:val="auto"/>
          <w:sz w:val="28"/>
          <w:szCs w:val="28"/>
          <w:highlight w:val="none"/>
        </w:rPr>
      </w:pPr>
    </w:p>
    <w:p>
      <w:pPr>
        <w:snapToGrid w:val="0"/>
        <w:spacing w:line="360" w:lineRule="auto"/>
        <w:jc w:val="left"/>
        <w:rPr>
          <w:rFonts w:ascii="宋体" w:hAnsi="宋体"/>
          <w:color w:val="auto"/>
          <w:szCs w:val="21"/>
          <w:highlight w:val="none"/>
        </w:rPr>
      </w:pPr>
      <w:r>
        <w:rPr>
          <w:rFonts w:hint="eastAsia" w:ascii="宋体" w:hAnsi="宋体"/>
          <w:color w:val="auto"/>
          <w:szCs w:val="21"/>
          <w:highlight w:val="none"/>
          <w:u w:val="single"/>
        </w:rPr>
        <w:t>国家税务总局罗定市税务局/广东广招招标采购有限公司</w:t>
      </w:r>
    </w:p>
    <w:p>
      <w:pPr>
        <w:snapToGrid w:val="0"/>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我单位不存在“单位负责人为同一人或者存在直接控股、管理关系的不同供应商，参加同一包号投标或者未划分包号的同一招标项目投标”的情况。否则，由此所造成的损失、不良后果及法律责任，一律由我单位承担。</w:t>
      </w:r>
    </w:p>
    <w:p>
      <w:pPr>
        <w:snapToGrid w:val="0"/>
        <w:spacing w:line="360" w:lineRule="auto"/>
        <w:rPr>
          <w:rFonts w:ascii="宋体" w:hAnsi="宋体"/>
          <w:color w:val="auto"/>
          <w:szCs w:val="21"/>
          <w:highlight w:val="none"/>
        </w:rPr>
      </w:pPr>
    </w:p>
    <w:p>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投标人名称（单位盖公章）：</w:t>
      </w:r>
      <w:r>
        <w:rPr>
          <w:rFonts w:hint="eastAsia" w:ascii="宋体" w:hAnsi="宋体" w:cs="宋体"/>
          <w:color w:val="auto"/>
          <w:szCs w:val="21"/>
          <w:highlight w:val="none"/>
          <w:u w:val="single"/>
        </w:rPr>
        <w:t xml:space="preserve">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napToGrid w:val="0"/>
        <w:spacing w:line="360" w:lineRule="auto"/>
        <w:rPr>
          <w:rFonts w:ascii="宋体" w:hAnsi="宋体" w:cs="宋体"/>
          <w:color w:val="auto"/>
          <w:highlight w:val="none"/>
        </w:rPr>
      </w:pPr>
    </w:p>
    <w:p>
      <w:pPr>
        <w:spacing w:line="300" w:lineRule="auto"/>
        <w:jc w:val="left"/>
        <w:rPr>
          <w:rFonts w:ascii="宋体" w:hAnsi="宋体"/>
          <w:color w:val="auto"/>
          <w:sz w:val="24"/>
          <w:highlight w:val="none"/>
        </w:rPr>
      </w:pPr>
      <w:r>
        <w:rPr>
          <w:rFonts w:hint="eastAsia" w:ascii="宋体" w:hAnsi="宋体" w:cs="宋体"/>
          <w:b/>
          <w:bCs/>
          <w:color w:val="auto"/>
          <w:sz w:val="24"/>
          <w:highlight w:val="none"/>
        </w:rPr>
        <w:br w:type="page"/>
      </w:r>
      <w:r>
        <w:rPr>
          <w:rFonts w:hint="eastAsia" w:ascii="宋体" w:hAnsi="宋体"/>
          <w:b/>
          <w:bCs/>
          <w:color w:val="auto"/>
          <w:sz w:val="24"/>
          <w:highlight w:val="none"/>
        </w:rPr>
        <w:t>2.5实质性响应一览表（“★”项）</w:t>
      </w:r>
    </w:p>
    <w:p>
      <w:pPr>
        <w:spacing w:line="300" w:lineRule="auto"/>
        <w:jc w:val="left"/>
        <w:rPr>
          <w:rFonts w:ascii="宋体" w:hAnsi="宋体"/>
          <w:b/>
          <w:bCs/>
          <w:color w:val="auto"/>
          <w:szCs w:val="21"/>
          <w:highlight w:val="none"/>
        </w:rPr>
      </w:pPr>
      <w:r>
        <w:rPr>
          <w:rFonts w:hint="eastAsia" w:ascii="宋体" w:hAnsi="宋体"/>
          <w:color w:val="auto"/>
          <w:sz w:val="24"/>
          <w:highlight w:val="none"/>
        </w:rPr>
        <w:fldChar w:fldCharType="begin"/>
      </w:r>
      <w:r>
        <w:rPr>
          <w:rFonts w:hint="eastAsia" w:ascii="宋体" w:hAnsi="宋体"/>
          <w:color w:val="auto"/>
          <w:sz w:val="24"/>
          <w:highlight w:val="none"/>
        </w:rPr>
        <w:instrText xml:space="preserve"> DOCVARIABLE  商务条款响应表开始  \* MERGEFORMAT </w:instrText>
      </w:r>
      <w:r>
        <w:rPr>
          <w:rFonts w:hint="eastAsia" w:ascii="宋体" w:hAnsi="宋体"/>
          <w:color w:val="auto"/>
          <w:sz w:val="24"/>
          <w:highlight w:val="none"/>
        </w:rPr>
        <w:fldChar w:fldCharType="end"/>
      </w:r>
      <w:r>
        <w:rPr>
          <w:rFonts w:hint="eastAsia" w:ascii="宋体" w:hAnsi="宋体"/>
          <w:color w:val="auto"/>
          <w:sz w:val="24"/>
          <w:highlight w:val="none"/>
        </w:rPr>
        <w:fldChar w:fldCharType="begin"/>
      </w:r>
      <w:r>
        <w:rPr>
          <w:rFonts w:hint="eastAsia" w:ascii="宋体" w:hAnsi="宋体"/>
          <w:color w:val="auto"/>
          <w:sz w:val="24"/>
          <w:highlight w:val="none"/>
        </w:rPr>
        <w:instrText xml:space="preserve"> DOCVARIABLE  商务条款响应表开始  \* MERGEFORMAT </w:instrText>
      </w:r>
      <w:r>
        <w:rPr>
          <w:rFonts w:hint="eastAsia" w:ascii="宋体" w:hAnsi="宋体"/>
          <w:color w:val="auto"/>
          <w:sz w:val="24"/>
          <w:highlight w:val="none"/>
        </w:rPr>
        <w:fldChar w:fldCharType="end"/>
      </w:r>
    </w:p>
    <w:p>
      <w:pPr>
        <w:spacing w:line="400" w:lineRule="exact"/>
        <w:ind w:left="1194" w:leftChars="100" w:hanging="984" w:hangingChars="350"/>
        <w:jc w:val="center"/>
        <w:rPr>
          <w:rFonts w:ascii="宋体" w:hAnsi="宋体"/>
          <w:b/>
          <w:color w:val="auto"/>
          <w:sz w:val="28"/>
          <w:szCs w:val="28"/>
          <w:highlight w:val="none"/>
        </w:rPr>
      </w:pPr>
      <w:r>
        <w:rPr>
          <w:rFonts w:hint="eastAsia" w:ascii="宋体" w:hAnsi="宋体"/>
          <w:b/>
          <w:color w:val="auto"/>
          <w:sz w:val="28"/>
          <w:szCs w:val="28"/>
          <w:highlight w:val="none"/>
        </w:rPr>
        <w:t>实质性响应一览表（“★”项）</w:t>
      </w:r>
    </w:p>
    <w:p>
      <w:pPr>
        <w:spacing w:line="400" w:lineRule="exact"/>
        <w:ind w:left="945" w:leftChars="100" w:hanging="735" w:hangingChars="350"/>
        <w:rPr>
          <w:rFonts w:ascii="宋体" w:hAnsi="宋体"/>
          <w:color w:val="auto"/>
          <w:highlight w:val="none"/>
        </w:rPr>
      </w:pPr>
    </w:p>
    <w:p>
      <w:pPr>
        <w:spacing w:line="360" w:lineRule="auto"/>
        <w:ind w:left="945" w:leftChars="100" w:hanging="735" w:hangingChars="350"/>
        <w:rPr>
          <w:rFonts w:ascii="宋体" w:hAnsi="宋体"/>
          <w:color w:val="auto"/>
          <w:highlight w:val="none"/>
        </w:rPr>
      </w:pPr>
      <w:r>
        <w:rPr>
          <w:rFonts w:hint="eastAsia" w:ascii="宋体" w:hAnsi="宋体"/>
          <w:color w:val="auto"/>
          <w:highlight w:val="none"/>
        </w:rPr>
        <w:t>项目名称：</w:t>
      </w:r>
      <w:r>
        <w:rPr>
          <w:rFonts w:hint="eastAsia" w:ascii="宋体" w:hAnsi="宋体"/>
          <w:color w:val="auto"/>
          <w:highlight w:val="none"/>
          <w:u w:val="single"/>
        </w:rPr>
        <w:t>国家税务总局罗定市税务局机关及下属税务分局物业管理服务项目</w:t>
      </w:r>
    </w:p>
    <w:p>
      <w:pPr>
        <w:spacing w:line="360" w:lineRule="auto"/>
        <w:ind w:left="945" w:leftChars="100" w:hanging="735" w:hangingChars="350"/>
        <w:rPr>
          <w:rFonts w:ascii="宋体" w:hAnsi="宋体"/>
          <w:color w:val="auto"/>
          <w:highlight w:val="none"/>
          <w:u w:val="single"/>
        </w:rPr>
      </w:pPr>
      <w:r>
        <w:rPr>
          <w:rFonts w:hint="eastAsia" w:ascii="宋体" w:hAnsi="宋体"/>
          <w:color w:val="auto"/>
          <w:highlight w:val="none"/>
        </w:rPr>
        <w:t>项目编号：</w:t>
      </w:r>
      <w:r>
        <w:rPr>
          <w:rFonts w:hint="eastAsia" w:ascii="宋体" w:hAnsi="宋体"/>
          <w:color w:val="auto"/>
          <w:highlight w:val="none"/>
          <w:u w:val="single"/>
        </w:rPr>
        <w:t>0877-23GZTP01Y774</w:t>
      </w:r>
    </w:p>
    <w:p>
      <w:pPr>
        <w:widowControl/>
        <w:wordWrap w:val="0"/>
        <w:spacing w:line="360" w:lineRule="auto"/>
        <w:ind w:firstLine="210" w:firstLineChars="100"/>
        <w:jc w:val="left"/>
        <w:rPr>
          <w:rFonts w:ascii="宋体" w:hAnsi="宋体"/>
          <w:color w:val="auto"/>
          <w:highlight w:val="none"/>
        </w:rPr>
      </w:pPr>
      <w:r>
        <w:rPr>
          <w:rFonts w:hint="eastAsia" w:ascii="宋体" w:hAnsi="宋体"/>
          <w:color w:val="auto"/>
          <w:highlight w:val="none"/>
        </w:rPr>
        <w:t xml:space="preserve">                                           </w:t>
      </w:r>
    </w:p>
    <w:tbl>
      <w:tblPr>
        <w:tblStyle w:val="6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2644"/>
        <w:gridCol w:w="2244"/>
        <w:gridCol w:w="187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602" w:type="dxa"/>
            <w:vAlign w:val="center"/>
          </w:tcPr>
          <w:p>
            <w:pPr>
              <w:ind w:left="-63" w:leftChars="-30" w:right="-61" w:rightChars="-29"/>
              <w:jc w:val="center"/>
              <w:rPr>
                <w:rFonts w:ascii="宋体" w:hAnsi="宋体"/>
                <w:color w:val="auto"/>
                <w:szCs w:val="21"/>
                <w:highlight w:val="none"/>
              </w:rPr>
            </w:pPr>
            <w:r>
              <w:rPr>
                <w:rFonts w:hint="eastAsia" w:ascii="宋体" w:hAnsi="宋体"/>
                <w:color w:val="auto"/>
                <w:szCs w:val="21"/>
                <w:highlight w:val="none"/>
              </w:rPr>
              <w:t>序号</w:t>
            </w:r>
          </w:p>
        </w:tc>
        <w:tc>
          <w:tcPr>
            <w:tcW w:w="2644" w:type="dxa"/>
            <w:vAlign w:val="center"/>
          </w:tcPr>
          <w:p>
            <w:pPr>
              <w:jc w:val="center"/>
              <w:rPr>
                <w:rFonts w:ascii="宋体" w:hAnsi="宋体"/>
                <w:color w:val="auto"/>
                <w:highlight w:val="none"/>
              </w:rPr>
            </w:pPr>
            <w:r>
              <w:rPr>
                <w:rFonts w:hint="eastAsia" w:ascii="宋体" w:hAnsi="宋体"/>
                <w:color w:val="auto"/>
                <w:highlight w:val="none"/>
              </w:rPr>
              <w:t>原条款描述</w:t>
            </w:r>
          </w:p>
        </w:tc>
        <w:tc>
          <w:tcPr>
            <w:tcW w:w="2244" w:type="dxa"/>
            <w:vAlign w:val="center"/>
          </w:tcPr>
          <w:p>
            <w:pPr>
              <w:jc w:val="center"/>
              <w:rPr>
                <w:rFonts w:ascii="宋体" w:hAnsi="宋体"/>
                <w:color w:val="auto"/>
                <w:highlight w:val="none"/>
              </w:rPr>
            </w:pPr>
            <w:r>
              <w:rPr>
                <w:rFonts w:hint="eastAsia" w:ascii="宋体" w:hAnsi="宋体"/>
                <w:color w:val="auto"/>
                <w:highlight w:val="none"/>
              </w:rPr>
              <w:t>投标人响应描述</w:t>
            </w:r>
          </w:p>
        </w:tc>
        <w:tc>
          <w:tcPr>
            <w:tcW w:w="1876" w:type="dxa"/>
            <w:vAlign w:val="center"/>
          </w:tcPr>
          <w:p>
            <w:pPr>
              <w:jc w:val="center"/>
              <w:rPr>
                <w:rFonts w:ascii="宋体" w:hAnsi="宋体"/>
                <w:color w:val="auto"/>
                <w:highlight w:val="none"/>
              </w:rPr>
            </w:pPr>
            <w:r>
              <w:rPr>
                <w:rFonts w:hint="eastAsia" w:ascii="宋体" w:hAnsi="宋体"/>
                <w:color w:val="auto"/>
                <w:highlight w:val="none"/>
              </w:rPr>
              <w:t>偏离情况说明</w:t>
            </w:r>
          </w:p>
          <w:p>
            <w:pPr>
              <w:jc w:val="center"/>
              <w:rPr>
                <w:rFonts w:ascii="宋体" w:hAnsi="宋体"/>
                <w:color w:val="auto"/>
                <w:highlight w:val="none"/>
              </w:rPr>
            </w:pPr>
            <w:r>
              <w:rPr>
                <w:rFonts w:hint="eastAsia" w:ascii="宋体" w:hAnsi="宋体"/>
                <w:color w:val="auto"/>
                <w:highlight w:val="none"/>
              </w:rPr>
              <w:t>（正偏离/完全响应/负偏离）</w:t>
            </w:r>
          </w:p>
        </w:tc>
        <w:tc>
          <w:tcPr>
            <w:tcW w:w="1952" w:type="dxa"/>
            <w:vAlign w:val="center"/>
          </w:tcPr>
          <w:p>
            <w:pPr>
              <w:jc w:val="center"/>
              <w:rPr>
                <w:rFonts w:ascii="宋体" w:hAnsi="宋体"/>
                <w:color w:val="auto"/>
                <w:highlight w:val="none"/>
              </w:rPr>
            </w:pPr>
            <w:r>
              <w:rPr>
                <w:rFonts w:hint="eastAsia" w:ascii="宋体" w:hAnsi="宋体"/>
                <w:color w:val="auto"/>
                <w:highlight w:val="none"/>
              </w:rPr>
              <w:t>查阅/证明文件指引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602" w:type="dxa"/>
            <w:vAlign w:val="center"/>
          </w:tcPr>
          <w:p>
            <w:pPr>
              <w:numPr>
                <w:ilvl w:val="0"/>
                <w:numId w:val="29"/>
              </w:numPr>
              <w:spacing w:line="400" w:lineRule="exact"/>
              <w:jc w:val="center"/>
              <w:rPr>
                <w:rFonts w:ascii="宋体" w:hAnsi="宋体"/>
                <w:color w:val="auto"/>
                <w:szCs w:val="21"/>
                <w:highlight w:val="none"/>
              </w:rPr>
            </w:pPr>
          </w:p>
        </w:tc>
        <w:tc>
          <w:tcPr>
            <w:tcW w:w="2644" w:type="dxa"/>
            <w:vAlign w:val="center"/>
          </w:tcPr>
          <w:p>
            <w:pPr>
              <w:rPr>
                <w:rFonts w:ascii="宋体" w:hAnsi="宋体"/>
                <w:color w:val="auto"/>
                <w:highlight w:val="none"/>
              </w:rPr>
            </w:pPr>
          </w:p>
        </w:tc>
        <w:tc>
          <w:tcPr>
            <w:tcW w:w="2244" w:type="dxa"/>
            <w:vAlign w:val="center"/>
          </w:tcPr>
          <w:p>
            <w:pPr>
              <w:jc w:val="center"/>
              <w:rPr>
                <w:rFonts w:ascii="宋体" w:hAnsi="宋体"/>
                <w:color w:val="auto"/>
                <w:highlight w:val="none"/>
              </w:rPr>
            </w:pPr>
          </w:p>
        </w:tc>
        <w:tc>
          <w:tcPr>
            <w:tcW w:w="1876" w:type="dxa"/>
            <w:vAlign w:val="center"/>
          </w:tcPr>
          <w:p>
            <w:pPr>
              <w:jc w:val="center"/>
              <w:rPr>
                <w:rFonts w:ascii="宋体" w:hAnsi="宋体"/>
                <w:color w:val="auto"/>
                <w:highlight w:val="none"/>
              </w:rPr>
            </w:pPr>
          </w:p>
        </w:tc>
        <w:tc>
          <w:tcPr>
            <w:tcW w:w="1952" w:type="dxa"/>
            <w:vAlign w:val="center"/>
          </w:tcPr>
          <w:p>
            <w:pPr>
              <w:rPr>
                <w:rFonts w:ascii="宋体" w:hAnsi="宋体"/>
                <w:color w:val="auto"/>
                <w:szCs w:val="21"/>
                <w:highlight w:val="none"/>
              </w:rPr>
            </w:pPr>
            <w:r>
              <w:rPr>
                <w:rFonts w:hint="eastAsia" w:ascii="宋体" w:hAnsi="宋体"/>
                <w:color w:val="auto"/>
                <w:szCs w:val="21"/>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02" w:type="dxa"/>
            <w:vAlign w:val="center"/>
          </w:tcPr>
          <w:p>
            <w:pPr>
              <w:numPr>
                <w:ilvl w:val="0"/>
                <w:numId w:val="29"/>
              </w:numPr>
              <w:spacing w:line="400" w:lineRule="exact"/>
              <w:jc w:val="center"/>
              <w:rPr>
                <w:rFonts w:ascii="宋体" w:hAnsi="宋体"/>
                <w:color w:val="auto"/>
                <w:szCs w:val="21"/>
                <w:highlight w:val="none"/>
              </w:rPr>
            </w:pPr>
          </w:p>
        </w:tc>
        <w:tc>
          <w:tcPr>
            <w:tcW w:w="2644" w:type="dxa"/>
            <w:vAlign w:val="center"/>
          </w:tcPr>
          <w:p>
            <w:pPr>
              <w:rPr>
                <w:rFonts w:ascii="宋体" w:hAnsi="宋体"/>
                <w:color w:val="auto"/>
                <w:highlight w:val="none"/>
              </w:rPr>
            </w:pPr>
          </w:p>
        </w:tc>
        <w:tc>
          <w:tcPr>
            <w:tcW w:w="2244" w:type="dxa"/>
            <w:vAlign w:val="center"/>
          </w:tcPr>
          <w:p>
            <w:pPr>
              <w:jc w:val="center"/>
              <w:rPr>
                <w:rFonts w:ascii="宋体" w:hAnsi="宋体"/>
                <w:color w:val="auto"/>
                <w:highlight w:val="none"/>
              </w:rPr>
            </w:pPr>
          </w:p>
        </w:tc>
        <w:tc>
          <w:tcPr>
            <w:tcW w:w="1876" w:type="dxa"/>
            <w:vAlign w:val="center"/>
          </w:tcPr>
          <w:p>
            <w:pPr>
              <w:jc w:val="center"/>
              <w:rPr>
                <w:rFonts w:ascii="宋体" w:hAnsi="宋体"/>
                <w:color w:val="auto"/>
                <w:highlight w:val="none"/>
              </w:rPr>
            </w:pPr>
          </w:p>
        </w:tc>
        <w:tc>
          <w:tcPr>
            <w:tcW w:w="1952" w:type="dxa"/>
            <w:vAlign w:val="center"/>
          </w:tcPr>
          <w:p>
            <w:pPr>
              <w:rPr>
                <w:rFonts w:ascii="宋体" w:hAnsi="宋体"/>
                <w:color w:val="auto"/>
                <w:sz w:val="18"/>
                <w:szCs w:val="18"/>
                <w:highlight w:val="none"/>
              </w:rPr>
            </w:pPr>
            <w:r>
              <w:rPr>
                <w:rFonts w:hint="eastAsia" w:ascii="宋体" w:hAnsi="宋体"/>
                <w:color w:val="auto"/>
                <w:szCs w:val="21"/>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02" w:type="dxa"/>
            <w:vAlign w:val="center"/>
          </w:tcPr>
          <w:p>
            <w:pPr>
              <w:numPr>
                <w:ilvl w:val="0"/>
                <w:numId w:val="29"/>
              </w:numPr>
              <w:spacing w:line="400" w:lineRule="exact"/>
              <w:jc w:val="center"/>
              <w:rPr>
                <w:rFonts w:ascii="宋体" w:hAnsi="宋体"/>
                <w:color w:val="auto"/>
                <w:szCs w:val="21"/>
                <w:highlight w:val="none"/>
              </w:rPr>
            </w:pPr>
          </w:p>
        </w:tc>
        <w:tc>
          <w:tcPr>
            <w:tcW w:w="2644" w:type="dxa"/>
            <w:vAlign w:val="center"/>
          </w:tcPr>
          <w:p>
            <w:pPr>
              <w:spacing w:line="400" w:lineRule="exact"/>
              <w:rPr>
                <w:rFonts w:ascii="宋体" w:hAnsi="宋体"/>
                <w:color w:val="auto"/>
                <w:highlight w:val="none"/>
              </w:rPr>
            </w:pPr>
          </w:p>
        </w:tc>
        <w:tc>
          <w:tcPr>
            <w:tcW w:w="2244" w:type="dxa"/>
            <w:vAlign w:val="center"/>
          </w:tcPr>
          <w:p>
            <w:pPr>
              <w:spacing w:line="400" w:lineRule="exact"/>
              <w:jc w:val="center"/>
              <w:rPr>
                <w:rFonts w:ascii="宋体" w:hAnsi="宋体"/>
                <w:color w:val="auto"/>
                <w:highlight w:val="none"/>
              </w:rPr>
            </w:pPr>
          </w:p>
        </w:tc>
        <w:tc>
          <w:tcPr>
            <w:tcW w:w="1876" w:type="dxa"/>
            <w:vAlign w:val="center"/>
          </w:tcPr>
          <w:p>
            <w:pPr>
              <w:spacing w:line="400" w:lineRule="exact"/>
              <w:jc w:val="center"/>
              <w:rPr>
                <w:rFonts w:ascii="宋体" w:hAnsi="宋体"/>
                <w:color w:val="auto"/>
                <w:highlight w:val="none"/>
              </w:rPr>
            </w:pPr>
          </w:p>
        </w:tc>
        <w:tc>
          <w:tcPr>
            <w:tcW w:w="1952" w:type="dxa"/>
            <w:vAlign w:val="center"/>
          </w:tcPr>
          <w:p>
            <w:pPr>
              <w:rPr>
                <w:rFonts w:ascii="宋体" w:hAnsi="宋体"/>
                <w:color w:val="auto"/>
                <w:highlight w:val="none"/>
              </w:rPr>
            </w:pPr>
            <w:r>
              <w:rPr>
                <w:rFonts w:hint="eastAsia" w:ascii="宋体" w:hAnsi="宋体"/>
                <w:color w:val="auto"/>
                <w:szCs w:val="21"/>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02" w:type="dxa"/>
            <w:vAlign w:val="center"/>
          </w:tcPr>
          <w:p>
            <w:pPr>
              <w:numPr>
                <w:ilvl w:val="0"/>
                <w:numId w:val="29"/>
              </w:numPr>
              <w:spacing w:line="400" w:lineRule="exact"/>
              <w:jc w:val="center"/>
              <w:rPr>
                <w:rFonts w:ascii="宋体" w:hAnsi="宋体"/>
                <w:color w:val="auto"/>
                <w:szCs w:val="21"/>
                <w:highlight w:val="none"/>
              </w:rPr>
            </w:pPr>
          </w:p>
        </w:tc>
        <w:tc>
          <w:tcPr>
            <w:tcW w:w="2644" w:type="dxa"/>
            <w:vAlign w:val="center"/>
          </w:tcPr>
          <w:p>
            <w:pPr>
              <w:spacing w:line="400" w:lineRule="exact"/>
              <w:rPr>
                <w:rFonts w:ascii="宋体" w:hAnsi="宋体"/>
                <w:color w:val="auto"/>
                <w:highlight w:val="none"/>
              </w:rPr>
            </w:pPr>
          </w:p>
        </w:tc>
        <w:tc>
          <w:tcPr>
            <w:tcW w:w="2244" w:type="dxa"/>
            <w:vAlign w:val="center"/>
          </w:tcPr>
          <w:p>
            <w:pPr>
              <w:spacing w:line="400" w:lineRule="exact"/>
              <w:jc w:val="center"/>
              <w:rPr>
                <w:rFonts w:ascii="宋体" w:hAnsi="宋体"/>
                <w:color w:val="auto"/>
                <w:highlight w:val="none"/>
              </w:rPr>
            </w:pPr>
          </w:p>
        </w:tc>
        <w:tc>
          <w:tcPr>
            <w:tcW w:w="1876" w:type="dxa"/>
            <w:vAlign w:val="center"/>
          </w:tcPr>
          <w:p>
            <w:pPr>
              <w:spacing w:line="400" w:lineRule="exact"/>
              <w:jc w:val="center"/>
              <w:rPr>
                <w:rFonts w:ascii="宋体" w:hAnsi="宋体"/>
                <w:color w:val="auto"/>
                <w:highlight w:val="none"/>
              </w:rPr>
            </w:pPr>
          </w:p>
        </w:tc>
        <w:tc>
          <w:tcPr>
            <w:tcW w:w="1952" w:type="dxa"/>
            <w:vAlign w:val="center"/>
          </w:tcPr>
          <w:p>
            <w:pPr>
              <w:rPr>
                <w:rFonts w:ascii="宋体" w:hAnsi="宋体"/>
                <w:color w:val="auto"/>
                <w:highlight w:val="none"/>
              </w:rPr>
            </w:pPr>
            <w:r>
              <w:rPr>
                <w:rFonts w:hint="eastAsia" w:ascii="宋体" w:hAnsi="宋体"/>
                <w:color w:val="auto"/>
                <w:szCs w:val="21"/>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02" w:type="dxa"/>
            <w:vAlign w:val="center"/>
          </w:tcPr>
          <w:p>
            <w:pPr>
              <w:numPr>
                <w:ilvl w:val="0"/>
                <w:numId w:val="29"/>
              </w:numPr>
              <w:spacing w:line="400" w:lineRule="exact"/>
              <w:jc w:val="center"/>
              <w:rPr>
                <w:rFonts w:ascii="宋体" w:hAnsi="宋体"/>
                <w:color w:val="auto"/>
                <w:szCs w:val="21"/>
                <w:highlight w:val="none"/>
              </w:rPr>
            </w:pPr>
          </w:p>
        </w:tc>
        <w:tc>
          <w:tcPr>
            <w:tcW w:w="2644" w:type="dxa"/>
            <w:vAlign w:val="center"/>
          </w:tcPr>
          <w:p>
            <w:pPr>
              <w:spacing w:line="400" w:lineRule="exact"/>
              <w:rPr>
                <w:rFonts w:ascii="宋体" w:hAnsi="宋体"/>
                <w:color w:val="auto"/>
                <w:highlight w:val="none"/>
              </w:rPr>
            </w:pPr>
            <w:r>
              <w:rPr>
                <w:rFonts w:hint="eastAsia" w:ascii="宋体" w:hAnsi="宋体"/>
                <w:color w:val="auto"/>
                <w:szCs w:val="21"/>
                <w:highlight w:val="none"/>
              </w:rPr>
              <w:t>……</w:t>
            </w:r>
          </w:p>
        </w:tc>
        <w:tc>
          <w:tcPr>
            <w:tcW w:w="2244" w:type="dxa"/>
            <w:vAlign w:val="center"/>
          </w:tcPr>
          <w:p>
            <w:pPr>
              <w:spacing w:line="400" w:lineRule="exact"/>
              <w:jc w:val="center"/>
              <w:rPr>
                <w:rFonts w:ascii="宋体" w:hAnsi="宋体"/>
                <w:color w:val="auto"/>
                <w:highlight w:val="none"/>
              </w:rPr>
            </w:pPr>
          </w:p>
        </w:tc>
        <w:tc>
          <w:tcPr>
            <w:tcW w:w="1876" w:type="dxa"/>
            <w:vAlign w:val="center"/>
          </w:tcPr>
          <w:p>
            <w:pPr>
              <w:spacing w:line="400" w:lineRule="exact"/>
              <w:jc w:val="center"/>
              <w:rPr>
                <w:rFonts w:ascii="宋体" w:hAnsi="宋体"/>
                <w:color w:val="auto"/>
                <w:highlight w:val="none"/>
              </w:rPr>
            </w:pPr>
          </w:p>
        </w:tc>
        <w:tc>
          <w:tcPr>
            <w:tcW w:w="1952" w:type="dxa"/>
            <w:vAlign w:val="center"/>
          </w:tcPr>
          <w:p>
            <w:pPr>
              <w:rPr>
                <w:rFonts w:ascii="宋体" w:hAnsi="宋体"/>
                <w:color w:val="auto"/>
                <w:highlight w:val="none"/>
              </w:rPr>
            </w:pPr>
            <w:r>
              <w:rPr>
                <w:rFonts w:hint="eastAsia" w:ascii="宋体" w:hAnsi="宋体"/>
                <w:color w:val="auto"/>
                <w:szCs w:val="21"/>
                <w:highlight w:val="none"/>
              </w:rPr>
              <w:t>见投标文件（）页</w:t>
            </w:r>
          </w:p>
        </w:tc>
      </w:tr>
    </w:tbl>
    <w:p>
      <w:pPr>
        <w:adjustRightInd w:val="0"/>
        <w:snapToGrid w:val="0"/>
        <w:spacing w:line="300" w:lineRule="auto"/>
        <w:rPr>
          <w:rFonts w:ascii="宋体" w:hAnsi="宋体"/>
          <w:color w:val="auto"/>
          <w:szCs w:val="21"/>
          <w:highlight w:val="none"/>
        </w:rPr>
      </w:pPr>
    </w:p>
    <w:p>
      <w:pPr>
        <w:adjustRightInd w:val="0"/>
        <w:snapToGrid w:val="0"/>
        <w:spacing w:line="300" w:lineRule="auto"/>
        <w:rPr>
          <w:rFonts w:ascii="宋体" w:hAnsi="宋体"/>
          <w:color w:val="auto"/>
          <w:szCs w:val="21"/>
          <w:highlight w:val="none"/>
        </w:rPr>
      </w:pPr>
    </w:p>
    <w:p>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投标人名称（单位盖公章）：</w:t>
      </w:r>
      <w:r>
        <w:rPr>
          <w:rFonts w:hint="eastAsia" w:ascii="宋体" w:hAnsi="宋体" w:cs="宋体"/>
          <w:color w:val="auto"/>
          <w:szCs w:val="21"/>
          <w:highlight w:val="none"/>
          <w:u w:val="single"/>
        </w:rPr>
        <w:t xml:space="preserve">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adjustRightInd w:val="0"/>
        <w:snapToGrid w:val="0"/>
        <w:spacing w:line="300" w:lineRule="auto"/>
        <w:rPr>
          <w:rFonts w:ascii="宋体" w:hAnsi="宋体"/>
          <w:color w:val="auto"/>
          <w:szCs w:val="21"/>
          <w:highlight w:val="none"/>
        </w:rPr>
      </w:pPr>
    </w:p>
    <w:p>
      <w:pPr>
        <w:adjustRightInd w:val="0"/>
        <w:snapToGrid w:val="0"/>
        <w:spacing w:line="300" w:lineRule="auto"/>
        <w:rPr>
          <w:rFonts w:ascii="宋体" w:hAnsi="宋体"/>
          <w:color w:val="auto"/>
          <w:szCs w:val="21"/>
          <w:highlight w:val="none"/>
        </w:rPr>
      </w:pPr>
    </w:p>
    <w:p>
      <w:pPr>
        <w:adjustRightInd w:val="0"/>
        <w:snapToGrid w:val="0"/>
        <w:spacing w:line="300" w:lineRule="auto"/>
        <w:rPr>
          <w:rFonts w:ascii="宋体" w:hAnsi="宋体"/>
          <w:color w:val="auto"/>
          <w:szCs w:val="21"/>
          <w:highlight w:val="none"/>
        </w:rPr>
      </w:pPr>
    </w:p>
    <w:p>
      <w:pPr>
        <w:rPr>
          <w:rFonts w:ascii="宋体" w:hAnsi="宋体"/>
          <w:b/>
          <w:bCs/>
          <w:color w:val="auto"/>
          <w:sz w:val="16"/>
          <w:szCs w:val="16"/>
          <w:highlight w:val="none"/>
        </w:rPr>
      </w:pPr>
      <w:r>
        <w:rPr>
          <w:rFonts w:ascii="宋体" w:hAnsi="宋体"/>
          <w:b/>
          <w:bCs/>
          <w:color w:val="auto"/>
          <w:sz w:val="16"/>
          <w:szCs w:val="16"/>
          <w:highlight w:val="none"/>
        </w:rPr>
        <w:t>--</w:t>
      </w:r>
      <w:r>
        <w:rPr>
          <w:rFonts w:hint="eastAsia" w:ascii="宋体" w:hAnsi="宋体"/>
          <w:b/>
          <w:bCs/>
          <w:color w:val="auto"/>
          <w:sz w:val="16"/>
          <w:szCs w:val="16"/>
          <w:highlight w:val="none"/>
        </w:rPr>
        <w:t>备注</w:t>
      </w:r>
      <w:r>
        <w:rPr>
          <w:rFonts w:ascii="宋体" w:hAnsi="宋体"/>
          <w:b/>
          <w:bCs/>
          <w:color w:val="auto"/>
          <w:sz w:val="16"/>
          <w:szCs w:val="16"/>
          <w:highlight w:val="none"/>
        </w:rPr>
        <w:t>--</w:t>
      </w:r>
    </w:p>
    <w:p>
      <w:pPr>
        <w:pBdr>
          <w:top w:val="single" w:color="auto" w:sz="4" w:space="1"/>
          <w:left w:val="single" w:color="auto" w:sz="4" w:space="4"/>
          <w:bottom w:val="single" w:color="auto" w:sz="4" w:space="1"/>
          <w:right w:val="single" w:color="auto" w:sz="4" w:space="4"/>
        </w:pBdr>
        <w:tabs>
          <w:tab w:val="left" w:pos="6120"/>
        </w:tabs>
        <w:rPr>
          <w:rFonts w:ascii="宋体" w:hAnsi="宋体" w:cs="Arial"/>
          <w:i/>
          <w:color w:val="auto"/>
          <w:sz w:val="16"/>
          <w:szCs w:val="16"/>
          <w:highlight w:val="none"/>
        </w:rPr>
      </w:pPr>
      <w:r>
        <w:rPr>
          <w:rFonts w:hint="eastAsia" w:ascii="宋体" w:hAnsi="宋体" w:cs="Arial"/>
          <w:i/>
          <w:color w:val="auto"/>
          <w:sz w:val="16"/>
          <w:szCs w:val="16"/>
          <w:highlight w:val="none"/>
        </w:rPr>
        <w:t>1.《第六部分 投标文件格式》所有斜体字仅用于指导投标人编制投标文件，投标人应在最终提交的投标文件中将其删除；</w:t>
      </w:r>
    </w:p>
    <w:p>
      <w:pPr>
        <w:pBdr>
          <w:top w:val="single" w:color="auto" w:sz="4" w:space="1"/>
          <w:left w:val="single" w:color="auto" w:sz="4" w:space="4"/>
          <w:bottom w:val="single" w:color="auto" w:sz="4" w:space="1"/>
          <w:right w:val="single" w:color="auto" w:sz="4" w:space="4"/>
        </w:pBdr>
        <w:tabs>
          <w:tab w:val="left" w:pos="6120"/>
        </w:tabs>
        <w:rPr>
          <w:rFonts w:ascii="宋体" w:hAnsi="宋体" w:cs="Arial"/>
          <w:i/>
          <w:color w:val="auto"/>
          <w:sz w:val="16"/>
          <w:szCs w:val="16"/>
          <w:highlight w:val="none"/>
        </w:rPr>
      </w:pPr>
      <w:r>
        <w:rPr>
          <w:rFonts w:hint="eastAsia" w:ascii="宋体" w:hAnsi="宋体" w:cs="Arial"/>
          <w:i/>
          <w:color w:val="auto"/>
          <w:sz w:val="16"/>
          <w:szCs w:val="16"/>
          <w:highlight w:val="none"/>
        </w:rPr>
        <w:t>2.投标人必须对应《第二部分 采购需求书》带“★”的实质性条款逐条应答并按要求填写本表；若《第二部分 采购需求书》无带“★”的实质性条款，则在第一行填写“本项目无带“★”的实质性条款；</w:t>
      </w:r>
    </w:p>
    <w:p>
      <w:pPr>
        <w:pBdr>
          <w:top w:val="single" w:color="auto" w:sz="4" w:space="1"/>
          <w:left w:val="single" w:color="auto" w:sz="4" w:space="4"/>
          <w:bottom w:val="single" w:color="auto" w:sz="4" w:space="1"/>
          <w:right w:val="single" w:color="auto" w:sz="4" w:space="4"/>
        </w:pBdr>
        <w:tabs>
          <w:tab w:val="left" w:pos="6120"/>
        </w:tabs>
        <w:rPr>
          <w:rFonts w:ascii="宋体" w:hAnsi="宋体"/>
          <w:color w:val="auto"/>
          <w:szCs w:val="21"/>
          <w:highlight w:val="none"/>
        </w:rPr>
      </w:pPr>
      <w:r>
        <w:rPr>
          <w:rFonts w:hint="eastAsia" w:ascii="宋体" w:hAnsi="宋体" w:cs="Arial"/>
          <w:i/>
          <w:color w:val="auto"/>
          <w:sz w:val="16"/>
          <w:szCs w:val="16"/>
          <w:highlight w:val="none"/>
        </w:rPr>
        <w:t>3.带“★”的实质性条款均为必须完全满足指标，投标人若有一项带“★”的条款未响应或不满足，将被确定为投标无效。</w:t>
      </w:r>
    </w:p>
    <w:p>
      <w:pPr>
        <w:adjustRightInd w:val="0"/>
        <w:snapToGrid w:val="0"/>
        <w:spacing w:line="300" w:lineRule="auto"/>
        <w:rPr>
          <w:rFonts w:ascii="宋体" w:hAnsi="宋体"/>
          <w:color w:val="auto"/>
          <w:szCs w:val="21"/>
          <w:highlight w:val="none"/>
        </w:rPr>
      </w:pPr>
    </w:p>
    <w:p>
      <w:pPr>
        <w:spacing w:line="300" w:lineRule="auto"/>
        <w:jc w:val="center"/>
        <w:rPr>
          <w:rFonts w:ascii="宋体" w:hAnsi="宋体"/>
          <w:color w:val="auto"/>
          <w:sz w:val="28"/>
          <w:szCs w:val="28"/>
          <w:highlight w:val="none"/>
        </w:rPr>
      </w:pPr>
      <w:r>
        <w:rPr>
          <w:rFonts w:ascii="宋体" w:hAnsi="宋体"/>
          <w:color w:val="auto"/>
          <w:highlight w:val="none"/>
        </w:rPr>
        <w:br w:type="page"/>
      </w:r>
      <w:r>
        <w:rPr>
          <w:rFonts w:hint="eastAsia" w:ascii="宋体" w:hAnsi="宋体"/>
          <w:color w:val="auto"/>
          <w:sz w:val="28"/>
          <w:szCs w:val="28"/>
          <w:highlight w:val="none"/>
        </w:rPr>
        <w:t>书面声明</w:t>
      </w:r>
    </w:p>
    <w:p>
      <w:pPr>
        <w:adjustRightInd w:val="0"/>
        <w:snapToGrid w:val="0"/>
        <w:spacing w:line="360" w:lineRule="auto"/>
        <w:rPr>
          <w:rFonts w:ascii="宋体" w:hAnsi="宋体"/>
          <w:color w:val="auto"/>
          <w:szCs w:val="21"/>
          <w:highlight w:val="none"/>
        </w:rPr>
      </w:pP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国家税务总局罗定市税务局/广东广招招标采购有限公司</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关于贵方（</w:t>
      </w:r>
      <w:r>
        <w:rPr>
          <w:rFonts w:hint="eastAsia" w:ascii="宋体" w:hAnsi="宋体"/>
          <w:color w:val="auto"/>
          <w:szCs w:val="21"/>
          <w:highlight w:val="none"/>
          <w:u w:val="single"/>
        </w:rPr>
        <w:t>项目名称: 国家税务总局罗定市税务局机关及下属税务分局物业管理服务项目，项目编号：0877-23GZTP01Y774 ）</w:t>
      </w:r>
      <w:r>
        <w:rPr>
          <w:rFonts w:hint="eastAsia" w:ascii="宋体" w:hAnsi="宋体"/>
          <w:color w:val="auto"/>
          <w:szCs w:val="21"/>
          <w:highlight w:val="none"/>
        </w:rPr>
        <w:t>采购项目，现承诺如下：</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司严格遵守中华人民共和国相关法律法规，不得“围猎”税务人员，如有违反则承担相应的法律后果。我司的工作人员需遵守采购人有关规章制度和管理规定，我司向采购人负有保密义务，不得泄露国家秘密、工作秘密和敏感信息，如有违反或损害采购人利益的，采购人有拒绝我司的工作人员在此工作的权利，并有权要求我司更换工作人员，我司应当在2天内予以更换。我司所负的保密义务不因本合同期限届满、解除或终止而无效。</w:t>
      </w:r>
    </w:p>
    <w:p>
      <w:pPr>
        <w:adjustRightInd w:val="0"/>
        <w:snapToGrid w:val="0"/>
        <w:spacing w:line="360" w:lineRule="auto"/>
        <w:ind w:firstLine="420" w:firstLineChars="200"/>
        <w:rPr>
          <w:rFonts w:ascii="宋体" w:hAnsi="宋体"/>
          <w:color w:val="auto"/>
          <w:szCs w:val="21"/>
          <w:highlight w:val="none"/>
        </w:rPr>
      </w:pPr>
    </w:p>
    <w:p>
      <w:pPr>
        <w:adjustRightInd w:val="0"/>
        <w:snapToGrid w:val="0"/>
        <w:spacing w:line="360" w:lineRule="auto"/>
        <w:rPr>
          <w:rFonts w:ascii="宋体" w:hAnsi="宋体"/>
          <w:color w:val="auto"/>
          <w:szCs w:val="21"/>
          <w:highlight w:val="none"/>
        </w:rPr>
      </w:pPr>
    </w:p>
    <w:p>
      <w:pPr>
        <w:adjustRightInd w:val="0"/>
        <w:snapToGrid w:val="0"/>
        <w:spacing w:line="360" w:lineRule="auto"/>
        <w:rPr>
          <w:rFonts w:ascii="宋体" w:hAnsi="宋体"/>
          <w:color w:val="auto"/>
          <w:szCs w:val="21"/>
          <w:highlight w:val="none"/>
        </w:rPr>
      </w:pPr>
    </w:p>
    <w:p>
      <w:pPr>
        <w:adjustRightInd w:val="0"/>
        <w:snapToGrid w:val="0"/>
        <w:spacing w:line="360" w:lineRule="auto"/>
        <w:rPr>
          <w:rFonts w:ascii="宋体" w:hAnsi="宋体"/>
          <w:color w:val="auto"/>
          <w:szCs w:val="21"/>
          <w:highlight w:val="none"/>
          <w:u w:val="single"/>
        </w:rPr>
      </w:pPr>
      <w:r>
        <w:rPr>
          <w:rFonts w:hint="eastAsia" w:ascii="宋体" w:hAnsi="宋体"/>
          <w:color w:val="auto"/>
          <w:szCs w:val="21"/>
          <w:highlight w:val="none"/>
        </w:rPr>
        <w:t>投标人名称（单位盖公章）：</w:t>
      </w:r>
      <w:r>
        <w:rPr>
          <w:rFonts w:hint="eastAsia" w:ascii="宋体" w:hAnsi="宋体"/>
          <w:color w:val="auto"/>
          <w:szCs w:val="21"/>
          <w:highlight w:val="none"/>
          <w:u w:val="single"/>
        </w:rPr>
        <w:t xml:space="preserve">                        </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w:t>
      </w:r>
    </w:p>
    <w:p>
      <w:pPr>
        <w:widowControl/>
        <w:jc w:val="left"/>
        <w:rPr>
          <w:rFonts w:ascii="宋体" w:hAnsi="宋体"/>
          <w:color w:val="auto"/>
          <w:highlight w:val="none"/>
        </w:rPr>
      </w:pPr>
      <w:r>
        <w:rPr>
          <w:rFonts w:ascii="宋体" w:hAnsi="宋体"/>
          <w:color w:val="auto"/>
          <w:highlight w:val="none"/>
        </w:rPr>
        <w:br w:type="page"/>
      </w:r>
    </w:p>
    <w:p>
      <w:pPr>
        <w:pStyle w:val="4"/>
        <w:spacing w:before="0" w:after="0" w:line="300" w:lineRule="auto"/>
        <w:jc w:val="center"/>
        <w:rPr>
          <w:rFonts w:ascii="宋体" w:hAnsi="宋体" w:eastAsia="宋体"/>
          <w:color w:val="auto"/>
          <w:sz w:val="28"/>
          <w:szCs w:val="28"/>
          <w:highlight w:val="none"/>
        </w:rPr>
      </w:pPr>
      <w:bookmarkStart w:id="45" w:name="_Toc2618"/>
      <w:r>
        <w:rPr>
          <w:rFonts w:hint="eastAsia" w:ascii="宋体" w:hAnsi="宋体" w:eastAsia="宋体"/>
          <w:color w:val="auto"/>
          <w:sz w:val="28"/>
          <w:szCs w:val="28"/>
          <w:highlight w:val="none"/>
        </w:rPr>
        <w:t>三、商务部分</w:t>
      </w:r>
      <w:bookmarkEnd w:id="45"/>
    </w:p>
    <w:p>
      <w:pPr>
        <w:spacing w:line="300" w:lineRule="auto"/>
        <w:rPr>
          <w:rFonts w:ascii="宋体" w:hAnsi="宋体"/>
          <w:b/>
          <w:bCs/>
          <w:color w:val="auto"/>
          <w:sz w:val="24"/>
          <w:highlight w:val="none"/>
        </w:rPr>
      </w:pPr>
      <w:r>
        <w:rPr>
          <w:rFonts w:hint="eastAsia" w:ascii="宋体" w:hAnsi="宋体"/>
          <w:b/>
          <w:bCs/>
          <w:color w:val="auto"/>
          <w:sz w:val="24"/>
          <w:highlight w:val="none"/>
        </w:rPr>
        <w:t>3.1 投标人简介</w:t>
      </w:r>
    </w:p>
    <w:p>
      <w:pPr>
        <w:spacing w:line="300" w:lineRule="auto"/>
        <w:rPr>
          <w:rFonts w:ascii="宋体" w:hAnsi="宋体" w:cs="Arial"/>
          <w:i/>
          <w:color w:val="auto"/>
          <w:sz w:val="16"/>
          <w:szCs w:val="16"/>
          <w:highlight w:val="none"/>
        </w:rPr>
      </w:pPr>
    </w:p>
    <w:p>
      <w:pPr>
        <w:spacing w:line="300" w:lineRule="auto"/>
        <w:rPr>
          <w:rFonts w:ascii="宋体" w:hAnsi="宋体" w:cs="Arial"/>
          <w:i/>
          <w:color w:val="auto"/>
          <w:sz w:val="16"/>
          <w:szCs w:val="16"/>
          <w:highlight w:val="none"/>
        </w:rPr>
      </w:pPr>
    </w:p>
    <w:p>
      <w:pPr>
        <w:tabs>
          <w:tab w:val="right" w:pos="9000"/>
        </w:tabs>
        <w:suppressAutoHyphens/>
        <w:rPr>
          <w:rFonts w:ascii="宋体" w:hAnsi="宋体" w:cs="Arial"/>
          <w:bCs/>
          <w:iCs/>
          <w:color w:val="auto"/>
          <w:sz w:val="16"/>
          <w:highlight w:val="none"/>
          <w:shd w:val="solid" w:color="auto" w:fill="auto"/>
        </w:rPr>
      </w:pPr>
    </w:p>
    <w:p>
      <w:pPr>
        <w:tabs>
          <w:tab w:val="right" w:pos="9000"/>
        </w:tabs>
        <w:suppressAutoHyphens/>
        <w:rPr>
          <w:rFonts w:ascii="宋体" w:hAnsi="宋体" w:cs="Arial"/>
          <w:bCs/>
          <w:iCs/>
          <w:color w:val="auto"/>
          <w:sz w:val="16"/>
          <w:highlight w:val="none"/>
          <w:shd w:val="solid" w:color="auto" w:fill="auto"/>
        </w:rPr>
      </w:pPr>
    </w:p>
    <w:p>
      <w:pPr>
        <w:tabs>
          <w:tab w:val="right" w:pos="9000"/>
        </w:tabs>
        <w:suppressAutoHyphens/>
        <w:rPr>
          <w:rFonts w:ascii="宋体" w:hAnsi="宋体" w:cs="Arial"/>
          <w:bCs/>
          <w:iCs/>
          <w:color w:val="auto"/>
          <w:sz w:val="16"/>
          <w:highlight w:val="none"/>
          <w:shd w:val="solid" w:color="auto" w:fill="auto"/>
        </w:rPr>
      </w:pPr>
    </w:p>
    <w:p>
      <w:pPr>
        <w:tabs>
          <w:tab w:val="right" w:pos="9000"/>
        </w:tabs>
        <w:suppressAutoHyphens/>
        <w:rPr>
          <w:rFonts w:ascii="宋体" w:hAnsi="宋体" w:cs="Arial"/>
          <w:bCs/>
          <w:iCs/>
          <w:color w:val="auto"/>
          <w:sz w:val="16"/>
          <w:highlight w:val="none"/>
          <w:shd w:val="solid" w:color="auto" w:fill="auto"/>
        </w:rPr>
      </w:pPr>
    </w:p>
    <w:p>
      <w:pPr>
        <w:tabs>
          <w:tab w:val="right" w:pos="9000"/>
        </w:tabs>
        <w:suppressAutoHyphens/>
        <w:rPr>
          <w:rFonts w:ascii="宋体" w:hAnsi="宋体" w:cs="Arial"/>
          <w:bCs/>
          <w:iCs/>
          <w:color w:val="auto"/>
          <w:sz w:val="16"/>
          <w:highlight w:val="none"/>
          <w:shd w:val="solid" w:color="auto" w:fill="auto"/>
        </w:rPr>
      </w:pPr>
    </w:p>
    <w:p>
      <w:pPr>
        <w:tabs>
          <w:tab w:val="right" w:pos="9000"/>
        </w:tabs>
        <w:suppressAutoHyphens/>
        <w:rPr>
          <w:rFonts w:ascii="宋体" w:hAnsi="宋体" w:cs="Arial"/>
          <w:bCs/>
          <w:iCs/>
          <w:color w:val="auto"/>
          <w:sz w:val="16"/>
          <w:highlight w:val="none"/>
          <w:shd w:val="solid" w:color="auto" w:fill="auto"/>
        </w:rPr>
      </w:pPr>
    </w:p>
    <w:p>
      <w:pPr>
        <w:tabs>
          <w:tab w:val="right" w:pos="9000"/>
        </w:tabs>
        <w:suppressAutoHyphens/>
        <w:rPr>
          <w:rFonts w:ascii="宋体" w:hAnsi="宋体" w:cs="Arial"/>
          <w:bCs/>
          <w:iCs/>
          <w:color w:val="auto"/>
          <w:sz w:val="16"/>
          <w:highlight w:val="none"/>
          <w:shd w:val="solid" w:color="auto" w:fill="auto"/>
        </w:rPr>
      </w:pPr>
    </w:p>
    <w:p>
      <w:pPr>
        <w:tabs>
          <w:tab w:val="right" w:pos="9000"/>
        </w:tabs>
        <w:suppressAutoHyphens/>
        <w:rPr>
          <w:rFonts w:ascii="宋体" w:hAnsi="宋体" w:cs="Arial"/>
          <w:bCs/>
          <w:iCs/>
          <w:color w:val="auto"/>
          <w:sz w:val="16"/>
          <w:highlight w:val="none"/>
          <w:shd w:val="solid" w:color="auto" w:fill="auto"/>
        </w:rPr>
      </w:pPr>
    </w:p>
    <w:p>
      <w:pPr>
        <w:tabs>
          <w:tab w:val="right" w:pos="9000"/>
        </w:tabs>
        <w:suppressAutoHyphens/>
        <w:rPr>
          <w:rFonts w:ascii="宋体" w:hAnsi="宋体" w:cs="Arial"/>
          <w:bCs/>
          <w:iCs/>
          <w:color w:val="auto"/>
          <w:sz w:val="16"/>
          <w:highlight w:val="none"/>
          <w:shd w:val="solid" w:color="auto" w:fill="auto"/>
        </w:rPr>
      </w:pPr>
    </w:p>
    <w:p>
      <w:pPr>
        <w:tabs>
          <w:tab w:val="right" w:pos="9000"/>
        </w:tabs>
        <w:suppressAutoHyphens/>
        <w:rPr>
          <w:rFonts w:ascii="宋体" w:hAnsi="宋体" w:cs="Arial"/>
          <w:bCs/>
          <w:iCs/>
          <w:color w:val="auto"/>
          <w:sz w:val="16"/>
          <w:highlight w:val="none"/>
          <w:shd w:val="solid" w:color="auto" w:fill="auto"/>
        </w:rPr>
      </w:pPr>
    </w:p>
    <w:p>
      <w:pPr>
        <w:tabs>
          <w:tab w:val="right" w:pos="9000"/>
        </w:tabs>
        <w:suppressAutoHyphens/>
        <w:rPr>
          <w:rFonts w:ascii="宋体" w:hAnsi="宋体" w:cs="Arial"/>
          <w:bCs/>
          <w:iCs/>
          <w:color w:val="auto"/>
          <w:sz w:val="16"/>
          <w:highlight w:val="none"/>
          <w:shd w:val="solid" w:color="auto" w:fill="auto"/>
        </w:rPr>
      </w:pPr>
    </w:p>
    <w:p>
      <w:pPr>
        <w:tabs>
          <w:tab w:val="right" w:pos="9000"/>
        </w:tabs>
        <w:suppressAutoHyphens/>
        <w:rPr>
          <w:rFonts w:ascii="宋体" w:hAnsi="宋体" w:cs="Arial"/>
          <w:bCs/>
          <w:iCs/>
          <w:color w:val="auto"/>
          <w:sz w:val="16"/>
          <w:highlight w:val="none"/>
          <w:shd w:val="solid" w:color="auto" w:fill="auto"/>
        </w:rPr>
      </w:pPr>
    </w:p>
    <w:p>
      <w:pPr>
        <w:tabs>
          <w:tab w:val="right" w:pos="9000"/>
        </w:tabs>
        <w:suppressAutoHyphens/>
        <w:rPr>
          <w:rFonts w:ascii="宋体" w:hAnsi="宋体" w:cs="Arial"/>
          <w:bCs/>
          <w:iCs/>
          <w:color w:val="auto"/>
          <w:sz w:val="16"/>
          <w:highlight w:val="none"/>
          <w:shd w:val="solid" w:color="auto" w:fill="auto"/>
        </w:rPr>
      </w:pPr>
    </w:p>
    <w:p>
      <w:pPr>
        <w:tabs>
          <w:tab w:val="right" w:pos="9000"/>
        </w:tabs>
        <w:suppressAutoHyphens/>
        <w:rPr>
          <w:rFonts w:ascii="宋体" w:hAnsi="宋体" w:cs="Arial"/>
          <w:bCs/>
          <w:iCs/>
          <w:color w:val="auto"/>
          <w:sz w:val="16"/>
          <w:highlight w:val="none"/>
          <w:shd w:val="solid" w:color="auto" w:fill="auto"/>
        </w:rPr>
      </w:pPr>
    </w:p>
    <w:p>
      <w:pPr>
        <w:rPr>
          <w:rFonts w:ascii="宋体" w:hAnsi="宋体"/>
          <w:b/>
          <w:bCs/>
          <w:color w:val="auto"/>
          <w:sz w:val="16"/>
          <w:szCs w:val="16"/>
          <w:highlight w:val="none"/>
        </w:rPr>
      </w:pPr>
      <w:r>
        <w:rPr>
          <w:rFonts w:ascii="宋体" w:hAnsi="宋体"/>
          <w:b/>
          <w:bCs/>
          <w:color w:val="auto"/>
          <w:sz w:val="16"/>
          <w:szCs w:val="16"/>
          <w:highlight w:val="none"/>
        </w:rPr>
        <w:t>--</w:t>
      </w:r>
      <w:r>
        <w:rPr>
          <w:rFonts w:hint="eastAsia" w:ascii="宋体" w:hAnsi="宋体"/>
          <w:b/>
          <w:bCs/>
          <w:color w:val="auto"/>
          <w:sz w:val="16"/>
          <w:szCs w:val="16"/>
          <w:highlight w:val="none"/>
        </w:rPr>
        <w:t>备注</w:t>
      </w:r>
      <w:r>
        <w:rPr>
          <w:rFonts w:ascii="宋体" w:hAnsi="宋体"/>
          <w:b/>
          <w:bCs/>
          <w:color w:val="auto"/>
          <w:sz w:val="16"/>
          <w:szCs w:val="16"/>
          <w:highlight w:val="none"/>
        </w:rPr>
        <w:t>--</w:t>
      </w:r>
    </w:p>
    <w:p>
      <w:pPr>
        <w:pBdr>
          <w:top w:val="single" w:color="auto" w:sz="4" w:space="1"/>
          <w:left w:val="single" w:color="auto" w:sz="4" w:space="4"/>
          <w:bottom w:val="single" w:color="auto" w:sz="4" w:space="1"/>
          <w:right w:val="single" w:color="auto" w:sz="4" w:space="4"/>
        </w:pBdr>
        <w:tabs>
          <w:tab w:val="left" w:pos="6120"/>
        </w:tabs>
        <w:rPr>
          <w:rFonts w:ascii="宋体" w:hAnsi="宋体" w:cs="Arial"/>
          <w:i/>
          <w:color w:val="auto"/>
          <w:sz w:val="16"/>
          <w:szCs w:val="16"/>
          <w:highlight w:val="none"/>
        </w:rPr>
      </w:pPr>
      <w:r>
        <w:rPr>
          <w:rFonts w:hint="eastAsia" w:ascii="宋体" w:hAnsi="宋体" w:cs="Arial"/>
          <w:i/>
          <w:color w:val="auto"/>
          <w:sz w:val="16"/>
          <w:szCs w:val="16"/>
          <w:highlight w:val="none"/>
        </w:rPr>
        <w:t>1.《第六部分 投标文件格式》所有斜体字仅用于指导投标人编制投标文件，投标人应在最终提交的投标文件中将其删除；</w:t>
      </w:r>
    </w:p>
    <w:p>
      <w:pPr>
        <w:pBdr>
          <w:top w:val="single" w:color="auto" w:sz="4" w:space="1"/>
          <w:left w:val="single" w:color="auto" w:sz="4" w:space="4"/>
          <w:bottom w:val="single" w:color="auto" w:sz="4" w:space="1"/>
          <w:right w:val="single" w:color="auto" w:sz="4" w:space="4"/>
        </w:pBdr>
        <w:tabs>
          <w:tab w:val="left" w:pos="6120"/>
        </w:tabs>
        <w:jc w:val="left"/>
        <w:rPr>
          <w:rFonts w:ascii="宋体" w:hAnsi="宋体" w:cs="Arial"/>
          <w:i/>
          <w:color w:val="auto"/>
          <w:sz w:val="16"/>
          <w:szCs w:val="16"/>
          <w:highlight w:val="none"/>
        </w:rPr>
      </w:pPr>
      <w:r>
        <w:rPr>
          <w:rFonts w:hint="eastAsia" w:ascii="宋体" w:hAnsi="宋体" w:cs="Arial"/>
          <w:i/>
          <w:color w:val="auto"/>
          <w:sz w:val="16"/>
          <w:szCs w:val="16"/>
          <w:highlight w:val="none"/>
        </w:rPr>
        <w:t>2.本项内容无固定格式，投标人可以根据自身实际情况</w:t>
      </w:r>
      <w:r>
        <w:rPr>
          <w:rFonts w:ascii="宋体" w:hAnsi="宋体" w:cs="Arial"/>
          <w:i/>
          <w:color w:val="auto"/>
          <w:sz w:val="16"/>
          <w:szCs w:val="16"/>
          <w:highlight w:val="none"/>
        </w:rPr>
        <w:t>自拟</w:t>
      </w:r>
      <w:r>
        <w:rPr>
          <w:rFonts w:hint="eastAsia" w:ascii="宋体" w:hAnsi="宋体" w:cs="Arial"/>
          <w:i/>
          <w:color w:val="auto"/>
          <w:sz w:val="16"/>
          <w:szCs w:val="16"/>
          <w:highlight w:val="none"/>
        </w:rPr>
        <w:t>。</w:t>
      </w:r>
    </w:p>
    <w:p>
      <w:pPr>
        <w:spacing w:line="300" w:lineRule="auto"/>
        <w:rPr>
          <w:rFonts w:ascii="宋体" w:hAnsi="宋体"/>
          <w:b/>
          <w:bCs/>
          <w:color w:val="auto"/>
          <w:sz w:val="24"/>
          <w:highlight w:val="none"/>
        </w:rPr>
      </w:pPr>
      <w:r>
        <w:rPr>
          <w:rFonts w:hint="eastAsia" w:ascii="宋体" w:hAnsi="宋体"/>
          <w:b/>
          <w:bCs/>
          <w:color w:val="auto"/>
          <w:sz w:val="24"/>
          <w:highlight w:val="none"/>
        </w:rPr>
        <w:br w:type="page"/>
      </w:r>
      <w:r>
        <w:rPr>
          <w:rFonts w:hint="eastAsia" w:ascii="宋体" w:hAnsi="宋体"/>
          <w:b/>
          <w:bCs/>
          <w:color w:val="auto"/>
          <w:sz w:val="24"/>
          <w:highlight w:val="none"/>
        </w:rPr>
        <w:t>3.2 合同响应一览表</w:t>
      </w:r>
    </w:p>
    <w:p>
      <w:pPr>
        <w:spacing w:line="360" w:lineRule="auto"/>
        <w:jc w:val="center"/>
        <w:rPr>
          <w:rFonts w:ascii="宋体" w:hAnsi="宋体"/>
          <w:color w:val="auto"/>
          <w:szCs w:val="21"/>
          <w:highlight w:val="none"/>
        </w:rPr>
      </w:pPr>
      <w:r>
        <w:rPr>
          <w:rFonts w:hint="eastAsia" w:ascii="宋体" w:hAnsi="宋体" w:cs="Arial"/>
          <w:b/>
          <w:color w:val="auto"/>
          <w:sz w:val="28"/>
          <w:szCs w:val="28"/>
          <w:highlight w:val="none"/>
        </w:rPr>
        <w:t>合同响应一览表</w:t>
      </w:r>
    </w:p>
    <w:p>
      <w:pPr>
        <w:spacing w:line="360" w:lineRule="auto"/>
        <w:ind w:left="945" w:leftChars="100" w:hanging="735" w:hangingChars="350"/>
        <w:rPr>
          <w:rFonts w:ascii="宋体" w:hAnsi="宋体"/>
          <w:color w:val="auto"/>
          <w:highlight w:val="none"/>
        </w:rPr>
      </w:pPr>
      <w:r>
        <w:rPr>
          <w:rFonts w:hint="eastAsia" w:ascii="宋体" w:hAnsi="宋体"/>
          <w:color w:val="auto"/>
          <w:highlight w:val="none"/>
        </w:rPr>
        <w:t>项目名称：</w:t>
      </w:r>
      <w:r>
        <w:rPr>
          <w:rFonts w:hint="eastAsia" w:ascii="宋体" w:hAnsi="宋体"/>
          <w:color w:val="auto"/>
          <w:highlight w:val="none"/>
          <w:u w:val="single"/>
        </w:rPr>
        <w:t>国家税务总局罗定市税务局机关及下属税务分局物业管理服务项目</w:t>
      </w:r>
    </w:p>
    <w:p>
      <w:pPr>
        <w:spacing w:line="360" w:lineRule="auto"/>
        <w:ind w:left="945" w:leftChars="100" w:hanging="735" w:hangingChars="350"/>
        <w:rPr>
          <w:rFonts w:ascii="宋体" w:hAnsi="宋体"/>
          <w:color w:val="auto"/>
          <w:highlight w:val="none"/>
          <w:u w:val="single"/>
        </w:rPr>
      </w:pPr>
      <w:r>
        <w:rPr>
          <w:rFonts w:hint="eastAsia" w:ascii="宋体" w:hAnsi="宋体"/>
          <w:color w:val="auto"/>
          <w:highlight w:val="none"/>
        </w:rPr>
        <w:t>项目编号：</w:t>
      </w:r>
      <w:r>
        <w:rPr>
          <w:rFonts w:hint="eastAsia" w:ascii="宋体" w:hAnsi="宋体"/>
          <w:color w:val="auto"/>
          <w:highlight w:val="none"/>
          <w:u w:val="single"/>
        </w:rPr>
        <w:t>0877-23GZTP01Y774</w:t>
      </w:r>
    </w:p>
    <w:p>
      <w:pPr>
        <w:pStyle w:val="2"/>
        <w:spacing w:line="360" w:lineRule="auto"/>
        <w:ind w:firstLine="210" w:firstLineChars="100"/>
        <w:rPr>
          <w:color w:val="auto"/>
          <w:highlight w:val="none"/>
          <w:u w:val="single"/>
        </w:rPr>
      </w:pP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2941"/>
        <w:gridCol w:w="2212"/>
        <w:gridCol w:w="1254"/>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902" w:type="dxa"/>
            <w:vAlign w:val="center"/>
          </w:tcPr>
          <w:p>
            <w:pPr>
              <w:jc w:val="center"/>
              <w:rPr>
                <w:rFonts w:ascii="宋体" w:hAnsi="宋体"/>
                <w:b/>
                <w:color w:val="auto"/>
                <w:szCs w:val="21"/>
                <w:highlight w:val="none"/>
              </w:rPr>
            </w:pPr>
            <w:r>
              <w:rPr>
                <w:rFonts w:hint="eastAsia" w:ascii="宋体" w:hAnsi="宋体"/>
                <w:b/>
                <w:color w:val="auto"/>
                <w:szCs w:val="21"/>
                <w:highlight w:val="none"/>
              </w:rPr>
              <w:t>序号</w:t>
            </w:r>
          </w:p>
        </w:tc>
        <w:tc>
          <w:tcPr>
            <w:tcW w:w="2941" w:type="dxa"/>
            <w:vAlign w:val="center"/>
          </w:tcPr>
          <w:p>
            <w:pPr>
              <w:jc w:val="center"/>
              <w:rPr>
                <w:rFonts w:ascii="宋体" w:hAnsi="宋体"/>
                <w:b/>
                <w:color w:val="auto"/>
                <w:szCs w:val="21"/>
                <w:highlight w:val="none"/>
              </w:rPr>
            </w:pPr>
            <w:r>
              <w:rPr>
                <w:rFonts w:hint="eastAsia" w:ascii="宋体" w:hAnsi="宋体"/>
                <w:b/>
                <w:color w:val="auto"/>
                <w:szCs w:val="21"/>
                <w:highlight w:val="none"/>
              </w:rPr>
              <w:t>招标文件合同条款条目</w:t>
            </w:r>
          </w:p>
        </w:tc>
        <w:tc>
          <w:tcPr>
            <w:tcW w:w="2212" w:type="dxa"/>
            <w:vAlign w:val="center"/>
          </w:tcPr>
          <w:p>
            <w:pPr>
              <w:jc w:val="center"/>
              <w:rPr>
                <w:rFonts w:ascii="宋体" w:hAnsi="宋体"/>
                <w:b/>
                <w:color w:val="auto"/>
                <w:szCs w:val="21"/>
                <w:highlight w:val="none"/>
              </w:rPr>
            </w:pPr>
            <w:r>
              <w:rPr>
                <w:rFonts w:hint="eastAsia" w:ascii="宋体" w:hAnsi="宋体"/>
                <w:b/>
                <w:color w:val="auto"/>
                <w:szCs w:val="21"/>
                <w:highlight w:val="none"/>
              </w:rPr>
              <w:t>投标文件响应情况</w:t>
            </w:r>
          </w:p>
        </w:tc>
        <w:tc>
          <w:tcPr>
            <w:tcW w:w="1254" w:type="dxa"/>
            <w:vAlign w:val="center"/>
          </w:tcPr>
          <w:p>
            <w:pPr>
              <w:jc w:val="center"/>
              <w:rPr>
                <w:rFonts w:ascii="宋体" w:hAnsi="宋体"/>
                <w:b/>
                <w:color w:val="auto"/>
                <w:szCs w:val="21"/>
                <w:highlight w:val="none"/>
              </w:rPr>
            </w:pPr>
            <w:r>
              <w:rPr>
                <w:rFonts w:hint="eastAsia" w:ascii="宋体" w:hAnsi="宋体"/>
                <w:b/>
                <w:color w:val="auto"/>
                <w:szCs w:val="21"/>
                <w:highlight w:val="none"/>
              </w:rPr>
              <w:t>偏离情况</w:t>
            </w:r>
          </w:p>
        </w:tc>
        <w:tc>
          <w:tcPr>
            <w:tcW w:w="1851" w:type="dxa"/>
            <w:vAlign w:val="center"/>
          </w:tcPr>
          <w:p>
            <w:pPr>
              <w:jc w:val="center"/>
              <w:rPr>
                <w:rFonts w:ascii="宋体" w:hAnsi="宋体"/>
                <w:b/>
                <w:color w:val="auto"/>
                <w:szCs w:val="21"/>
                <w:highlight w:val="none"/>
              </w:rPr>
            </w:pPr>
            <w:r>
              <w:rPr>
                <w:rFonts w:hint="eastAsia" w:ascii="宋体" w:hAnsi="宋体"/>
                <w:b/>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02"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2941" w:type="dxa"/>
            <w:vAlign w:val="center"/>
          </w:tcPr>
          <w:p>
            <w:pPr>
              <w:jc w:val="center"/>
              <w:rPr>
                <w:rFonts w:ascii="宋体" w:hAnsi="宋体"/>
                <w:color w:val="auto"/>
                <w:szCs w:val="21"/>
                <w:highlight w:val="none"/>
              </w:rPr>
            </w:pPr>
          </w:p>
        </w:tc>
        <w:tc>
          <w:tcPr>
            <w:tcW w:w="2212" w:type="dxa"/>
            <w:vAlign w:val="center"/>
          </w:tcPr>
          <w:p>
            <w:pPr>
              <w:jc w:val="center"/>
              <w:rPr>
                <w:rFonts w:ascii="宋体" w:hAnsi="宋体"/>
                <w:color w:val="auto"/>
                <w:szCs w:val="21"/>
                <w:highlight w:val="none"/>
              </w:rPr>
            </w:pPr>
          </w:p>
        </w:tc>
        <w:tc>
          <w:tcPr>
            <w:tcW w:w="1254" w:type="dxa"/>
            <w:vAlign w:val="center"/>
          </w:tcPr>
          <w:p>
            <w:pPr>
              <w:jc w:val="center"/>
              <w:rPr>
                <w:rFonts w:ascii="宋体" w:hAnsi="宋体"/>
                <w:color w:val="auto"/>
                <w:szCs w:val="21"/>
                <w:highlight w:val="none"/>
              </w:rPr>
            </w:pPr>
          </w:p>
        </w:tc>
        <w:tc>
          <w:tcPr>
            <w:tcW w:w="1851"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02"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2941" w:type="dxa"/>
            <w:vAlign w:val="center"/>
          </w:tcPr>
          <w:p>
            <w:pPr>
              <w:rPr>
                <w:rFonts w:ascii="宋体" w:hAnsi="宋体"/>
                <w:color w:val="auto"/>
                <w:szCs w:val="21"/>
                <w:highlight w:val="none"/>
              </w:rPr>
            </w:pPr>
          </w:p>
        </w:tc>
        <w:tc>
          <w:tcPr>
            <w:tcW w:w="2212" w:type="dxa"/>
            <w:vAlign w:val="center"/>
          </w:tcPr>
          <w:p>
            <w:pPr>
              <w:jc w:val="center"/>
              <w:rPr>
                <w:rFonts w:ascii="宋体" w:hAnsi="宋体"/>
                <w:color w:val="auto"/>
                <w:szCs w:val="21"/>
                <w:highlight w:val="none"/>
              </w:rPr>
            </w:pPr>
          </w:p>
        </w:tc>
        <w:tc>
          <w:tcPr>
            <w:tcW w:w="1254" w:type="dxa"/>
            <w:vAlign w:val="center"/>
          </w:tcPr>
          <w:p>
            <w:pPr>
              <w:jc w:val="center"/>
              <w:rPr>
                <w:rFonts w:ascii="宋体" w:hAnsi="宋体"/>
                <w:color w:val="auto"/>
                <w:szCs w:val="21"/>
                <w:highlight w:val="none"/>
              </w:rPr>
            </w:pPr>
          </w:p>
        </w:tc>
        <w:tc>
          <w:tcPr>
            <w:tcW w:w="1851"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02" w:type="dxa"/>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2941" w:type="dxa"/>
            <w:vAlign w:val="center"/>
          </w:tcPr>
          <w:p>
            <w:pPr>
              <w:rPr>
                <w:rFonts w:ascii="宋体" w:hAnsi="宋体"/>
                <w:color w:val="auto"/>
                <w:szCs w:val="21"/>
                <w:highlight w:val="none"/>
              </w:rPr>
            </w:pPr>
            <w:r>
              <w:rPr>
                <w:rFonts w:hint="eastAsia" w:ascii="宋体" w:hAnsi="宋体"/>
                <w:color w:val="auto"/>
                <w:szCs w:val="21"/>
                <w:highlight w:val="none"/>
              </w:rPr>
              <w:t>……</w:t>
            </w:r>
          </w:p>
        </w:tc>
        <w:tc>
          <w:tcPr>
            <w:tcW w:w="2212" w:type="dxa"/>
            <w:vAlign w:val="center"/>
          </w:tcPr>
          <w:p>
            <w:pPr>
              <w:jc w:val="center"/>
              <w:rPr>
                <w:rFonts w:ascii="宋体" w:hAnsi="宋体"/>
                <w:color w:val="auto"/>
                <w:szCs w:val="21"/>
                <w:highlight w:val="none"/>
              </w:rPr>
            </w:pPr>
          </w:p>
        </w:tc>
        <w:tc>
          <w:tcPr>
            <w:tcW w:w="1254" w:type="dxa"/>
            <w:vAlign w:val="center"/>
          </w:tcPr>
          <w:p>
            <w:pPr>
              <w:jc w:val="center"/>
              <w:rPr>
                <w:rFonts w:ascii="宋体" w:hAnsi="宋体"/>
                <w:color w:val="auto"/>
                <w:szCs w:val="21"/>
                <w:highlight w:val="none"/>
              </w:rPr>
            </w:pPr>
          </w:p>
        </w:tc>
        <w:tc>
          <w:tcPr>
            <w:tcW w:w="1851" w:type="dxa"/>
            <w:vAlign w:val="center"/>
          </w:tcPr>
          <w:p>
            <w:pPr>
              <w:jc w:val="center"/>
              <w:rPr>
                <w:rFonts w:ascii="宋体" w:hAnsi="宋体"/>
                <w:color w:val="auto"/>
                <w:szCs w:val="21"/>
                <w:highlight w:val="none"/>
              </w:rPr>
            </w:pPr>
          </w:p>
        </w:tc>
      </w:tr>
    </w:tbl>
    <w:p>
      <w:pPr>
        <w:spacing w:line="360" w:lineRule="auto"/>
        <w:rPr>
          <w:rFonts w:ascii="宋体" w:hAnsi="宋体"/>
          <w:b/>
          <w:color w:val="auto"/>
          <w:szCs w:val="21"/>
          <w:highlight w:val="none"/>
        </w:rPr>
      </w:pPr>
    </w:p>
    <w:p>
      <w:pPr>
        <w:adjustRightInd w:val="0"/>
        <w:spacing w:line="360" w:lineRule="auto"/>
        <w:rPr>
          <w:rFonts w:ascii="宋体" w:hAnsi="宋体"/>
          <w:color w:val="auto"/>
          <w:szCs w:val="21"/>
          <w:highlight w:val="none"/>
          <w:u w:val="single"/>
        </w:rPr>
      </w:pPr>
      <w:r>
        <w:rPr>
          <w:rFonts w:hint="eastAsia" w:ascii="宋体" w:hAnsi="宋体"/>
          <w:color w:val="auto"/>
          <w:szCs w:val="21"/>
          <w:highlight w:val="none"/>
        </w:rPr>
        <w:t>投标人名称（单位盖公章）：</w:t>
      </w:r>
      <w:r>
        <w:rPr>
          <w:rFonts w:hint="eastAsia" w:ascii="宋体" w:hAnsi="宋体"/>
          <w:color w:val="auto"/>
          <w:szCs w:val="21"/>
          <w:highlight w:val="none"/>
          <w:u w:val="single"/>
        </w:rPr>
        <w:t xml:space="preserve">                        </w:t>
      </w:r>
    </w:p>
    <w:p>
      <w:pPr>
        <w:widowControl/>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w:t>
      </w:r>
    </w:p>
    <w:p>
      <w:pPr>
        <w:adjustRightInd w:val="0"/>
        <w:snapToGrid w:val="0"/>
        <w:spacing w:line="300" w:lineRule="auto"/>
        <w:rPr>
          <w:rFonts w:ascii="宋体" w:hAnsi="宋体"/>
          <w:b/>
          <w:bCs/>
          <w:color w:val="auto"/>
          <w:sz w:val="24"/>
          <w:highlight w:val="none"/>
        </w:rPr>
      </w:pPr>
    </w:p>
    <w:p>
      <w:pPr>
        <w:tabs>
          <w:tab w:val="right" w:pos="9000"/>
        </w:tabs>
        <w:suppressAutoHyphens/>
        <w:rPr>
          <w:rFonts w:ascii="宋体" w:hAnsi="宋体" w:cs="Arial"/>
          <w:bCs/>
          <w:iCs/>
          <w:color w:val="auto"/>
          <w:sz w:val="16"/>
          <w:highlight w:val="none"/>
          <w:shd w:val="solid" w:color="auto" w:fill="auto"/>
        </w:rPr>
      </w:pPr>
    </w:p>
    <w:p>
      <w:pPr>
        <w:rPr>
          <w:rFonts w:ascii="宋体" w:hAnsi="宋体"/>
          <w:b/>
          <w:bCs/>
          <w:color w:val="auto"/>
          <w:sz w:val="16"/>
          <w:szCs w:val="16"/>
          <w:highlight w:val="none"/>
        </w:rPr>
      </w:pPr>
      <w:r>
        <w:rPr>
          <w:rFonts w:ascii="宋体" w:hAnsi="宋体"/>
          <w:b/>
          <w:bCs/>
          <w:color w:val="auto"/>
          <w:sz w:val="16"/>
          <w:szCs w:val="16"/>
          <w:highlight w:val="none"/>
        </w:rPr>
        <w:t>--</w:t>
      </w:r>
      <w:r>
        <w:rPr>
          <w:rFonts w:hint="eastAsia" w:ascii="宋体" w:hAnsi="宋体"/>
          <w:b/>
          <w:bCs/>
          <w:color w:val="auto"/>
          <w:sz w:val="16"/>
          <w:szCs w:val="16"/>
          <w:highlight w:val="none"/>
        </w:rPr>
        <w:t>备注</w:t>
      </w:r>
      <w:r>
        <w:rPr>
          <w:rFonts w:ascii="宋体" w:hAnsi="宋体"/>
          <w:b/>
          <w:bCs/>
          <w:color w:val="auto"/>
          <w:sz w:val="16"/>
          <w:szCs w:val="16"/>
          <w:highlight w:val="none"/>
        </w:rPr>
        <w:t>--</w:t>
      </w:r>
    </w:p>
    <w:p>
      <w:pPr>
        <w:pBdr>
          <w:top w:val="single" w:color="auto" w:sz="4" w:space="1"/>
          <w:left w:val="single" w:color="auto" w:sz="4" w:space="4"/>
          <w:bottom w:val="single" w:color="auto" w:sz="4" w:space="1"/>
          <w:right w:val="single" w:color="auto" w:sz="4" w:space="4"/>
        </w:pBdr>
        <w:tabs>
          <w:tab w:val="left" w:pos="6120"/>
        </w:tabs>
        <w:rPr>
          <w:rFonts w:ascii="宋体" w:hAnsi="宋体" w:cs="Arial"/>
          <w:i/>
          <w:color w:val="auto"/>
          <w:sz w:val="16"/>
          <w:szCs w:val="16"/>
          <w:highlight w:val="none"/>
        </w:rPr>
      </w:pPr>
      <w:r>
        <w:rPr>
          <w:rFonts w:hint="eastAsia" w:ascii="宋体" w:hAnsi="宋体" w:cs="Arial"/>
          <w:i/>
          <w:color w:val="auto"/>
          <w:sz w:val="16"/>
          <w:szCs w:val="16"/>
          <w:highlight w:val="none"/>
        </w:rPr>
        <w:t>1.《第六部分 投标文件格式》所有斜体字仅用于指导投标人编制投标文件，投标人应在最终提交的投标文件中将其删除；</w:t>
      </w:r>
    </w:p>
    <w:p>
      <w:pPr>
        <w:pBdr>
          <w:top w:val="single" w:color="auto" w:sz="4" w:space="1"/>
          <w:left w:val="single" w:color="auto" w:sz="4" w:space="4"/>
          <w:bottom w:val="single" w:color="auto" w:sz="4" w:space="1"/>
          <w:right w:val="single" w:color="auto" w:sz="4" w:space="4"/>
        </w:pBdr>
        <w:tabs>
          <w:tab w:val="left" w:pos="6120"/>
        </w:tabs>
        <w:rPr>
          <w:rFonts w:ascii="宋体" w:hAnsi="宋体" w:cs="Arial"/>
          <w:i/>
          <w:color w:val="auto"/>
          <w:sz w:val="16"/>
          <w:szCs w:val="16"/>
          <w:highlight w:val="none"/>
        </w:rPr>
      </w:pPr>
      <w:r>
        <w:rPr>
          <w:rFonts w:hint="eastAsia" w:ascii="宋体" w:hAnsi="宋体" w:cs="Arial"/>
          <w:i/>
          <w:color w:val="auto"/>
          <w:sz w:val="16"/>
          <w:szCs w:val="16"/>
          <w:highlight w:val="none"/>
        </w:rPr>
        <w:t>2.投标人若对《第五部分 合同书格式》条款有偏离（正偏离或负偏离），仅对偏离条款作出说明，并填入本表，下面一行填写“完全响应合同书其他条款，无任何偏离”；若对《第五部分 合同书格式》条款无任何偏离，则在第一行填写“完全响应合同书所有条款，无任何偏离”。</w:t>
      </w:r>
    </w:p>
    <w:p>
      <w:pPr>
        <w:adjustRightInd w:val="0"/>
        <w:snapToGrid w:val="0"/>
        <w:spacing w:line="300" w:lineRule="auto"/>
        <w:rPr>
          <w:rFonts w:ascii="宋体" w:hAnsi="宋体"/>
          <w:color w:val="auto"/>
          <w:szCs w:val="21"/>
          <w:highlight w:val="none"/>
        </w:rPr>
      </w:pPr>
    </w:p>
    <w:p>
      <w:pPr>
        <w:widowControl/>
        <w:jc w:val="left"/>
        <w:rPr>
          <w:rFonts w:ascii="宋体" w:hAnsi="宋体"/>
          <w:color w:val="auto"/>
          <w:highlight w:val="none"/>
          <w:u w:val="single"/>
        </w:rPr>
      </w:pPr>
    </w:p>
    <w:p>
      <w:pPr>
        <w:widowControl/>
        <w:jc w:val="left"/>
        <w:rPr>
          <w:rFonts w:ascii="宋体" w:hAnsi="宋体"/>
          <w:color w:val="auto"/>
          <w:highlight w:val="none"/>
          <w:u w:val="single"/>
        </w:rPr>
      </w:pPr>
    </w:p>
    <w:p>
      <w:pPr>
        <w:widowControl/>
        <w:jc w:val="left"/>
        <w:rPr>
          <w:rFonts w:ascii="宋体" w:hAnsi="宋体"/>
          <w:b/>
          <w:bCs/>
          <w:color w:val="auto"/>
          <w:sz w:val="24"/>
          <w:highlight w:val="none"/>
        </w:rPr>
      </w:pPr>
      <w:r>
        <w:rPr>
          <w:rFonts w:hint="eastAsia" w:ascii="宋体" w:hAnsi="宋体"/>
          <w:b/>
          <w:bCs/>
          <w:color w:val="auto"/>
          <w:sz w:val="24"/>
          <w:highlight w:val="none"/>
        </w:rPr>
        <w:br w:type="page"/>
      </w:r>
      <w:r>
        <w:rPr>
          <w:rFonts w:hint="eastAsia" w:ascii="宋体" w:hAnsi="宋体"/>
          <w:b/>
          <w:bCs/>
          <w:color w:val="auto"/>
          <w:sz w:val="24"/>
          <w:highlight w:val="none"/>
        </w:rPr>
        <w:t>3.3 商务评审部分文件</w:t>
      </w:r>
    </w:p>
    <w:p>
      <w:pPr>
        <w:widowControl/>
        <w:jc w:val="left"/>
        <w:rPr>
          <w:rFonts w:ascii="宋体" w:hAnsi="宋体"/>
          <w:b/>
          <w:color w:val="auto"/>
          <w:highlight w:val="none"/>
        </w:rPr>
      </w:pPr>
    </w:p>
    <w:p>
      <w:pPr>
        <w:widowControl/>
        <w:jc w:val="left"/>
        <w:rPr>
          <w:rFonts w:ascii="宋体" w:hAnsi="宋体"/>
          <w:b/>
          <w:color w:val="auto"/>
          <w:highlight w:val="none"/>
        </w:rPr>
      </w:pPr>
    </w:p>
    <w:p>
      <w:pPr>
        <w:rPr>
          <w:rFonts w:ascii="宋体" w:hAnsi="宋体"/>
          <w:b/>
          <w:bCs/>
          <w:color w:val="auto"/>
          <w:sz w:val="16"/>
          <w:szCs w:val="16"/>
          <w:highlight w:val="none"/>
        </w:rPr>
      </w:pPr>
      <w:r>
        <w:rPr>
          <w:rFonts w:ascii="宋体" w:hAnsi="宋体"/>
          <w:b/>
          <w:bCs/>
          <w:color w:val="auto"/>
          <w:sz w:val="16"/>
          <w:szCs w:val="16"/>
          <w:highlight w:val="none"/>
        </w:rPr>
        <w:t>--</w:t>
      </w:r>
      <w:r>
        <w:rPr>
          <w:rFonts w:hint="eastAsia" w:ascii="宋体" w:hAnsi="宋体"/>
          <w:b/>
          <w:bCs/>
          <w:color w:val="auto"/>
          <w:sz w:val="16"/>
          <w:szCs w:val="16"/>
          <w:highlight w:val="none"/>
        </w:rPr>
        <w:t>备注</w:t>
      </w:r>
      <w:r>
        <w:rPr>
          <w:rFonts w:ascii="宋体" w:hAnsi="宋体"/>
          <w:b/>
          <w:bCs/>
          <w:color w:val="auto"/>
          <w:sz w:val="16"/>
          <w:szCs w:val="16"/>
          <w:highlight w:val="none"/>
        </w:rPr>
        <w:t>--</w:t>
      </w:r>
    </w:p>
    <w:p>
      <w:pPr>
        <w:pBdr>
          <w:top w:val="single" w:color="auto" w:sz="4" w:space="1"/>
          <w:left w:val="single" w:color="auto" w:sz="4" w:space="4"/>
          <w:bottom w:val="single" w:color="auto" w:sz="4" w:space="1"/>
          <w:right w:val="single" w:color="auto" w:sz="4" w:space="4"/>
        </w:pBdr>
        <w:tabs>
          <w:tab w:val="left" w:pos="6120"/>
        </w:tabs>
        <w:rPr>
          <w:rFonts w:ascii="宋体" w:hAnsi="宋体" w:cs="Arial"/>
          <w:i/>
          <w:color w:val="auto"/>
          <w:sz w:val="16"/>
          <w:szCs w:val="16"/>
          <w:highlight w:val="none"/>
        </w:rPr>
      </w:pPr>
      <w:r>
        <w:rPr>
          <w:rFonts w:hint="eastAsia" w:ascii="宋体" w:hAnsi="宋体" w:cs="Arial"/>
          <w:i/>
          <w:color w:val="auto"/>
          <w:sz w:val="16"/>
          <w:szCs w:val="16"/>
          <w:highlight w:val="none"/>
        </w:rPr>
        <w:t>1.《第六部分 投标文件格式》所有斜体字仅用于指导投标人编制投标文件，投标人应在最终提交的投标文件中将其删除；</w:t>
      </w:r>
    </w:p>
    <w:p>
      <w:pPr>
        <w:pBdr>
          <w:top w:val="single" w:color="auto" w:sz="4" w:space="1"/>
          <w:left w:val="single" w:color="auto" w:sz="4" w:space="4"/>
          <w:bottom w:val="single" w:color="auto" w:sz="4" w:space="1"/>
          <w:right w:val="single" w:color="auto" w:sz="4" w:space="4"/>
        </w:pBdr>
        <w:tabs>
          <w:tab w:val="left" w:pos="6120"/>
        </w:tabs>
        <w:rPr>
          <w:rFonts w:ascii="宋体" w:hAnsi="宋体" w:cs="Arial"/>
          <w:i/>
          <w:color w:val="auto"/>
          <w:sz w:val="16"/>
          <w:szCs w:val="16"/>
          <w:highlight w:val="none"/>
        </w:rPr>
      </w:pPr>
      <w:r>
        <w:rPr>
          <w:rFonts w:hint="eastAsia" w:ascii="宋体" w:hAnsi="宋体" w:cs="Arial"/>
          <w:i/>
          <w:color w:val="auto"/>
          <w:sz w:val="16"/>
          <w:szCs w:val="16"/>
          <w:highlight w:val="none"/>
        </w:rPr>
        <w:t>2.投标人应按照《第四部分 评标原则和方法》中《附表三 商务评分表》评审项目的各项内容，按顺序编制商务评审部分文件，格式自定。</w:t>
      </w:r>
    </w:p>
    <w:p>
      <w:pPr>
        <w:widowControl/>
        <w:spacing w:beforeLines="50" w:afterLines="50"/>
        <w:jc w:val="left"/>
        <w:rPr>
          <w:rFonts w:ascii="宋体" w:hAnsi="宋体"/>
          <w:b/>
          <w:bCs/>
          <w:color w:val="auto"/>
          <w:sz w:val="24"/>
          <w:highlight w:val="none"/>
        </w:rPr>
      </w:pPr>
      <w:r>
        <w:rPr>
          <w:rFonts w:hint="eastAsia" w:ascii="宋体" w:hAnsi="宋体"/>
          <w:b/>
          <w:bCs/>
          <w:color w:val="auto"/>
          <w:sz w:val="24"/>
          <w:highlight w:val="none"/>
        </w:rPr>
        <w:br w:type="page"/>
      </w:r>
      <w:r>
        <w:rPr>
          <w:rFonts w:hint="eastAsia" w:ascii="宋体" w:hAnsi="宋体"/>
          <w:b/>
          <w:bCs/>
          <w:color w:val="auto"/>
          <w:sz w:val="24"/>
          <w:highlight w:val="none"/>
        </w:rPr>
        <w:t>3.4 近年完成同类项目一览表</w:t>
      </w:r>
    </w:p>
    <w:p>
      <w:pPr>
        <w:adjustRightInd w:val="0"/>
        <w:snapToGrid w:val="0"/>
        <w:spacing w:beforeLines="50" w:afterLines="50" w:line="360" w:lineRule="auto"/>
        <w:jc w:val="center"/>
        <w:rPr>
          <w:rFonts w:ascii="宋体" w:hAnsi="宋体" w:cs="Arial"/>
          <w:b/>
          <w:color w:val="auto"/>
          <w:sz w:val="24"/>
          <w:highlight w:val="none"/>
        </w:rPr>
      </w:pPr>
      <w:r>
        <w:rPr>
          <w:rFonts w:hint="eastAsia" w:ascii="宋体" w:hAnsi="宋体" w:cs="Arial"/>
          <w:b/>
          <w:color w:val="auto"/>
          <w:sz w:val="24"/>
          <w:highlight w:val="none"/>
        </w:rPr>
        <w:t xml:space="preserve"> 近年完成同类项目一览表</w:t>
      </w:r>
    </w:p>
    <w:p>
      <w:pPr>
        <w:spacing w:line="360" w:lineRule="auto"/>
        <w:ind w:left="945" w:leftChars="100" w:hanging="735" w:hangingChars="350"/>
        <w:rPr>
          <w:rFonts w:ascii="宋体" w:hAnsi="宋体"/>
          <w:color w:val="auto"/>
          <w:highlight w:val="none"/>
        </w:rPr>
      </w:pPr>
      <w:r>
        <w:rPr>
          <w:rFonts w:hint="eastAsia" w:ascii="宋体" w:hAnsi="宋体"/>
          <w:color w:val="auto"/>
          <w:highlight w:val="none"/>
        </w:rPr>
        <w:t>项目名称：</w:t>
      </w:r>
      <w:r>
        <w:rPr>
          <w:rFonts w:hint="eastAsia" w:ascii="宋体" w:hAnsi="宋体"/>
          <w:color w:val="auto"/>
          <w:highlight w:val="none"/>
          <w:u w:val="single"/>
        </w:rPr>
        <w:t>国家税务总局罗定市税务局机关及下属税务分局物业管理服务项目</w:t>
      </w:r>
    </w:p>
    <w:p>
      <w:pPr>
        <w:spacing w:line="360" w:lineRule="auto"/>
        <w:ind w:left="945" w:leftChars="100" w:hanging="735" w:hangingChars="350"/>
        <w:rPr>
          <w:rFonts w:ascii="宋体" w:hAnsi="宋体"/>
          <w:color w:val="auto"/>
          <w:highlight w:val="none"/>
          <w:u w:val="single"/>
        </w:rPr>
      </w:pPr>
      <w:r>
        <w:rPr>
          <w:rFonts w:hint="eastAsia" w:ascii="宋体" w:hAnsi="宋体"/>
          <w:color w:val="auto"/>
          <w:highlight w:val="none"/>
        </w:rPr>
        <w:t>项目编号：</w:t>
      </w:r>
      <w:r>
        <w:rPr>
          <w:rFonts w:hint="eastAsia" w:ascii="宋体" w:hAnsi="宋体"/>
          <w:color w:val="auto"/>
          <w:highlight w:val="none"/>
          <w:u w:val="single"/>
        </w:rPr>
        <w:t>0877-23GZTP01Y774</w:t>
      </w:r>
    </w:p>
    <w:p>
      <w:pPr>
        <w:pStyle w:val="2"/>
        <w:spacing w:line="360" w:lineRule="auto"/>
        <w:ind w:firstLine="210" w:firstLineChars="100"/>
        <w:rPr>
          <w:color w:val="auto"/>
          <w:highlight w:val="none"/>
          <w:u w:val="single"/>
        </w:rPr>
      </w:pP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854"/>
        <w:gridCol w:w="966"/>
        <w:gridCol w:w="1682"/>
        <w:gridCol w:w="954"/>
        <w:gridCol w:w="1077"/>
        <w:gridCol w:w="953"/>
        <w:gridCol w:w="992"/>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528" w:type="dxa"/>
            <w:vAlign w:val="center"/>
          </w:tcPr>
          <w:p>
            <w:pPr>
              <w:adjustRightInd w:val="0"/>
              <w:snapToGrid w:val="0"/>
              <w:ind w:left="-84" w:leftChars="-40" w:right="-107" w:rightChars="-51"/>
              <w:jc w:val="center"/>
              <w:rPr>
                <w:rFonts w:ascii="宋体" w:hAnsi="宋体"/>
                <w:b/>
                <w:color w:val="auto"/>
                <w:szCs w:val="21"/>
                <w:highlight w:val="none"/>
              </w:rPr>
            </w:pPr>
            <w:r>
              <w:rPr>
                <w:rFonts w:hint="eastAsia" w:ascii="宋体" w:hAnsi="宋体"/>
                <w:b/>
                <w:color w:val="auto"/>
                <w:szCs w:val="21"/>
                <w:highlight w:val="none"/>
              </w:rPr>
              <w:t>序号</w:t>
            </w:r>
          </w:p>
        </w:tc>
        <w:tc>
          <w:tcPr>
            <w:tcW w:w="854" w:type="dxa"/>
            <w:vAlign w:val="center"/>
          </w:tcPr>
          <w:p>
            <w:pPr>
              <w:adjustRightInd w:val="0"/>
              <w:snapToGrid w:val="0"/>
              <w:ind w:left="-84" w:leftChars="-40" w:right="-107" w:rightChars="-51"/>
              <w:jc w:val="center"/>
              <w:rPr>
                <w:rFonts w:ascii="宋体" w:hAnsi="宋体"/>
                <w:b/>
                <w:color w:val="auto"/>
                <w:szCs w:val="21"/>
                <w:highlight w:val="none"/>
              </w:rPr>
            </w:pPr>
            <w:r>
              <w:rPr>
                <w:rFonts w:hint="eastAsia" w:ascii="宋体" w:hAnsi="宋体"/>
                <w:b/>
                <w:color w:val="auto"/>
                <w:szCs w:val="21"/>
                <w:highlight w:val="none"/>
              </w:rPr>
              <w:t>用户/业主名称</w:t>
            </w:r>
          </w:p>
        </w:tc>
        <w:tc>
          <w:tcPr>
            <w:tcW w:w="966" w:type="dxa"/>
            <w:vAlign w:val="center"/>
          </w:tcPr>
          <w:p>
            <w:pPr>
              <w:adjustRightInd w:val="0"/>
              <w:snapToGrid w:val="0"/>
              <w:ind w:left="-84" w:leftChars="-40" w:right="-107" w:rightChars="-51"/>
              <w:jc w:val="center"/>
              <w:rPr>
                <w:rFonts w:ascii="宋体" w:hAnsi="宋体"/>
                <w:b/>
                <w:color w:val="auto"/>
                <w:szCs w:val="21"/>
                <w:highlight w:val="none"/>
              </w:rPr>
            </w:pPr>
            <w:r>
              <w:rPr>
                <w:rFonts w:hint="eastAsia" w:ascii="宋体" w:hAnsi="宋体"/>
                <w:b/>
                <w:color w:val="auto"/>
                <w:szCs w:val="21"/>
                <w:highlight w:val="none"/>
              </w:rPr>
              <w:t>项目名称</w:t>
            </w:r>
          </w:p>
        </w:tc>
        <w:tc>
          <w:tcPr>
            <w:tcW w:w="1682" w:type="dxa"/>
            <w:vAlign w:val="center"/>
          </w:tcPr>
          <w:p>
            <w:pPr>
              <w:adjustRightInd w:val="0"/>
              <w:snapToGrid w:val="0"/>
              <w:ind w:left="-84" w:leftChars="-40" w:right="-107" w:rightChars="-51"/>
              <w:jc w:val="center"/>
              <w:rPr>
                <w:rFonts w:ascii="宋体" w:hAnsi="宋体"/>
                <w:b/>
                <w:color w:val="auto"/>
                <w:szCs w:val="21"/>
                <w:highlight w:val="none"/>
              </w:rPr>
            </w:pPr>
            <w:r>
              <w:rPr>
                <w:rFonts w:hint="eastAsia" w:ascii="宋体" w:hAnsi="宋体"/>
                <w:b/>
                <w:color w:val="auto"/>
                <w:szCs w:val="21"/>
                <w:highlight w:val="none"/>
              </w:rPr>
              <w:t>项目内容</w:t>
            </w:r>
          </w:p>
        </w:tc>
        <w:tc>
          <w:tcPr>
            <w:tcW w:w="954" w:type="dxa"/>
            <w:vAlign w:val="center"/>
          </w:tcPr>
          <w:p>
            <w:pPr>
              <w:adjustRightInd w:val="0"/>
              <w:snapToGrid w:val="0"/>
              <w:ind w:left="-84" w:leftChars="-40" w:right="-107" w:rightChars="-51"/>
              <w:jc w:val="center"/>
              <w:rPr>
                <w:rFonts w:ascii="宋体" w:hAnsi="宋体"/>
                <w:b/>
                <w:color w:val="auto"/>
                <w:szCs w:val="21"/>
                <w:highlight w:val="none"/>
              </w:rPr>
            </w:pPr>
            <w:r>
              <w:rPr>
                <w:rFonts w:hint="eastAsia" w:ascii="宋体" w:hAnsi="宋体"/>
                <w:b/>
                <w:color w:val="auto"/>
                <w:szCs w:val="21"/>
                <w:highlight w:val="none"/>
              </w:rPr>
              <w:t>合同总价</w:t>
            </w:r>
          </w:p>
        </w:tc>
        <w:tc>
          <w:tcPr>
            <w:tcW w:w="1077" w:type="dxa"/>
            <w:vAlign w:val="center"/>
          </w:tcPr>
          <w:p>
            <w:pPr>
              <w:adjustRightInd w:val="0"/>
              <w:snapToGrid w:val="0"/>
              <w:ind w:left="-84" w:leftChars="-40" w:right="-107" w:rightChars="-51"/>
              <w:jc w:val="center"/>
              <w:rPr>
                <w:rFonts w:ascii="宋体" w:hAnsi="宋体"/>
                <w:b/>
                <w:color w:val="auto"/>
                <w:szCs w:val="21"/>
                <w:highlight w:val="none"/>
              </w:rPr>
            </w:pPr>
            <w:r>
              <w:rPr>
                <w:rFonts w:hint="eastAsia" w:ascii="宋体" w:hAnsi="宋体"/>
                <w:b/>
                <w:color w:val="auto"/>
                <w:szCs w:val="21"/>
                <w:highlight w:val="none"/>
              </w:rPr>
              <w:t>签订时间</w:t>
            </w:r>
          </w:p>
        </w:tc>
        <w:tc>
          <w:tcPr>
            <w:tcW w:w="953" w:type="dxa"/>
            <w:vAlign w:val="center"/>
          </w:tcPr>
          <w:p>
            <w:pPr>
              <w:adjustRightInd w:val="0"/>
              <w:snapToGrid w:val="0"/>
              <w:ind w:left="-84" w:leftChars="-40" w:right="-107" w:rightChars="-51"/>
              <w:jc w:val="center"/>
              <w:rPr>
                <w:rFonts w:ascii="宋体" w:hAnsi="宋体"/>
                <w:b/>
                <w:color w:val="auto"/>
                <w:szCs w:val="21"/>
                <w:highlight w:val="none"/>
              </w:rPr>
            </w:pPr>
            <w:r>
              <w:rPr>
                <w:rFonts w:hint="eastAsia" w:ascii="宋体" w:hAnsi="宋体"/>
                <w:b/>
                <w:color w:val="auto"/>
                <w:szCs w:val="21"/>
                <w:highlight w:val="none"/>
              </w:rPr>
              <w:t>完成时间</w:t>
            </w:r>
          </w:p>
        </w:tc>
        <w:tc>
          <w:tcPr>
            <w:tcW w:w="992" w:type="dxa"/>
            <w:vAlign w:val="center"/>
          </w:tcPr>
          <w:p>
            <w:pPr>
              <w:adjustRightInd w:val="0"/>
              <w:snapToGrid w:val="0"/>
              <w:ind w:left="-84" w:leftChars="-40" w:right="-107" w:rightChars="-51"/>
              <w:jc w:val="center"/>
              <w:rPr>
                <w:rFonts w:ascii="宋体" w:hAnsi="宋体"/>
                <w:b/>
                <w:color w:val="auto"/>
                <w:szCs w:val="21"/>
                <w:highlight w:val="none"/>
              </w:rPr>
            </w:pPr>
            <w:r>
              <w:rPr>
                <w:rFonts w:hint="eastAsia" w:ascii="宋体" w:hAnsi="宋体"/>
                <w:b/>
                <w:color w:val="auto"/>
                <w:szCs w:val="21"/>
                <w:highlight w:val="none"/>
              </w:rPr>
              <w:t>用户/业主联系人及电话</w:t>
            </w:r>
          </w:p>
        </w:tc>
        <w:tc>
          <w:tcPr>
            <w:tcW w:w="1082" w:type="dxa"/>
            <w:vAlign w:val="center"/>
          </w:tcPr>
          <w:p>
            <w:pPr>
              <w:adjustRightInd w:val="0"/>
              <w:snapToGrid w:val="0"/>
              <w:ind w:left="-84" w:leftChars="-40" w:right="-107" w:rightChars="-51"/>
              <w:jc w:val="center"/>
              <w:rPr>
                <w:rFonts w:ascii="宋体" w:hAnsi="宋体"/>
                <w:b/>
                <w:color w:val="auto"/>
                <w:szCs w:val="21"/>
                <w:highlight w:val="none"/>
              </w:rPr>
            </w:pPr>
            <w:r>
              <w:rPr>
                <w:rFonts w:hint="eastAsia" w:ascii="宋体" w:hAnsi="宋体"/>
                <w:b/>
                <w:color w:val="auto"/>
                <w:szCs w:val="21"/>
                <w:highlight w:val="none"/>
              </w:rPr>
              <w:t>查阅/证明文件指引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28" w:type="dxa"/>
            <w:vAlign w:val="center"/>
          </w:tcPr>
          <w:p>
            <w:pPr>
              <w:jc w:val="center"/>
              <w:rPr>
                <w:rFonts w:ascii="宋体" w:hAnsi="宋体"/>
                <w:color w:val="auto"/>
                <w:highlight w:val="none"/>
              </w:rPr>
            </w:pPr>
            <w:r>
              <w:rPr>
                <w:rFonts w:hint="eastAsia" w:ascii="宋体" w:hAnsi="宋体"/>
                <w:color w:val="auto"/>
                <w:highlight w:val="none"/>
              </w:rPr>
              <w:t>1</w:t>
            </w:r>
          </w:p>
        </w:tc>
        <w:tc>
          <w:tcPr>
            <w:tcW w:w="854" w:type="dxa"/>
            <w:vAlign w:val="center"/>
          </w:tcPr>
          <w:p>
            <w:pPr>
              <w:spacing w:line="400" w:lineRule="exact"/>
              <w:jc w:val="center"/>
              <w:rPr>
                <w:rFonts w:ascii="宋体" w:hAnsi="宋体"/>
                <w:color w:val="auto"/>
                <w:szCs w:val="21"/>
                <w:highlight w:val="none"/>
              </w:rPr>
            </w:pPr>
          </w:p>
        </w:tc>
        <w:tc>
          <w:tcPr>
            <w:tcW w:w="966" w:type="dxa"/>
            <w:vAlign w:val="center"/>
          </w:tcPr>
          <w:p>
            <w:pPr>
              <w:spacing w:line="400" w:lineRule="exact"/>
              <w:jc w:val="center"/>
              <w:rPr>
                <w:rFonts w:ascii="宋体" w:hAnsi="宋体"/>
                <w:color w:val="auto"/>
                <w:szCs w:val="21"/>
                <w:highlight w:val="none"/>
              </w:rPr>
            </w:pPr>
          </w:p>
        </w:tc>
        <w:tc>
          <w:tcPr>
            <w:tcW w:w="1682" w:type="dxa"/>
            <w:vAlign w:val="center"/>
          </w:tcPr>
          <w:p>
            <w:pPr>
              <w:spacing w:line="400" w:lineRule="exact"/>
              <w:jc w:val="center"/>
              <w:rPr>
                <w:rFonts w:ascii="宋体" w:hAnsi="宋体"/>
                <w:color w:val="auto"/>
                <w:szCs w:val="21"/>
                <w:highlight w:val="none"/>
              </w:rPr>
            </w:pPr>
          </w:p>
        </w:tc>
        <w:tc>
          <w:tcPr>
            <w:tcW w:w="954" w:type="dxa"/>
            <w:vAlign w:val="center"/>
          </w:tcPr>
          <w:p>
            <w:pPr>
              <w:spacing w:line="400" w:lineRule="exact"/>
              <w:jc w:val="center"/>
              <w:rPr>
                <w:rFonts w:ascii="宋体" w:hAnsi="宋体"/>
                <w:color w:val="auto"/>
                <w:szCs w:val="21"/>
                <w:highlight w:val="none"/>
              </w:rPr>
            </w:pPr>
          </w:p>
        </w:tc>
        <w:tc>
          <w:tcPr>
            <w:tcW w:w="1077" w:type="dxa"/>
            <w:vAlign w:val="center"/>
          </w:tcPr>
          <w:p>
            <w:pPr>
              <w:spacing w:line="400" w:lineRule="exact"/>
              <w:jc w:val="center"/>
              <w:rPr>
                <w:rFonts w:ascii="宋体" w:hAnsi="宋体"/>
                <w:color w:val="auto"/>
                <w:szCs w:val="21"/>
                <w:highlight w:val="none"/>
              </w:rPr>
            </w:pPr>
          </w:p>
        </w:tc>
        <w:tc>
          <w:tcPr>
            <w:tcW w:w="953" w:type="dxa"/>
            <w:vAlign w:val="center"/>
          </w:tcPr>
          <w:p>
            <w:pPr>
              <w:spacing w:line="400" w:lineRule="exact"/>
              <w:jc w:val="center"/>
              <w:rPr>
                <w:rFonts w:ascii="宋体" w:hAnsi="宋体"/>
                <w:color w:val="auto"/>
                <w:szCs w:val="21"/>
                <w:highlight w:val="none"/>
              </w:rPr>
            </w:pPr>
          </w:p>
        </w:tc>
        <w:tc>
          <w:tcPr>
            <w:tcW w:w="992" w:type="dxa"/>
            <w:vAlign w:val="center"/>
          </w:tcPr>
          <w:p>
            <w:pPr>
              <w:spacing w:line="400" w:lineRule="exact"/>
              <w:jc w:val="center"/>
              <w:rPr>
                <w:rFonts w:ascii="宋体" w:hAnsi="宋体"/>
                <w:color w:val="auto"/>
                <w:szCs w:val="21"/>
                <w:highlight w:val="none"/>
              </w:rPr>
            </w:pPr>
          </w:p>
        </w:tc>
        <w:tc>
          <w:tcPr>
            <w:tcW w:w="1082" w:type="dxa"/>
            <w:vAlign w:val="center"/>
          </w:tcPr>
          <w:p>
            <w:pPr>
              <w:spacing w:line="400" w:lineRule="exact"/>
              <w:ind w:firstLine="105" w:firstLineChars="50"/>
              <w:rPr>
                <w:rFonts w:ascii="宋体" w:hAnsi="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28" w:type="dxa"/>
            <w:vAlign w:val="center"/>
          </w:tcPr>
          <w:p>
            <w:pPr>
              <w:jc w:val="center"/>
              <w:rPr>
                <w:rFonts w:ascii="宋体" w:hAnsi="宋体"/>
                <w:color w:val="auto"/>
                <w:highlight w:val="none"/>
              </w:rPr>
            </w:pPr>
            <w:r>
              <w:rPr>
                <w:rFonts w:hint="eastAsia" w:ascii="宋体" w:hAnsi="宋体"/>
                <w:color w:val="auto"/>
                <w:highlight w:val="none"/>
              </w:rPr>
              <w:t>2</w:t>
            </w:r>
          </w:p>
        </w:tc>
        <w:tc>
          <w:tcPr>
            <w:tcW w:w="854" w:type="dxa"/>
            <w:vAlign w:val="center"/>
          </w:tcPr>
          <w:p>
            <w:pPr>
              <w:spacing w:line="400" w:lineRule="exact"/>
              <w:jc w:val="center"/>
              <w:rPr>
                <w:rFonts w:ascii="宋体" w:hAnsi="宋体"/>
                <w:color w:val="auto"/>
                <w:szCs w:val="21"/>
                <w:highlight w:val="none"/>
              </w:rPr>
            </w:pPr>
          </w:p>
        </w:tc>
        <w:tc>
          <w:tcPr>
            <w:tcW w:w="966" w:type="dxa"/>
            <w:vAlign w:val="center"/>
          </w:tcPr>
          <w:p>
            <w:pPr>
              <w:spacing w:line="400" w:lineRule="exact"/>
              <w:jc w:val="center"/>
              <w:rPr>
                <w:rFonts w:ascii="宋体" w:hAnsi="宋体"/>
                <w:color w:val="auto"/>
                <w:szCs w:val="21"/>
                <w:highlight w:val="none"/>
              </w:rPr>
            </w:pPr>
          </w:p>
        </w:tc>
        <w:tc>
          <w:tcPr>
            <w:tcW w:w="1682" w:type="dxa"/>
            <w:vAlign w:val="center"/>
          </w:tcPr>
          <w:p>
            <w:pPr>
              <w:spacing w:line="400" w:lineRule="exact"/>
              <w:jc w:val="center"/>
              <w:rPr>
                <w:rFonts w:ascii="宋体" w:hAnsi="宋体"/>
                <w:color w:val="auto"/>
                <w:szCs w:val="21"/>
                <w:highlight w:val="none"/>
              </w:rPr>
            </w:pPr>
          </w:p>
        </w:tc>
        <w:tc>
          <w:tcPr>
            <w:tcW w:w="954" w:type="dxa"/>
            <w:vAlign w:val="center"/>
          </w:tcPr>
          <w:p>
            <w:pPr>
              <w:spacing w:line="400" w:lineRule="exact"/>
              <w:jc w:val="center"/>
              <w:rPr>
                <w:rFonts w:ascii="宋体" w:hAnsi="宋体"/>
                <w:color w:val="auto"/>
                <w:szCs w:val="21"/>
                <w:highlight w:val="none"/>
              </w:rPr>
            </w:pPr>
          </w:p>
        </w:tc>
        <w:tc>
          <w:tcPr>
            <w:tcW w:w="1077" w:type="dxa"/>
            <w:vAlign w:val="center"/>
          </w:tcPr>
          <w:p>
            <w:pPr>
              <w:spacing w:line="400" w:lineRule="exact"/>
              <w:jc w:val="center"/>
              <w:rPr>
                <w:rFonts w:ascii="宋体" w:hAnsi="宋体"/>
                <w:color w:val="auto"/>
                <w:szCs w:val="21"/>
                <w:highlight w:val="none"/>
              </w:rPr>
            </w:pPr>
          </w:p>
        </w:tc>
        <w:tc>
          <w:tcPr>
            <w:tcW w:w="953" w:type="dxa"/>
            <w:vAlign w:val="center"/>
          </w:tcPr>
          <w:p>
            <w:pPr>
              <w:spacing w:line="400" w:lineRule="exact"/>
              <w:jc w:val="center"/>
              <w:rPr>
                <w:rFonts w:ascii="宋体" w:hAnsi="宋体"/>
                <w:color w:val="auto"/>
                <w:szCs w:val="21"/>
                <w:highlight w:val="none"/>
              </w:rPr>
            </w:pPr>
          </w:p>
        </w:tc>
        <w:tc>
          <w:tcPr>
            <w:tcW w:w="992" w:type="dxa"/>
            <w:vAlign w:val="center"/>
          </w:tcPr>
          <w:p>
            <w:pPr>
              <w:spacing w:line="400" w:lineRule="exact"/>
              <w:jc w:val="center"/>
              <w:rPr>
                <w:rFonts w:ascii="宋体" w:hAnsi="宋体"/>
                <w:color w:val="auto"/>
                <w:szCs w:val="21"/>
                <w:highlight w:val="none"/>
              </w:rPr>
            </w:pPr>
          </w:p>
        </w:tc>
        <w:tc>
          <w:tcPr>
            <w:tcW w:w="1082" w:type="dxa"/>
            <w:vAlign w:val="center"/>
          </w:tcPr>
          <w:p>
            <w:pPr>
              <w:spacing w:line="400" w:lineRule="exact"/>
              <w:jc w:val="center"/>
              <w:rPr>
                <w:rFonts w:ascii="宋体" w:hAnsi="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28" w:type="dxa"/>
            <w:vAlign w:val="center"/>
          </w:tcPr>
          <w:p>
            <w:pPr>
              <w:jc w:val="center"/>
              <w:rPr>
                <w:rFonts w:ascii="宋体" w:hAnsi="宋体"/>
                <w:color w:val="auto"/>
                <w:highlight w:val="none"/>
              </w:rPr>
            </w:pPr>
            <w:r>
              <w:rPr>
                <w:rFonts w:hint="eastAsia" w:ascii="宋体" w:hAnsi="宋体"/>
                <w:color w:val="auto"/>
                <w:highlight w:val="none"/>
              </w:rPr>
              <w:t>3</w:t>
            </w:r>
          </w:p>
        </w:tc>
        <w:tc>
          <w:tcPr>
            <w:tcW w:w="854" w:type="dxa"/>
            <w:vAlign w:val="center"/>
          </w:tcPr>
          <w:p>
            <w:pPr>
              <w:spacing w:line="400" w:lineRule="exact"/>
              <w:jc w:val="center"/>
              <w:rPr>
                <w:rFonts w:ascii="宋体" w:hAnsi="宋体"/>
                <w:color w:val="auto"/>
                <w:szCs w:val="21"/>
                <w:highlight w:val="none"/>
              </w:rPr>
            </w:pPr>
          </w:p>
        </w:tc>
        <w:tc>
          <w:tcPr>
            <w:tcW w:w="966" w:type="dxa"/>
            <w:vAlign w:val="center"/>
          </w:tcPr>
          <w:p>
            <w:pPr>
              <w:spacing w:line="400" w:lineRule="exact"/>
              <w:jc w:val="center"/>
              <w:rPr>
                <w:rFonts w:ascii="宋体" w:hAnsi="宋体"/>
                <w:color w:val="auto"/>
                <w:szCs w:val="21"/>
                <w:highlight w:val="none"/>
              </w:rPr>
            </w:pPr>
          </w:p>
        </w:tc>
        <w:tc>
          <w:tcPr>
            <w:tcW w:w="1682" w:type="dxa"/>
            <w:vAlign w:val="center"/>
          </w:tcPr>
          <w:p>
            <w:pPr>
              <w:spacing w:line="400" w:lineRule="exact"/>
              <w:jc w:val="center"/>
              <w:rPr>
                <w:rFonts w:ascii="宋体" w:hAnsi="宋体"/>
                <w:color w:val="auto"/>
                <w:szCs w:val="21"/>
                <w:highlight w:val="none"/>
              </w:rPr>
            </w:pPr>
          </w:p>
        </w:tc>
        <w:tc>
          <w:tcPr>
            <w:tcW w:w="954" w:type="dxa"/>
            <w:vAlign w:val="center"/>
          </w:tcPr>
          <w:p>
            <w:pPr>
              <w:spacing w:line="400" w:lineRule="exact"/>
              <w:jc w:val="center"/>
              <w:rPr>
                <w:rFonts w:ascii="宋体" w:hAnsi="宋体"/>
                <w:color w:val="auto"/>
                <w:szCs w:val="21"/>
                <w:highlight w:val="none"/>
              </w:rPr>
            </w:pPr>
          </w:p>
        </w:tc>
        <w:tc>
          <w:tcPr>
            <w:tcW w:w="1077" w:type="dxa"/>
            <w:vAlign w:val="center"/>
          </w:tcPr>
          <w:p>
            <w:pPr>
              <w:spacing w:line="400" w:lineRule="exact"/>
              <w:jc w:val="center"/>
              <w:rPr>
                <w:rFonts w:ascii="宋体" w:hAnsi="宋体"/>
                <w:color w:val="auto"/>
                <w:szCs w:val="21"/>
                <w:highlight w:val="none"/>
              </w:rPr>
            </w:pPr>
          </w:p>
        </w:tc>
        <w:tc>
          <w:tcPr>
            <w:tcW w:w="953" w:type="dxa"/>
            <w:vAlign w:val="center"/>
          </w:tcPr>
          <w:p>
            <w:pPr>
              <w:spacing w:line="400" w:lineRule="exact"/>
              <w:jc w:val="center"/>
              <w:rPr>
                <w:rFonts w:ascii="宋体" w:hAnsi="宋体"/>
                <w:color w:val="auto"/>
                <w:szCs w:val="21"/>
                <w:highlight w:val="none"/>
              </w:rPr>
            </w:pPr>
          </w:p>
        </w:tc>
        <w:tc>
          <w:tcPr>
            <w:tcW w:w="992" w:type="dxa"/>
            <w:vAlign w:val="center"/>
          </w:tcPr>
          <w:p>
            <w:pPr>
              <w:spacing w:line="400" w:lineRule="exact"/>
              <w:jc w:val="center"/>
              <w:rPr>
                <w:rFonts w:ascii="宋体" w:hAnsi="宋体"/>
                <w:color w:val="auto"/>
                <w:szCs w:val="21"/>
                <w:highlight w:val="none"/>
              </w:rPr>
            </w:pPr>
          </w:p>
        </w:tc>
        <w:tc>
          <w:tcPr>
            <w:tcW w:w="1082" w:type="dxa"/>
            <w:vAlign w:val="center"/>
          </w:tcPr>
          <w:p>
            <w:pPr>
              <w:spacing w:line="400" w:lineRule="exact"/>
              <w:jc w:val="center"/>
              <w:rPr>
                <w:rFonts w:ascii="宋体" w:hAnsi="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28" w:type="dxa"/>
            <w:vAlign w:val="center"/>
          </w:tcPr>
          <w:p>
            <w:pPr>
              <w:jc w:val="center"/>
              <w:rPr>
                <w:rFonts w:ascii="宋体" w:hAnsi="宋体"/>
                <w:color w:val="auto"/>
                <w:highlight w:val="none"/>
              </w:rPr>
            </w:pPr>
            <w:r>
              <w:rPr>
                <w:rFonts w:hint="eastAsia" w:ascii="宋体" w:hAnsi="宋体"/>
                <w:color w:val="auto"/>
                <w:highlight w:val="none"/>
              </w:rPr>
              <w:t>4</w:t>
            </w:r>
          </w:p>
        </w:tc>
        <w:tc>
          <w:tcPr>
            <w:tcW w:w="854" w:type="dxa"/>
            <w:vAlign w:val="center"/>
          </w:tcPr>
          <w:p>
            <w:pPr>
              <w:spacing w:line="400" w:lineRule="exact"/>
              <w:jc w:val="center"/>
              <w:rPr>
                <w:rFonts w:ascii="宋体" w:hAnsi="宋体"/>
                <w:color w:val="auto"/>
                <w:szCs w:val="21"/>
                <w:highlight w:val="none"/>
              </w:rPr>
            </w:pPr>
          </w:p>
        </w:tc>
        <w:tc>
          <w:tcPr>
            <w:tcW w:w="966" w:type="dxa"/>
            <w:vAlign w:val="center"/>
          </w:tcPr>
          <w:p>
            <w:pPr>
              <w:spacing w:line="400" w:lineRule="exact"/>
              <w:jc w:val="center"/>
              <w:rPr>
                <w:rFonts w:ascii="宋体" w:hAnsi="宋体"/>
                <w:color w:val="auto"/>
                <w:szCs w:val="21"/>
                <w:highlight w:val="none"/>
              </w:rPr>
            </w:pPr>
          </w:p>
        </w:tc>
        <w:tc>
          <w:tcPr>
            <w:tcW w:w="1682" w:type="dxa"/>
            <w:vAlign w:val="center"/>
          </w:tcPr>
          <w:p>
            <w:pPr>
              <w:spacing w:line="400" w:lineRule="exact"/>
              <w:jc w:val="center"/>
              <w:rPr>
                <w:rFonts w:ascii="宋体" w:hAnsi="宋体"/>
                <w:color w:val="auto"/>
                <w:szCs w:val="21"/>
                <w:highlight w:val="none"/>
              </w:rPr>
            </w:pPr>
          </w:p>
        </w:tc>
        <w:tc>
          <w:tcPr>
            <w:tcW w:w="954" w:type="dxa"/>
            <w:vAlign w:val="center"/>
          </w:tcPr>
          <w:p>
            <w:pPr>
              <w:spacing w:line="400" w:lineRule="exact"/>
              <w:jc w:val="center"/>
              <w:rPr>
                <w:rFonts w:ascii="宋体" w:hAnsi="宋体"/>
                <w:color w:val="auto"/>
                <w:szCs w:val="21"/>
                <w:highlight w:val="none"/>
              </w:rPr>
            </w:pPr>
          </w:p>
        </w:tc>
        <w:tc>
          <w:tcPr>
            <w:tcW w:w="1077" w:type="dxa"/>
            <w:vAlign w:val="center"/>
          </w:tcPr>
          <w:p>
            <w:pPr>
              <w:spacing w:line="400" w:lineRule="exact"/>
              <w:jc w:val="center"/>
              <w:rPr>
                <w:rFonts w:ascii="宋体" w:hAnsi="宋体"/>
                <w:color w:val="auto"/>
                <w:szCs w:val="21"/>
                <w:highlight w:val="none"/>
              </w:rPr>
            </w:pPr>
          </w:p>
        </w:tc>
        <w:tc>
          <w:tcPr>
            <w:tcW w:w="953" w:type="dxa"/>
            <w:vAlign w:val="center"/>
          </w:tcPr>
          <w:p>
            <w:pPr>
              <w:spacing w:line="400" w:lineRule="exact"/>
              <w:jc w:val="center"/>
              <w:rPr>
                <w:rFonts w:ascii="宋体" w:hAnsi="宋体"/>
                <w:color w:val="auto"/>
                <w:szCs w:val="21"/>
                <w:highlight w:val="none"/>
              </w:rPr>
            </w:pPr>
          </w:p>
        </w:tc>
        <w:tc>
          <w:tcPr>
            <w:tcW w:w="992" w:type="dxa"/>
            <w:vAlign w:val="center"/>
          </w:tcPr>
          <w:p>
            <w:pPr>
              <w:spacing w:line="400" w:lineRule="exact"/>
              <w:jc w:val="center"/>
              <w:rPr>
                <w:rFonts w:ascii="宋体" w:hAnsi="宋体"/>
                <w:color w:val="auto"/>
                <w:szCs w:val="21"/>
                <w:highlight w:val="none"/>
              </w:rPr>
            </w:pPr>
          </w:p>
        </w:tc>
        <w:tc>
          <w:tcPr>
            <w:tcW w:w="1082" w:type="dxa"/>
            <w:vAlign w:val="center"/>
          </w:tcPr>
          <w:p>
            <w:pPr>
              <w:spacing w:line="400" w:lineRule="exact"/>
              <w:jc w:val="center"/>
              <w:rPr>
                <w:rFonts w:ascii="宋体" w:hAnsi="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8" w:type="dxa"/>
            <w:vAlign w:val="center"/>
          </w:tcPr>
          <w:p>
            <w:pPr>
              <w:jc w:val="center"/>
              <w:rPr>
                <w:rFonts w:ascii="宋体" w:hAnsi="宋体"/>
                <w:color w:val="auto"/>
                <w:highlight w:val="none"/>
              </w:rPr>
            </w:pPr>
            <w:r>
              <w:rPr>
                <w:rFonts w:hint="eastAsia" w:ascii="宋体" w:hAnsi="宋体"/>
                <w:color w:val="auto"/>
                <w:highlight w:val="none"/>
              </w:rPr>
              <w:t>...</w:t>
            </w:r>
          </w:p>
        </w:tc>
        <w:tc>
          <w:tcPr>
            <w:tcW w:w="854" w:type="dxa"/>
            <w:vAlign w:val="center"/>
          </w:tcPr>
          <w:p>
            <w:pPr>
              <w:rPr>
                <w:rFonts w:ascii="宋体" w:hAnsi="宋体"/>
                <w:color w:val="auto"/>
                <w:highlight w:val="none"/>
              </w:rPr>
            </w:pPr>
          </w:p>
        </w:tc>
        <w:tc>
          <w:tcPr>
            <w:tcW w:w="966" w:type="dxa"/>
            <w:vAlign w:val="center"/>
          </w:tcPr>
          <w:p>
            <w:pPr>
              <w:spacing w:line="400" w:lineRule="exact"/>
              <w:jc w:val="center"/>
              <w:rPr>
                <w:rFonts w:ascii="宋体" w:hAnsi="宋体"/>
                <w:color w:val="auto"/>
                <w:szCs w:val="21"/>
                <w:highlight w:val="none"/>
              </w:rPr>
            </w:pPr>
          </w:p>
        </w:tc>
        <w:tc>
          <w:tcPr>
            <w:tcW w:w="1682" w:type="dxa"/>
            <w:vAlign w:val="center"/>
          </w:tcPr>
          <w:p>
            <w:pPr>
              <w:spacing w:line="400" w:lineRule="exact"/>
              <w:jc w:val="center"/>
              <w:rPr>
                <w:rFonts w:ascii="宋体" w:hAnsi="宋体"/>
                <w:color w:val="auto"/>
                <w:szCs w:val="21"/>
                <w:highlight w:val="none"/>
              </w:rPr>
            </w:pPr>
          </w:p>
        </w:tc>
        <w:tc>
          <w:tcPr>
            <w:tcW w:w="954" w:type="dxa"/>
            <w:vAlign w:val="center"/>
          </w:tcPr>
          <w:p>
            <w:pPr>
              <w:spacing w:line="400" w:lineRule="exact"/>
              <w:jc w:val="center"/>
              <w:rPr>
                <w:rFonts w:ascii="宋体" w:hAnsi="宋体"/>
                <w:color w:val="auto"/>
                <w:szCs w:val="21"/>
                <w:highlight w:val="none"/>
              </w:rPr>
            </w:pPr>
          </w:p>
        </w:tc>
        <w:tc>
          <w:tcPr>
            <w:tcW w:w="1077" w:type="dxa"/>
            <w:vAlign w:val="center"/>
          </w:tcPr>
          <w:p>
            <w:pPr>
              <w:spacing w:line="400" w:lineRule="exact"/>
              <w:jc w:val="center"/>
              <w:rPr>
                <w:rFonts w:ascii="宋体" w:hAnsi="宋体"/>
                <w:color w:val="auto"/>
                <w:szCs w:val="21"/>
                <w:highlight w:val="none"/>
              </w:rPr>
            </w:pPr>
          </w:p>
        </w:tc>
        <w:tc>
          <w:tcPr>
            <w:tcW w:w="953" w:type="dxa"/>
            <w:vAlign w:val="center"/>
          </w:tcPr>
          <w:p>
            <w:pPr>
              <w:spacing w:line="400" w:lineRule="exact"/>
              <w:jc w:val="center"/>
              <w:rPr>
                <w:rFonts w:ascii="宋体" w:hAnsi="宋体"/>
                <w:color w:val="auto"/>
                <w:szCs w:val="21"/>
                <w:highlight w:val="none"/>
              </w:rPr>
            </w:pPr>
          </w:p>
        </w:tc>
        <w:tc>
          <w:tcPr>
            <w:tcW w:w="992" w:type="dxa"/>
            <w:vAlign w:val="center"/>
          </w:tcPr>
          <w:p>
            <w:pPr>
              <w:spacing w:line="400" w:lineRule="exact"/>
              <w:jc w:val="center"/>
              <w:rPr>
                <w:rFonts w:ascii="宋体" w:hAnsi="宋体"/>
                <w:color w:val="auto"/>
                <w:szCs w:val="21"/>
                <w:highlight w:val="none"/>
              </w:rPr>
            </w:pPr>
          </w:p>
        </w:tc>
        <w:tc>
          <w:tcPr>
            <w:tcW w:w="1082" w:type="dxa"/>
            <w:vAlign w:val="center"/>
          </w:tcPr>
          <w:p>
            <w:pPr>
              <w:spacing w:line="400" w:lineRule="exact"/>
              <w:jc w:val="center"/>
              <w:rPr>
                <w:rFonts w:ascii="宋体" w:hAnsi="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088" w:type="dxa"/>
            <w:gridSpan w:val="9"/>
            <w:vAlign w:val="center"/>
          </w:tcPr>
          <w:p>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合计：</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个业绩</w:t>
            </w:r>
          </w:p>
        </w:tc>
      </w:tr>
    </w:tbl>
    <w:p>
      <w:pPr>
        <w:spacing w:line="500" w:lineRule="exact"/>
        <w:ind w:firstLine="109" w:firstLineChars="50"/>
        <w:rPr>
          <w:rFonts w:ascii="宋体" w:hAnsi="宋体"/>
          <w:color w:val="auto"/>
          <w:spacing w:val="4"/>
          <w:highlight w:val="none"/>
        </w:rPr>
      </w:pPr>
    </w:p>
    <w:p>
      <w:pPr>
        <w:rPr>
          <w:rFonts w:ascii="宋体" w:hAnsi="宋体"/>
          <w:b/>
          <w:bCs/>
          <w:color w:val="auto"/>
          <w:sz w:val="16"/>
          <w:szCs w:val="16"/>
          <w:highlight w:val="none"/>
        </w:rPr>
      </w:pPr>
      <w:r>
        <w:rPr>
          <w:rFonts w:ascii="宋体" w:hAnsi="宋体"/>
          <w:b/>
          <w:bCs/>
          <w:color w:val="auto"/>
          <w:sz w:val="16"/>
          <w:szCs w:val="16"/>
          <w:highlight w:val="none"/>
        </w:rPr>
        <w:t>--</w:t>
      </w:r>
      <w:r>
        <w:rPr>
          <w:rFonts w:hint="eastAsia" w:ascii="宋体" w:hAnsi="宋体"/>
          <w:b/>
          <w:bCs/>
          <w:color w:val="auto"/>
          <w:sz w:val="16"/>
          <w:szCs w:val="16"/>
          <w:highlight w:val="none"/>
        </w:rPr>
        <w:t>备注</w:t>
      </w:r>
      <w:r>
        <w:rPr>
          <w:rFonts w:ascii="宋体" w:hAnsi="宋体"/>
          <w:b/>
          <w:bCs/>
          <w:color w:val="auto"/>
          <w:sz w:val="16"/>
          <w:szCs w:val="16"/>
          <w:highlight w:val="none"/>
        </w:rPr>
        <w:t>--</w:t>
      </w:r>
    </w:p>
    <w:p>
      <w:pPr>
        <w:pBdr>
          <w:top w:val="single" w:color="auto" w:sz="4" w:space="1"/>
          <w:left w:val="single" w:color="auto" w:sz="4" w:space="4"/>
          <w:bottom w:val="single" w:color="auto" w:sz="4" w:space="1"/>
          <w:right w:val="single" w:color="auto" w:sz="4" w:space="4"/>
        </w:pBdr>
        <w:tabs>
          <w:tab w:val="left" w:pos="6120"/>
        </w:tabs>
        <w:rPr>
          <w:rFonts w:ascii="宋体" w:hAnsi="宋体" w:cs="Arial"/>
          <w:i/>
          <w:color w:val="auto"/>
          <w:sz w:val="16"/>
          <w:szCs w:val="16"/>
          <w:highlight w:val="none"/>
        </w:rPr>
      </w:pPr>
      <w:r>
        <w:rPr>
          <w:rFonts w:hint="eastAsia" w:ascii="宋体" w:hAnsi="宋体" w:cs="Arial"/>
          <w:i/>
          <w:color w:val="auto"/>
          <w:sz w:val="16"/>
          <w:szCs w:val="16"/>
          <w:highlight w:val="none"/>
        </w:rPr>
        <w:t>1.《第六部分 投标文件格式》所有斜体字仅用于指导投标人编制投标文件，投标人应在最终提交的投标文件中将其删除；</w:t>
      </w:r>
    </w:p>
    <w:p>
      <w:pPr>
        <w:pBdr>
          <w:top w:val="single" w:color="auto" w:sz="4" w:space="1"/>
          <w:left w:val="single" w:color="auto" w:sz="4" w:space="4"/>
          <w:bottom w:val="single" w:color="auto" w:sz="4" w:space="1"/>
          <w:right w:val="single" w:color="auto" w:sz="4" w:space="4"/>
        </w:pBdr>
        <w:tabs>
          <w:tab w:val="left" w:pos="6120"/>
        </w:tabs>
        <w:rPr>
          <w:rFonts w:ascii="宋体" w:hAnsi="宋体" w:cs="Arial"/>
          <w:i/>
          <w:color w:val="auto"/>
          <w:sz w:val="16"/>
          <w:szCs w:val="16"/>
          <w:highlight w:val="none"/>
        </w:rPr>
      </w:pPr>
      <w:r>
        <w:rPr>
          <w:rFonts w:hint="eastAsia" w:ascii="宋体" w:hAnsi="宋体" w:cs="Arial"/>
          <w:i/>
          <w:color w:val="auto"/>
          <w:sz w:val="16"/>
          <w:szCs w:val="16"/>
          <w:highlight w:val="none"/>
        </w:rPr>
        <w:t>2.投标人应按照《第四部分 评标原则和方法》中《附表三 商务评分表》的对近年完成同类项目评审项的要求提交相应资料；如本项目不未将近年完成同类项目纳入评审，投标人可以不将本表编制到投标文件中；</w:t>
      </w:r>
    </w:p>
    <w:p>
      <w:pPr>
        <w:pBdr>
          <w:top w:val="single" w:color="auto" w:sz="4" w:space="1"/>
          <w:left w:val="single" w:color="auto" w:sz="4" w:space="4"/>
          <w:bottom w:val="single" w:color="auto" w:sz="4" w:space="1"/>
          <w:right w:val="single" w:color="auto" w:sz="4" w:space="4"/>
        </w:pBdr>
        <w:tabs>
          <w:tab w:val="left" w:pos="6120"/>
        </w:tabs>
        <w:rPr>
          <w:rFonts w:ascii="宋体" w:hAnsi="宋体" w:cs="Arial"/>
          <w:i/>
          <w:color w:val="auto"/>
          <w:sz w:val="16"/>
          <w:szCs w:val="16"/>
          <w:highlight w:val="none"/>
        </w:rPr>
      </w:pPr>
      <w:r>
        <w:rPr>
          <w:rFonts w:hint="eastAsia" w:ascii="宋体" w:hAnsi="宋体" w:cs="Arial"/>
          <w:i/>
          <w:color w:val="auto"/>
          <w:sz w:val="16"/>
          <w:szCs w:val="16"/>
          <w:highlight w:val="none"/>
        </w:rPr>
        <w:t>3.本表仅为参考格式，投标人可以进行增删。</w:t>
      </w:r>
    </w:p>
    <w:p>
      <w:pPr>
        <w:adjustRightInd w:val="0"/>
        <w:snapToGrid w:val="0"/>
        <w:spacing w:beforeLines="50" w:afterLines="50" w:line="360" w:lineRule="auto"/>
        <w:rPr>
          <w:rFonts w:ascii="宋体" w:hAnsi="宋体"/>
          <w:b/>
          <w:bCs/>
          <w:color w:val="auto"/>
          <w:highlight w:val="none"/>
        </w:rPr>
      </w:pPr>
      <w:r>
        <w:rPr>
          <w:rFonts w:hint="eastAsia" w:ascii="宋体" w:hAnsi="宋体"/>
          <w:b/>
          <w:bCs/>
          <w:color w:val="auto"/>
          <w:sz w:val="24"/>
          <w:highlight w:val="none"/>
        </w:rPr>
        <w:br w:type="page"/>
      </w:r>
      <w:r>
        <w:rPr>
          <w:rFonts w:hint="eastAsia" w:ascii="宋体" w:hAnsi="宋体"/>
          <w:b/>
          <w:bCs/>
          <w:color w:val="auto"/>
          <w:sz w:val="24"/>
          <w:highlight w:val="none"/>
        </w:rPr>
        <w:t>3.5 管理和技术人员一览表</w:t>
      </w:r>
    </w:p>
    <w:p>
      <w:pPr>
        <w:adjustRightInd w:val="0"/>
        <w:snapToGrid w:val="0"/>
        <w:spacing w:beforeLines="50" w:afterLines="50" w:line="360" w:lineRule="auto"/>
        <w:jc w:val="center"/>
        <w:rPr>
          <w:rFonts w:ascii="宋体" w:hAnsi="宋体"/>
          <w:b/>
          <w:color w:val="auto"/>
          <w:sz w:val="24"/>
          <w:szCs w:val="32"/>
          <w:highlight w:val="none"/>
        </w:rPr>
      </w:pPr>
      <w:r>
        <w:rPr>
          <w:rFonts w:hint="eastAsia" w:ascii="宋体" w:hAnsi="宋体"/>
          <w:b/>
          <w:color w:val="auto"/>
          <w:sz w:val="24"/>
          <w:szCs w:val="32"/>
          <w:highlight w:val="none"/>
        </w:rPr>
        <w:t>管理和技术人员一览表</w:t>
      </w:r>
    </w:p>
    <w:p>
      <w:pPr>
        <w:spacing w:line="360" w:lineRule="auto"/>
        <w:ind w:left="945" w:leftChars="100" w:hanging="735" w:hangingChars="350"/>
        <w:rPr>
          <w:rFonts w:ascii="宋体" w:hAnsi="宋体"/>
          <w:color w:val="auto"/>
          <w:highlight w:val="none"/>
        </w:rPr>
      </w:pPr>
      <w:r>
        <w:rPr>
          <w:rFonts w:hint="eastAsia" w:ascii="宋体" w:hAnsi="宋体"/>
          <w:color w:val="auto"/>
          <w:highlight w:val="none"/>
        </w:rPr>
        <w:t>项目名称：</w:t>
      </w:r>
      <w:r>
        <w:rPr>
          <w:rFonts w:hint="eastAsia" w:ascii="宋体" w:hAnsi="宋体"/>
          <w:color w:val="auto"/>
          <w:highlight w:val="none"/>
          <w:u w:val="single"/>
        </w:rPr>
        <w:t>国家税务总局罗定市税务局机关及下属税务分局物业管理服务项目</w:t>
      </w:r>
    </w:p>
    <w:p>
      <w:pPr>
        <w:spacing w:line="360" w:lineRule="auto"/>
        <w:ind w:left="945" w:leftChars="100" w:hanging="735" w:hangingChars="350"/>
        <w:rPr>
          <w:rFonts w:ascii="宋体" w:hAnsi="宋体"/>
          <w:color w:val="auto"/>
          <w:highlight w:val="none"/>
          <w:u w:val="single"/>
        </w:rPr>
      </w:pPr>
      <w:r>
        <w:rPr>
          <w:rFonts w:hint="eastAsia" w:ascii="宋体" w:hAnsi="宋体"/>
          <w:color w:val="auto"/>
          <w:highlight w:val="none"/>
        </w:rPr>
        <w:t>项目编号：</w:t>
      </w:r>
      <w:r>
        <w:rPr>
          <w:rFonts w:hint="eastAsia" w:ascii="宋体" w:hAnsi="宋体"/>
          <w:color w:val="auto"/>
          <w:highlight w:val="none"/>
          <w:u w:val="single"/>
        </w:rPr>
        <w:t>0877-23GZTP01Y774</w:t>
      </w:r>
    </w:p>
    <w:p>
      <w:pPr>
        <w:pStyle w:val="2"/>
        <w:spacing w:line="360" w:lineRule="auto"/>
        <w:ind w:firstLine="210" w:firstLineChars="100"/>
        <w:rPr>
          <w:color w:val="auto"/>
          <w:highlight w:val="none"/>
          <w:u w:val="single"/>
        </w:rPr>
      </w:pP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034"/>
        <w:gridCol w:w="662"/>
        <w:gridCol w:w="658"/>
        <w:gridCol w:w="822"/>
        <w:gridCol w:w="1051"/>
        <w:gridCol w:w="731"/>
        <w:gridCol w:w="579"/>
        <w:gridCol w:w="924"/>
        <w:gridCol w:w="709"/>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72" w:type="dxa"/>
            <w:vAlign w:val="center"/>
          </w:tcPr>
          <w:p>
            <w:pPr>
              <w:adjustRightInd w:val="0"/>
              <w:snapToGrid w:val="0"/>
              <w:ind w:left="-92" w:leftChars="-44" w:right="-80" w:rightChars="-38"/>
              <w:jc w:val="center"/>
              <w:rPr>
                <w:rFonts w:ascii="宋体" w:hAnsi="宋体"/>
                <w:b/>
                <w:color w:val="auto"/>
                <w:highlight w:val="none"/>
              </w:rPr>
            </w:pPr>
            <w:r>
              <w:rPr>
                <w:rFonts w:hint="eastAsia" w:ascii="宋体" w:hAnsi="宋体"/>
                <w:b/>
                <w:color w:val="auto"/>
                <w:highlight w:val="none"/>
              </w:rPr>
              <w:t>序号</w:t>
            </w:r>
          </w:p>
        </w:tc>
        <w:tc>
          <w:tcPr>
            <w:tcW w:w="1034" w:type="dxa"/>
            <w:vAlign w:val="center"/>
          </w:tcPr>
          <w:p>
            <w:pPr>
              <w:adjustRightInd w:val="0"/>
              <w:snapToGrid w:val="0"/>
              <w:ind w:left="-92" w:leftChars="-44" w:right="-80" w:rightChars="-38"/>
              <w:jc w:val="center"/>
              <w:rPr>
                <w:rFonts w:ascii="宋体" w:hAnsi="宋体"/>
                <w:b/>
                <w:color w:val="auto"/>
                <w:highlight w:val="none"/>
              </w:rPr>
            </w:pPr>
            <w:r>
              <w:rPr>
                <w:rFonts w:hint="eastAsia" w:ascii="宋体" w:hAnsi="宋体"/>
                <w:b/>
                <w:color w:val="auto"/>
                <w:highlight w:val="none"/>
              </w:rPr>
              <w:t>姓名</w:t>
            </w:r>
          </w:p>
        </w:tc>
        <w:tc>
          <w:tcPr>
            <w:tcW w:w="662" w:type="dxa"/>
            <w:vAlign w:val="center"/>
          </w:tcPr>
          <w:p>
            <w:pPr>
              <w:adjustRightInd w:val="0"/>
              <w:snapToGrid w:val="0"/>
              <w:ind w:left="-92" w:leftChars="-44" w:right="-80" w:rightChars="-38"/>
              <w:jc w:val="center"/>
              <w:rPr>
                <w:rFonts w:ascii="宋体" w:hAnsi="宋体"/>
                <w:b/>
                <w:color w:val="auto"/>
                <w:highlight w:val="none"/>
              </w:rPr>
            </w:pPr>
            <w:r>
              <w:rPr>
                <w:rFonts w:hint="eastAsia" w:ascii="宋体" w:hAnsi="宋体"/>
                <w:b/>
                <w:color w:val="auto"/>
                <w:highlight w:val="none"/>
              </w:rPr>
              <w:t>性别</w:t>
            </w:r>
          </w:p>
        </w:tc>
        <w:tc>
          <w:tcPr>
            <w:tcW w:w="658" w:type="dxa"/>
            <w:vAlign w:val="center"/>
          </w:tcPr>
          <w:p>
            <w:pPr>
              <w:adjustRightInd w:val="0"/>
              <w:snapToGrid w:val="0"/>
              <w:ind w:left="-92" w:leftChars="-44" w:right="-80" w:rightChars="-38"/>
              <w:jc w:val="center"/>
              <w:rPr>
                <w:rFonts w:ascii="宋体" w:hAnsi="宋体"/>
                <w:b/>
                <w:color w:val="auto"/>
                <w:highlight w:val="none"/>
              </w:rPr>
            </w:pPr>
            <w:r>
              <w:rPr>
                <w:rFonts w:hint="eastAsia" w:ascii="宋体" w:hAnsi="宋体"/>
                <w:b/>
                <w:color w:val="auto"/>
                <w:highlight w:val="none"/>
              </w:rPr>
              <w:t>年龄</w:t>
            </w:r>
          </w:p>
        </w:tc>
        <w:tc>
          <w:tcPr>
            <w:tcW w:w="822" w:type="dxa"/>
            <w:vAlign w:val="center"/>
          </w:tcPr>
          <w:p>
            <w:pPr>
              <w:adjustRightInd w:val="0"/>
              <w:snapToGrid w:val="0"/>
              <w:ind w:left="-92" w:leftChars="-44" w:right="-80" w:rightChars="-38"/>
              <w:jc w:val="center"/>
              <w:rPr>
                <w:rFonts w:ascii="宋体" w:hAnsi="宋体"/>
                <w:b/>
                <w:color w:val="auto"/>
                <w:highlight w:val="none"/>
              </w:rPr>
            </w:pPr>
            <w:r>
              <w:rPr>
                <w:rFonts w:hint="eastAsia" w:ascii="宋体" w:hAnsi="宋体"/>
                <w:b/>
                <w:color w:val="auto"/>
                <w:highlight w:val="none"/>
              </w:rPr>
              <w:t>学历</w:t>
            </w:r>
          </w:p>
        </w:tc>
        <w:tc>
          <w:tcPr>
            <w:tcW w:w="1051" w:type="dxa"/>
            <w:vAlign w:val="center"/>
          </w:tcPr>
          <w:p>
            <w:pPr>
              <w:adjustRightInd w:val="0"/>
              <w:snapToGrid w:val="0"/>
              <w:ind w:left="-92" w:leftChars="-44" w:right="-80" w:rightChars="-38"/>
              <w:jc w:val="center"/>
              <w:rPr>
                <w:rFonts w:ascii="宋体" w:hAnsi="宋体"/>
                <w:b/>
                <w:color w:val="auto"/>
                <w:highlight w:val="none"/>
              </w:rPr>
            </w:pPr>
            <w:r>
              <w:rPr>
                <w:rFonts w:hint="eastAsia" w:ascii="宋体" w:hAnsi="宋体"/>
                <w:b/>
                <w:color w:val="auto"/>
                <w:highlight w:val="none"/>
              </w:rPr>
              <w:t>职称</w:t>
            </w:r>
          </w:p>
        </w:tc>
        <w:tc>
          <w:tcPr>
            <w:tcW w:w="731" w:type="dxa"/>
            <w:vAlign w:val="center"/>
          </w:tcPr>
          <w:p>
            <w:pPr>
              <w:adjustRightInd w:val="0"/>
              <w:snapToGrid w:val="0"/>
              <w:ind w:left="-92" w:leftChars="-44" w:right="-80" w:rightChars="-38"/>
              <w:jc w:val="center"/>
              <w:rPr>
                <w:rFonts w:ascii="宋体" w:hAnsi="宋体"/>
                <w:b/>
                <w:color w:val="auto"/>
                <w:highlight w:val="none"/>
              </w:rPr>
            </w:pPr>
            <w:r>
              <w:rPr>
                <w:rFonts w:hint="eastAsia" w:ascii="宋体" w:hAnsi="宋体"/>
                <w:b/>
                <w:color w:val="auto"/>
                <w:highlight w:val="none"/>
              </w:rPr>
              <w:t>专业</w:t>
            </w:r>
          </w:p>
        </w:tc>
        <w:tc>
          <w:tcPr>
            <w:tcW w:w="579" w:type="dxa"/>
            <w:vAlign w:val="center"/>
          </w:tcPr>
          <w:p>
            <w:pPr>
              <w:adjustRightInd w:val="0"/>
              <w:snapToGrid w:val="0"/>
              <w:ind w:left="-92" w:leftChars="-44" w:right="-80" w:rightChars="-38"/>
              <w:jc w:val="center"/>
              <w:rPr>
                <w:rFonts w:ascii="宋体" w:hAnsi="宋体"/>
                <w:b/>
                <w:color w:val="auto"/>
                <w:highlight w:val="none"/>
              </w:rPr>
            </w:pPr>
            <w:r>
              <w:rPr>
                <w:rFonts w:hint="eastAsia" w:ascii="宋体" w:hAnsi="宋体"/>
                <w:b/>
                <w:color w:val="auto"/>
                <w:highlight w:val="none"/>
              </w:rPr>
              <w:t>经验年限</w:t>
            </w:r>
          </w:p>
        </w:tc>
        <w:tc>
          <w:tcPr>
            <w:tcW w:w="924" w:type="dxa"/>
            <w:vAlign w:val="center"/>
          </w:tcPr>
          <w:p>
            <w:pPr>
              <w:adjustRightInd w:val="0"/>
              <w:snapToGrid w:val="0"/>
              <w:ind w:left="-92" w:leftChars="-44" w:right="-80" w:rightChars="-38"/>
              <w:jc w:val="center"/>
              <w:rPr>
                <w:rFonts w:ascii="宋体" w:hAnsi="宋体"/>
                <w:b/>
                <w:color w:val="auto"/>
                <w:highlight w:val="none"/>
              </w:rPr>
            </w:pPr>
            <w:r>
              <w:rPr>
                <w:rFonts w:hint="eastAsia" w:ascii="宋体" w:hAnsi="宋体"/>
                <w:b/>
                <w:color w:val="auto"/>
                <w:highlight w:val="none"/>
              </w:rPr>
              <w:t>担任职务</w:t>
            </w:r>
          </w:p>
        </w:tc>
        <w:tc>
          <w:tcPr>
            <w:tcW w:w="709" w:type="dxa"/>
            <w:vAlign w:val="center"/>
          </w:tcPr>
          <w:p>
            <w:pPr>
              <w:adjustRightInd w:val="0"/>
              <w:snapToGrid w:val="0"/>
              <w:ind w:left="-92" w:leftChars="-44" w:right="-80" w:rightChars="-38"/>
              <w:jc w:val="center"/>
              <w:rPr>
                <w:rFonts w:ascii="宋体" w:hAnsi="宋体"/>
                <w:b/>
                <w:color w:val="auto"/>
                <w:highlight w:val="none"/>
              </w:rPr>
            </w:pPr>
            <w:r>
              <w:rPr>
                <w:rFonts w:hint="eastAsia" w:ascii="宋体" w:hAnsi="宋体"/>
                <w:b/>
                <w:color w:val="auto"/>
                <w:highlight w:val="none"/>
              </w:rPr>
              <w:t>承担工作内容</w:t>
            </w:r>
          </w:p>
        </w:tc>
        <w:tc>
          <w:tcPr>
            <w:tcW w:w="1283" w:type="dxa"/>
            <w:vAlign w:val="center"/>
          </w:tcPr>
          <w:p>
            <w:pPr>
              <w:adjustRightInd w:val="0"/>
              <w:snapToGrid w:val="0"/>
              <w:ind w:left="-92" w:leftChars="-44" w:right="-80" w:rightChars="-38"/>
              <w:jc w:val="center"/>
              <w:rPr>
                <w:rFonts w:ascii="宋体" w:hAnsi="宋体"/>
                <w:b/>
                <w:color w:val="auto"/>
                <w:highlight w:val="none"/>
              </w:rPr>
            </w:pPr>
            <w:r>
              <w:rPr>
                <w:rFonts w:hint="eastAsia" w:ascii="宋体" w:hAnsi="宋体"/>
                <w:b/>
                <w:color w:val="auto"/>
                <w:highlight w:val="none"/>
              </w:rPr>
              <w:t>查阅/证明文件指引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jc w:val="center"/>
              <w:rPr>
                <w:rFonts w:ascii="宋体" w:hAnsi="宋体"/>
                <w:color w:val="auto"/>
                <w:highlight w:val="none"/>
              </w:rPr>
            </w:pPr>
            <w:r>
              <w:rPr>
                <w:rFonts w:hint="eastAsia" w:ascii="宋体" w:hAnsi="宋体"/>
                <w:color w:val="auto"/>
                <w:highlight w:val="none"/>
              </w:rPr>
              <w:t>1</w:t>
            </w:r>
          </w:p>
        </w:tc>
        <w:tc>
          <w:tcPr>
            <w:tcW w:w="1034" w:type="dxa"/>
            <w:vAlign w:val="center"/>
          </w:tcPr>
          <w:p>
            <w:pPr>
              <w:spacing w:line="400" w:lineRule="exact"/>
              <w:jc w:val="center"/>
              <w:rPr>
                <w:rFonts w:ascii="宋体" w:hAnsi="宋体"/>
                <w:color w:val="auto"/>
                <w:highlight w:val="none"/>
              </w:rPr>
            </w:pPr>
          </w:p>
        </w:tc>
        <w:tc>
          <w:tcPr>
            <w:tcW w:w="662" w:type="dxa"/>
            <w:vAlign w:val="center"/>
          </w:tcPr>
          <w:p>
            <w:pPr>
              <w:spacing w:line="400" w:lineRule="exact"/>
              <w:jc w:val="center"/>
              <w:rPr>
                <w:rFonts w:ascii="宋体" w:hAnsi="宋体"/>
                <w:color w:val="auto"/>
                <w:highlight w:val="none"/>
              </w:rPr>
            </w:pPr>
          </w:p>
        </w:tc>
        <w:tc>
          <w:tcPr>
            <w:tcW w:w="658" w:type="dxa"/>
            <w:vAlign w:val="center"/>
          </w:tcPr>
          <w:p>
            <w:pPr>
              <w:spacing w:line="400" w:lineRule="exact"/>
              <w:jc w:val="center"/>
              <w:rPr>
                <w:rFonts w:ascii="宋体" w:hAnsi="宋体"/>
                <w:color w:val="auto"/>
                <w:highlight w:val="none"/>
              </w:rPr>
            </w:pPr>
          </w:p>
        </w:tc>
        <w:tc>
          <w:tcPr>
            <w:tcW w:w="822" w:type="dxa"/>
            <w:vAlign w:val="center"/>
          </w:tcPr>
          <w:p>
            <w:pPr>
              <w:spacing w:line="400" w:lineRule="exact"/>
              <w:jc w:val="center"/>
              <w:rPr>
                <w:rFonts w:ascii="宋体" w:hAnsi="宋体"/>
                <w:color w:val="auto"/>
                <w:highlight w:val="none"/>
              </w:rPr>
            </w:pPr>
          </w:p>
        </w:tc>
        <w:tc>
          <w:tcPr>
            <w:tcW w:w="1051" w:type="dxa"/>
            <w:vAlign w:val="center"/>
          </w:tcPr>
          <w:p>
            <w:pPr>
              <w:spacing w:line="400" w:lineRule="exact"/>
              <w:jc w:val="center"/>
              <w:rPr>
                <w:rFonts w:ascii="宋体" w:hAnsi="宋体"/>
                <w:color w:val="auto"/>
                <w:highlight w:val="none"/>
              </w:rPr>
            </w:pPr>
          </w:p>
        </w:tc>
        <w:tc>
          <w:tcPr>
            <w:tcW w:w="731" w:type="dxa"/>
            <w:vAlign w:val="center"/>
          </w:tcPr>
          <w:p>
            <w:pPr>
              <w:spacing w:line="400" w:lineRule="exact"/>
              <w:jc w:val="center"/>
              <w:rPr>
                <w:rFonts w:ascii="宋体" w:hAnsi="宋体"/>
                <w:color w:val="auto"/>
                <w:highlight w:val="none"/>
              </w:rPr>
            </w:pPr>
          </w:p>
        </w:tc>
        <w:tc>
          <w:tcPr>
            <w:tcW w:w="579" w:type="dxa"/>
            <w:vAlign w:val="center"/>
          </w:tcPr>
          <w:p>
            <w:pPr>
              <w:spacing w:line="400" w:lineRule="exact"/>
              <w:jc w:val="center"/>
              <w:rPr>
                <w:rFonts w:ascii="宋体" w:hAnsi="宋体"/>
                <w:color w:val="auto"/>
                <w:highlight w:val="none"/>
              </w:rPr>
            </w:pPr>
          </w:p>
        </w:tc>
        <w:tc>
          <w:tcPr>
            <w:tcW w:w="924" w:type="dxa"/>
            <w:vAlign w:val="center"/>
          </w:tcPr>
          <w:p>
            <w:pPr>
              <w:spacing w:line="400" w:lineRule="exact"/>
              <w:jc w:val="center"/>
              <w:rPr>
                <w:rFonts w:ascii="宋体" w:hAnsi="宋体"/>
                <w:color w:val="auto"/>
                <w:highlight w:val="none"/>
              </w:rPr>
            </w:pPr>
            <w:r>
              <w:rPr>
                <w:rFonts w:hint="eastAsia" w:ascii="宋体" w:hAnsi="宋体"/>
                <w:color w:val="auto"/>
                <w:highlight w:val="none"/>
              </w:rPr>
              <w:t>项目负责人</w:t>
            </w:r>
          </w:p>
        </w:tc>
        <w:tc>
          <w:tcPr>
            <w:tcW w:w="709" w:type="dxa"/>
            <w:vAlign w:val="center"/>
          </w:tcPr>
          <w:p>
            <w:pPr>
              <w:spacing w:line="400" w:lineRule="exact"/>
              <w:jc w:val="center"/>
              <w:rPr>
                <w:rFonts w:ascii="宋体" w:hAnsi="宋体"/>
                <w:color w:val="auto"/>
                <w:highlight w:val="none"/>
              </w:rPr>
            </w:pPr>
          </w:p>
        </w:tc>
        <w:tc>
          <w:tcPr>
            <w:tcW w:w="1283" w:type="dxa"/>
            <w:vAlign w:val="center"/>
          </w:tcPr>
          <w:p>
            <w:pPr>
              <w:adjustRightInd w:val="0"/>
              <w:snapToGrid w:val="0"/>
              <w:jc w:val="center"/>
              <w:rPr>
                <w:rFonts w:ascii="宋体" w:hAnsi="宋体"/>
                <w:b/>
                <w:color w:val="auto"/>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jc w:val="center"/>
              <w:rPr>
                <w:rFonts w:ascii="宋体" w:hAnsi="宋体"/>
                <w:color w:val="auto"/>
                <w:highlight w:val="none"/>
              </w:rPr>
            </w:pPr>
            <w:r>
              <w:rPr>
                <w:rFonts w:hint="eastAsia" w:ascii="宋体" w:hAnsi="宋体"/>
                <w:color w:val="auto"/>
                <w:highlight w:val="none"/>
              </w:rPr>
              <w:t>2</w:t>
            </w:r>
          </w:p>
        </w:tc>
        <w:tc>
          <w:tcPr>
            <w:tcW w:w="1034" w:type="dxa"/>
            <w:vAlign w:val="center"/>
          </w:tcPr>
          <w:p>
            <w:pPr>
              <w:spacing w:line="400" w:lineRule="exact"/>
              <w:jc w:val="center"/>
              <w:rPr>
                <w:rFonts w:ascii="宋体" w:hAnsi="宋体"/>
                <w:color w:val="auto"/>
                <w:highlight w:val="none"/>
              </w:rPr>
            </w:pPr>
          </w:p>
        </w:tc>
        <w:tc>
          <w:tcPr>
            <w:tcW w:w="662" w:type="dxa"/>
            <w:vAlign w:val="center"/>
          </w:tcPr>
          <w:p>
            <w:pPr>
              <w:spacing w:line="400" w:lineRule="exact"/>
              <w:jc w:val="center"/>
              <w:rPr>
                <w:rFonts w:ascii="宋体" w:hAnsi="宋体"/>
                <w:color w:val="auto"/>
                <w:highlight w:val="none"/>
              </w:rPr>
            </w:pPr>
          </w:p>
        </w:tc>
        <w:tc>
          <w:tcPr>
            <w:tcW w:w="658" w:type="dxa"/>
            <w:vAlign w:val="center"/>
          </w:tcPr>
          <w:p>
            <w:pPr>
              <w:spacing w:line="400" w:lineRule="exact"/>
              <w:jc w:val="center"/>
              <w:rPr>
                <w:rFonts w:ascii="宋体" w:hAnsi="宋体"/>
                <w:color w:val="auto"/>
                <w:highlight w:val="none"/>
              </w:rPr>
            </w:pPr>
          </w:p>
        </w:tc>
        <w:tc>
          <w:tcPr>
            <w:tcW w:w="822" w:type="dxa"/>
            <w:vAlign w:val="center"/>
          </w:tcPr>
          <w:p>
            <w:pPr>
              <w:spacing w:line="400" w:lineRule="exact"/>
              <w:jc w:val="center"/>
              <w:rPr>
                <w:rFonts w:ascii="宋体" w:hAnsi="宋体"/>
                <w:color w:val="auto"/>
                <w:highlight w:val="none"/>
              </w:rPr>
            </w:pPr>
          </w:p>
        </w:tc>
        <w:tc>
          <w:tcPr>
            <w:tcW w:w="1051" w:type="dxa"/>
            <w:vAlign w:val="center"/>
          </w:tcPr>
          <w:p>
            <w:pPr>
              <w:spacing w:line="400" w:lineRule="exact"/>
              <w:jc w:val="center"/>
              <w:rPr>
                <w:rFonts w:ascii="宋体" w:hAnsi="宋体"/>
                <w:color w:val="auto"/>
                <w:highlight w:val="none"/>
              </w:rPr>
            </w:pPr>
          </w:p>
        </w:tc>
        <w:tc>
          <w:tcPr>
            <w:tcW w:w="731" w:type="dxa"/>
            <w:vAlign w:val="center"/>
          </w:tcPr>
          <w:p>
            <w:pPr>
              <w:spacing w:line="400" w:lineRule="exact"/>
              <w:jc w:val="center"/>
              <w:rPr>
                <w:rFonts w:ascii="宋体" w:hAnsi="宋体"/>
                <w:color w:val="auto"/>
                <w:highlight w:val="none"/>
              </w:rPr>
            </w:pPr>
          </w:p>
        </w:tc>
        <w:tc>
          <w:tcPr>
            <w:tcW w:w="579" w:type="dxa"/>
            <w:vAlign w:val="center"/>
          </w:tcPr>
          <w:p>
            <w:pPr>
              <w:spacing w:line="400" w:lineRule="exact"/>
              <w:jc w:val="center"/>
              <w:rPr>
                <w:rFonts w:ascii="宋体" w:hAnsi="宋体"/>
                <w:color w:val="auto"/>
                <w:highlight w:val="none"/>
              </w:rPr>
            </w:pPr>
          </w:p>
        </w:tc>
        <w:tc>
          <w:tcPr>
            <w:tcW w:w="924" w:type="dxa"/>
            <w:vAlign w:val="center"/>
          </w:tcPr>
          <w:p>
            <w:pPr>
              <w:spacing w:line="400" w:lineRule="exact"/>
              <w:jc w:val="center"/>
              <w:rPr>
                <w:rFonts w:ascii="宋体" w:hAnsi="宋体"/>
                <w:color w:val="auto"/>
                <w:highlight w:val="none"/>
              </w:rPr>
            </w:pPr>
          </w:p>
        </w:tc>
        <w:tc>
          <w:tcPr>
            <w:tcW w:w="709" w:type="dxa"/>
            <w:vAlign w:val="center"/>
          </w:tcPr>
          <w:p>
            <w:pPr>
              <w:spacing w:line="400" w:lineRule="exact"/>
              <w:jc w:val="center"/>
              <w:rPr>
                <w:rFonts w:ascii="宋体" w:hAnsi="宋体"/>
                <w:color w:val="auto"/>
                <w:highlight w:val="none"/>
              </w:rPr>
            </w:pPr>
          </w:p>
        </w:tc>
        <w:tc>
          <w:tcPr>
            <w:tcW w:w="1283" w:type="dxa"/>
            <w:vAlign w:val="center"/>
          </w:tcPr>
          <w:p>
            <w:pPr>
              <w:spacing w:line="400" w:lineRule="exact"/>
              <w:jc w:val="center"/>
              <w:rPr>
                <w:rFonts w:ascii="宋体" w:hAnsi="宋体"/>
                <w:color w:val="auto"/>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jc w:val="center"/>
              <w:rPr>
                <w:rFonts w:ascii="宋体" w:hAnsi="宋体"/>
                <w:color w:val="auto"/>
                <w:highlight w:val="none"/>
              </w:rPr>
            </w:pPr>
            <w:r>
              <w:rPr>
                <w:rFonts w:hint="eastAsia" w:ascii="宋体" w:hAnsi="宋体"/>
                <w:color w:val="auto"/>
                <w:highlight w:val="none"/>
              </w:rPr>
              <w:t>3</w:t>
            </w:r>
          </w:p>
        </w:tc>
        <w:tc>
          <w:tcPr>
            <w:tcW w:w="1034" w:type="dxa"/>
            <w:vAlign w:val="center"/>
          </w:tcPr>
          <w:p>
            <w:pPr>
              <w:spacing w:line="400" w:lineRule="exact"/>
              <w:jc w:val="center"/>
              <w:rPr>
                <w:rFonts w:ascii="宋体" w:hAnsi="宋体"/>
                <w:color w:val="auto"/>
                <w:highlight w:val="none"/>
              </w:rPr>
            </w:pPr>
          </w:p>
        </w:tc>
        <w:tc>
          <w:tcPr>
            <w:tcW w:w="662" w:type="dxa"/>
            <w:vAlign w:val="center"/>
          </w:tcPr>
          <w:p>
            <w:pPr>
              <w:spacing w:line="400" w:lineRule="exact"/>
              <w:jc w:val="center"/>
              <w:rPr>
                <w:rFonts w:ascii="宋体" w:hAnsi="宋体"/>
                <w:color w:val="auto"/>
                <w:highlight w:val="none"/>
              </w:rPr>
            </w:pPr>
          </w:p>
        </w:tc>
        <w:tc>
          <w:tcPr>
            <w:tcW w:w="658" w:type="dxa"/>
            <w:vAlign w:val="center"/>
          </w:tcPr>
          <w:p>
            <w:pPr>
              <w:spacing w:line="400" w:lineRule="exact"/>
              <w:jc w:val="center"/>
              <w:rPr>
                <w:rFonts w:ascii="宋体" w:hAnsi="宋体"/>
                <w:color w:val="auto"/>
                <w:highlight w:val="none"/>
              </w:rPr>
            </w:pPr>
          </w:p>
        </w:tc>
        <w:tc>
          <w:tcPr>
            <w:tcW w:w="822" w:type="dxa"/>
            <w:vAlign w:val="center"/>
          </w:tcPr>
          <w:p>
            <w:pPr>
              <w:spacing w:line="400" w:lineRule="exact"/>
              <w:jc w:val="center"/>
              <w:rPr>
                <w:rFonts w:ascii="宋体" w:hAnsi="宋体"/>
                <w:color w:val="auto"/>
                <w:highlight w:val="none"/>
              </w:rPr>
            </w:pPr>
          </w:p>
        </w:tc>
        <w:tc>
          <w:tcPr>
            <w:tcW w:w="1051" w:type="dxa"/>
            <w:vAlign w:val="center"/>
          </w:tcPr>
          <w:p>
            <w:pPr>
              <w:spacing w:line="400" w:lineRule="exact"/>
              <w:jc w:val="center"/>
              <w:rPr>
                <w:rFonts w:ascii="宋体" w:hAnsi="宋体"/>
                <w:color w:val="auto"/>
                <w:highlight w:val="none"/>
              </w:rPr>
            </w:pPr>
          </w:p>
        </w:tc>
        <w:tc>
          <w:tcPr>
            <w:tcW w:w="731" w:type="dxa"/>
            <w:vAlign w:val="center"/>
          </w:tcPr>
          <w:p>
            <w:pPr>
              <w:spacing w:line="400" w:lineRule="exact"/>
              <w:jc w:val="center"/>
              <w:rPr>
                <w:rFonts w:ascii="宋体" w:hAnsi="宋体"/>
                <w:color w:val="auto"/>
                <w:highlight w:val="none"/>
              </w:rPr>
            </w:pPr>
          </w:p>
        </w:tc>
        <w:tc>
          <w:tcPr>
            <w:tcW w:w="579" w:type="dxa"/>
            <w:vAlign w:val="center"/>
          </w:tcPr>
          <w:p>
            <w:pPr>
              <w:spacing w:line="400" w:lineRule="exact"/>
              <w:jc w:val="center"/>
              <w:rPr>
                <w:rFonts w:ascii="宋体" w:hAnsi="宋体"/>
                <w:color w:val="auto"/>
                <w:highlight w:val="none"/>
              </w:rPr>
            </w:pPr>
          </w:p>
        </w:tc>
        <w:tc>
          <w:tcPr>
            <w:tcW w:w="924" w:type="dxa"/>
            <w:vAlign w:val="center"/>
          </w:tcPr>
          <w:p>
            <w:pPr>
              <w:spacing w:line="400" w:lineRule="exact"/>
              <w:jc w:val="center"/>
              <w:rPr>
                <w:rFonts w:ascii="宋体" w:hAnsi="宋体"/>
                <w:color w:val="auto"/>
                <w:highlight w:val="none"/>
              </w:rPr>
            </w:pPr>
          </w:p>
        </w:tc>
        <w:tc>
          <w:tcPr>
            <w:tcW w:w="709" w:type="dxa"/>
            <w:vAlign w:val="center"/>
          </w:tcPr>
          <w:p>
            <w:pPr>
              <w:spacing w:line="400" w:lineRule="exact"/>
              <w:jc w:val="center"/>
              <w:rPr>
                <w:rFonts w:ascii="宋体" w:hAnsi="宋体"/>
                <w:color w:val="auto"/>
                <w:highlight w:val="none"/>
              </w:rPr>
            </w:pPr>
          </w:p>
        </w:tc>
        <w:tc>
          <w:tcPr>
            <w:tcW w:w="1283" w:type="dxa"/>
            <w:vAlign w:val="center"/>
          </w:tcPr>
          <w:p>
            <w:pPr>
              <w:spacing w:line="400" w:lineRule="exact"/>
              <w:jc w:val="center"/>
              <w:rPr>
                <w:rFonts w:ascii="宋体" w:hAnsi="宋体"/>
                <w:color w:val="auto"/>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jc w:val="center"/>
              <w:rPr>
                <w:rFonts w:ascii="宋体" w:hAnsi="宋体"/>
                <w:color w:val="auto"/>
                <w:highlight w:val="none"/>
              </w:rPr>
            </w:pPr>
            <w:r>
              <w:rPr>
                <w:rFonts w:hint="eastAsia" w:ascii="宋体" w:hAnsi="宋体"/>
                <w:color w:val="auto"/>
                <w:highlight w:val="none"/>
              </w:rPr>
              <w:t>4</w:t>
            </w:r>
          </w:p>
        </w:tc>
        <w:tc>
          <w:tcPr>
            <w:tcW w:w="1034" w:type="dxa"/>
            <w:vAlign w:val="center"/>
          </w:tcPr>
          <w:p>
            <w:pPr>
              <w:spacing w:line="400" w:lineRule="exact"/>
              <w:jc w:val="center"/>
              <w:rPr>
                <w:rFonts w:ascii="宋体" w:hAnsi="宋体"/>
                <w:color w:val="auto"/>
                <w:highlight w:val="none"/>
              </w:rPr>
            </w:pPr>
          </w:p>
        </w:tc>
        <w:tc>
          <w:tcPr>
            <w:tcW w:w="662" w:type="dxa"/>
            <w:vAlign w:val="center"/>
          </w:tcPr>
          <w:p>
            <w:pPr>
              <w:spacing w:line="400" w:lineRule="exact"/>
              <w:jc w:val="center"/>
              <w:rPr>
                <w:rFonts w:ascii="宋体" w:hAnsi="宋体"/>
                <w:color w:val="auto"/>
                <w:highlight w:val="none"/>
              </w:rPr>
            </w:pPr>
          </w:p>
        </w:tc>
        <w:tc>
          <w:tcPr>
            <w:tcW w:w="658" w:type="dxa"/>
            <w:vAlign w:val="center"/>
          </w:tcPr>
          <w:p>
            <w:pPr>
              <w:spacing w:line="400" w:lineRule="exact"/>
              <w:jc w:val="center"/>
              <w:rPr>
                <w:rFonts w:ascii="宋体" w:hAnsi="宋体"/>
                <w:color w:val="auto"/>
                <w:highlight w:val="none"/>
              </w:rPr>
            </w:pPr>
          </w:p>
        </w:tc>
        <w:tc>
          <w:tcPr>
            <w:tcW w:w="822" w:type="dxa"/>
            <w:vAlign w:val="center"/>
          </w:tcPr>
          <w:p>
            <w:pPr>
              <w:spacing w:line="400" w:lineRule="exact"/>
              <w:jc w:val="center"/>
              <w:rPr>
                <w:rFonts w:ascii="宋体" w:hAnsi="宋体"/>
                <w:color w:val="auto"/>
                <w:highlight w:val="none"/>
              </w:rPr>
            </w:pPr>
          </w:p>
        </w:tc>
        <w:tc>
          <w:tcPr>
            <w:tcW w:w="1051" w:type="dxa"/>
            <w:vAlign w:val="center"/>
          </w:tcPr>
          <w:p>
            <w:pPr>
              <w:spacing w:line="400" w:lineRule="exact"/>
              <w:jc w:val="center"/>
              <w:rPr>
                <w:rFonts w:ascii="宋体" w:hAnsi="宋体"/>
                <w:color w:val="auto"/>
                <w:highlight w:val="none"/>
              </w:rPr>
            </w:pPr>
          </w:p>
        </w:tc>
        <w:tc>
          <w:tcPr>
            <w:tcW w:w="731" w:type="dxa"/>
            <w:vAlign w:val="center"/>
          </w:tcPr>
          <w:p>
            <w:pPr>
              <w:spacing w:line="400" w:lineRule="exact"/>
              <w:jc w:val="center"/>
              <w:rPr>
                <w:rFonts w:ascii="宋体" w:hAnsi="宋体"/>
                <w:color w:val="auto"/>
                <w:highlight w:val="none"/>
              </w:rPr>
            </w:pPr>
          </w:p>
        </w:tc>
        <w:tc>
          <w:tcPr>
            <w:tcW w:w="579" w:type="dxa"/>
            <w:vAlign w:val="center"/>
          </w:tcPr>
          <w:p>
            <w:pPr>
              <w:spacing w:line="400" w:lineRule="exact"/>
              <w:jc w:val="center"/>
              <w:rPr>
                <w:rFonts w:ascii="宋体" w:hAnsi="宋体"/>
                <w:color w:val="auto"/>
                <w:highlight w:val="none"/>
              </w:rPr>
            </w:pPr>
          </w:p>
        </w:tc>
        <w:tc>
          <w:tcPr>
            <w:tcW w:w="924" w:type="dxa"/>
            <w:vAlign w:val="center"/>
          </w:tcPr>
          <w:p>
            <w:pPr>
              <w:spacing w:line="400" w:lineRule="exact"/>
              <w:jc w:val="center"/>
              <w:rPr>
                <w:rFonts w:ascii="宋体" w:hAnsi="宋体"/>
                <w:color w:val="auto"/>
                <w:highlight w:val="none"/>
              </w:rPr>
            </w:pPr>
          </w:p>
        </w:tc>
        <w:tc>
          <w:tcPr>
            <w:tcW w:w="709" w:type="dxa"/>
            <w:vAlign w:val="center"/>
          </w:tcPr>
          <w:p>
            <w:pPr>
              <w:spacing w:line="400" w:lineRule="exact"/>
              <w:jc w:val="center"/>
              <w:rPr>
                <w:rFonts w:ascii="宋体" w:hAnsi="宋体"/>
                <w:color w:val="auto"/>
                <w:highlight w:val="none"/>
              </w:rPr>
            </w:pPr>
          </w:p>
        </w:tc>
        <w:tc>
          <w:tcPr>
            <w:tcW w:w="1283" w:type="dxa"/>
            <w:vAlign w:val="center"/>
          </w:tcPr>
          <w:p>
            <w:pPr>
              <w:spacing w:line="400" w:lineRule="exact"/>
              <w:jc w:val="center"/>
              <w:rPr>
                <w:rFonts w:ascii="宋体" w:hAnsi="宋体"/>
                <w:color w:val="auto"/>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jc w:val="center"/>
              <w:rPr>
                <w:rFonts w:ascii="宋体" w:hAnsi="宋体"/>
                <w:color w:val="auto"/>
                <w:highlight w:val="none"/>
              </w:rPr>
            </w:pPr>
            <w:r>
              <w:rPr>
                <w:rFonts w:hint="eastAsia" w:ascii="宋体" w:hAnsi="宋体"/>
                <w:color w:val="auto"/>
                <w:highlight w:val="none"/>
              </w:rPr>
              <w:t>...</w:t>
            </w:r>
          </w:p>
        </w:tc>
        <w:tc>
          <w:tcPr>
            <w:tcW w:w="1034" w:type="dxa"/>
            <w:vAlign w:val="center"/>
          </w:tcPr>
          <w:p>
            <w:pPr>
              <w:rPr>
                <w:rFonts w:ascii="宋体" w:hAnsi="宋体"/>
                <w:color w:val="auto"/>
                <w:highlight w:val="none"/>
              </w:rPr>
            </w:pPr>
          </w:p>
        </w:tc>
        <w:tc>
          <w:tcPr>
            <w:tcW w:w="662" w:type="dxa"/>
            <w:vAlign w:val="center"/>
          </w:tcPr>
          <w:p>
            <w:pPr>
              <w:spacing w:line="400" w:lineRule="exact"/>
              <w:jc w:val="center"/>
              <w:rPr>
                <w:rFonts w:ascii="宋体" w:hAnsi="宋体"/>
                <w:color w:val="auto"/>
                <w:highlight w:val="none"/>
              </w:rPr>
            </w:pPr>
          </w:p>
        </w:tc>
        <w:tc>
          <w:tcPr>
            <w:tcW w:w="658" w:type="dxa"/>
            <w:vAlign w:val="center"/>
          </w:tcPr>
          <w:p>
            <w:pPr>
              <w:spacing w:line="400" w:lineRule="exact"/>
              <w:jc w:val="center"/>
              <w:rPr>
                <w:rFonts w:ascii="宋体" w:hAnsi="宋体"/>
                <w:color w:val="auto"/>
                <w:highlight w:val="none"/>
              </w:rPr>
            </w:pPr>
          </w:p>
        </w:tc>
        <w:tc>
          <w:tcPr>
            <w:tcW w:w="822" w:type="dxa"/>
            <w:vAlign w:val="center"/>
          </w:tcPr>
          <w:p>
            <w:pPr>
              <w:spacing w:line="400" w:lineRule="exact"/>
              <w:jc w:val="center"/>
              <w:rPr>
                <w:rFonts w:ascii="宋体" w:hAnsi="宋体"/>
                <w:color w:val="auto"/>
                <w:highlight w:val="none"/>
              </w:rPr>
            </w:pPr>
          </w:p>
        </w:tc>
        <w:tc>
          <w:tcPr>
            <w:tcW w:w="1051" w:type="dxa"/>
            <w:vAlign w:val="center"/>
          </w:tcPr>
          <w:p>
            <w:pPr>
              <w:spacing w:line="400" w:lineRule="exact"/>
              <w:jc w:val="center"/>
              <w:rPr>
                <w:rFonts w:ascii="宋体" w:hAnsi="宋体"/>
                <w:color w:val="auto"/>
                <w:highlight w:val="none"/>
              </w:rPr>
            </w:pPr>
          </w:p>
        </w:tc>
        <w:tc>
          <w:tcPr>
            <w:tcW w:w="731" w:type="dxa"/>
            <w:vAlign w:val="center"/>
          </w:tcPr>
          <w:p>
            <w:pPr>
              <w:spacing w:line="400" w:lineRule="exact"/>
              <w:jc w:val="center"/>
              <w:rPr>
                <w:rFonts w:ascii="宋体" w:hAnsi="宋体"/>
                <w:color w:val="auto"/>
                <w:highlight w:val="none"/>
              </w:rPr>
            </w:pPr>
          </w:p>
        </w:tc>
        <w:tc>
          <w:tcPr>
            <w:tcW w:w="579" w:type="dxa"/>
            <w:vAlign w:val="center"/>
          </w:tcPr>
          <w:p>
            <w:pPr>
              <w:spacing w:line="400" w:lineRule="exact"/>
              <w:jc w:val="center"/>
              <w:rPr>
                <w:rFonts w:ascii="宋体" w:hAnsi="宋体"/>
                <w:color w:val="auto"/>
                <w:highlight w:val="none"/>
              </w:rPr>
            </w:pPr>
          </w:p>
        </w:tc>
        <w:tc>
          <w:tcPr>
            <w:tcW w:w="924" w:type="dxa"/>
            <w:vAlign w:val="center"/>
          </w:tcPr>
          <w:p>
            <w:pPr>
              <w:spacing w:line="400" w:lineRule="exact"/>
              <w:jc w:val="center"/>
              <w:rPr>
                <w:rFonts w:ascii="宋体" w:hAnsi="宋体"/>
                <w:color w:val="auto"/>
                <w:highlight w:val="none"/>
              </w:rPr>
            </w:pPr>
          </w:p>
        </w:tc>
        <w:tc>
          <w:tcPr>
            <w:tcW w:w="709" w:type="dxa"/>
            <w:vAlign w:val="center"/>
          </w:tcPr>
          <w:p>
            <w:pPr>
              <w:spacing w:line="400" w:lineRule="exact"/>
              <w:jc w:val="center"/>
              <w:rPr>
                <w:rFonts w:ascii="宋体" w:hAnsi="宋体"/>
                <w:color w:val="auto"/>
                <w:highlight w:val="none"/>
              </w:rPr>
            </w:pPr>
          </w:p>
        </w:tc>
        <w:tc>
          <w:tcPr>
            <w:tcW w:w="1283" w:type="dxa"/>
            <w:vAlign w:val="center"/>
          </w:tcPr>
          <w:p>
            <w:pPr>
              <w:spacing w:line="400" w:lineRule="exact"/>
              <w:jc w:val="center"/>
              <w:rPr>
                <w:rFonts w:ascii="宋体" w:hAnsi="宋体"/>
                <w:color w:val="auto"/>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bl>
    <w:p>
      <w:pPr>
        <w:spacing w:line="500" w:lineRule="exact"/>
        <w:ind w:firstLine="109" w:firstLineChars="50"/>
        <w:rPr>
          <w:rFonts w:ascii="宋体" w:hAnsi="宋体"/>
          <w:color w:val="auto"/>
          <w:spacing w:val="4"/>
          <w:highlight w:val="none"/>
        </w:rPr>
      </w:pPr>
    </w:p>
    <w:p>
      <w:pPr>
        <w:rPr>
          <w:rFonts w:ascii="宋体" w:hAnsi="宋体"/>
          <w:b/>
          <w:bCs/>
          <w:color w:val="auto"/>
          <w:sz w:val="16"/>
          <w:szCs w:val="16"/>
          <w:highlight w:val="none"/>
        </w:rPr>
      </w:pPr>
      <w:r>
        <w:rPr>
          <w:rFonts w:ascii="宋体" w:hAnsi="宋体"/>
          <w:b/>
          <w:bCs/>
          <w:color w:val="auto"/>
          <w:sz w:val="16"/>
          <w:szCs w:val="16"/>
          <w:highlight w:val="none"/>
        </w:rPr>
        <w:t>--</w:t>
      </w:r>
      <w:r>
        <w:rPr>
          <w:rFonts w:hint="eastAsia" w:ascii="宋体" w:hAnsi="宋体"/>
          <w:b/>
          <w:bCs/>
          <w:color w:val="auto"/>
          <w:sz w:val="16"/>
          <w:szCs w:val="16"/>
          <w:highlight w:val="none"/>
        </w:rPr>
        <w:t>备注</w:t>
      </w:r>
      <w:r>
        <w:rPr>
          <w:rFonts w:ascii="宋体" w:hAnsi="宋体"/>
          <w:b/>
          <w:bCs/>
          <w:color w:val="auto"/>
          <w:sz w:val="16"/>
          <w:szCs w:val="16"/>
          <w:highlight w:val="none"/>
        </w:rPr>
        <w:t>--</w:t>
      </w:r>
    </w:p>
    <w:p>
      <w:pPr>
        <w:pBdr>
          <w:top w:val="single" w:color="auto" w:sz="4" w:space="1"/>
          <w:left w:val="single" w:color="auto" w:sz="4" w:space="4"/>
          <w:bottom w:val="single" w:color="auto" w:sz="4" w:space="1"/>
          <w:right w:val="single" w:color="auto" w:sz="4" w:space="4"/>
        </w:pBdr>
        <w:tabs>
          <w:tab w:val="left" w:pos="6120"/>
        </w:tabs>
        <w:rPr>
          <w:rFonts w:ascii="宋体" w:hAnsi="宋体" w:cs="Arial"/>
          <w:i/>
          <w:color w:val="auto"/>
          <w:sz w:val="16"/>
          <w:szCs w:val="16"/>
          <w:highlight w:val="none"/>
        </w:rPr>
      </w:pPr>
      <w:r>
        <w:rPr>
          <w:rFonts w:hint="eastAsia" w:ascii="宋体" w:hAnsi="宋体" w:cs="Arial"/>
          <w:i/>
          <w:color w:val="auto"/>
          <w:sz w:val="16"/>
          <w:szCs w:val="16"/>
          <w:highlight w:val="none"/>
        </w:rPr>
        <w:t>1.《第六部分 投标文件格式》所有斜体字仅用于指导投标人编制投标文件，投标人应在最终提交的投标文件中将其删除；</w:t>
      </w:r>
    </w:p>
    <w:p>
      <w:pPr>
        <w:pBdr>
          <w:top w:val="single" w:color="auto" w:sz="4" w:space="1"/>
          <w:left w:val="single" w:color="auto" w:sz="4" w:space="4"/>
          <w:bottom w:val="single" w:color="auto" w:sz="4" w:space="1"/>
          <w:right w:val="single" w:color="auto" w:sz="4" w:space="4"/>
        </w:pBdr>
        <w:tabs>
          <w:tab w:val="left" w:pos="6120"/>
        </w:tabs>
        <w:rPr>
          <w:rFonts w:ascii="宋体" w:hAnsi="宋体" w:cs="Arial"/>
          <w:i/>
          <w:color w:val="auto"/>
          <w:sz w:val="16"/>
          <w:szCs w:val="16"/>
          <w:highlight w:val="none"/>
        </w:rPr>
      </w:pPr>
      <w:r>
        <w:rPr>
          <w:rFonts w:hint="eastAsia" w:ascii="宋体" w:hAnsi="宋体" w:cs="Arial"/>
          <w:i/>
          <w:color w:val="auto"/>
          <w:sz w:val="16"/>
          <w:szCs w:val="16"/>
          <w:highlight w:val="none"/>
        </w:rPr>
        <w:t>2.投标人应按照《第四部分 评标原则和方法》中《附表三 商务评分表》的对项目管理和技术人员评审项的要求提交相应资料；如本项目未将项目管理和技术人员纳入评审，投标人可以不将本表编制到投标文件中；</w:t>
      </w:r>
    </w:p>
    <w:p>
      <w:pPr>
        <w:pBdr>
          <w:top w:val="single" w:color="auto" w:sz="4" w:space="1"/>
          <w:left w:val="single" w:color="auto" w:sz="4" w:space="4"/>
          <w:bottom w:val="single" w:color="auto" w:sz="4" w:space="1"/>
          <w:right w:val="single" w:color="auto" w:sz="4" w:space="4"/>
        </w:pBdr>
        <w:tabs>
          <w:tab w:val="left" w:pos="6120"/>
        </w:tabs>
        <w:rPr>
          <w:rFonts w:ascii="宋体" w:hAnsi="宋体" w:cs="Arial"/>
          <w:i/>
          <w:color w:val="auto"/>
          <w:sz w:val="16"/>
          <w:szCs w:val="16"/>
          <w:highlight w:val="none"/>
        </w:rPr>
      </w:pPr>
      <w:r>
        <w:rPr>
          <w:rFonts w:hint="eastAsia" w:ascii="宋体" w:hAnsi="宋体" w:cs="Arial"/>
          <w:i/>
          <w:color w:val="auto"/>
          <w:sz w:val="16"/>
          <w:szCs w:val="16"/>
          <w:highlight w:val="none"/>
        </w:rPr>
        <w:t>3.本表仅为参考格式，投标人可以进行增删。</w:t>
      </w:r>
    </w:p>
    <w:p>
      <w:pPr>
        <w:snapToGrid w:val="0"/>
        <w:spacing w:line="360" w:lineRule="auto"/>
        <w:ind w:firstLine="420"/>
        <w:jc w:val="left"/>
        <w:rPr>
          <w:rFonts w:ascii="宋体" w:hAnsi="宋体"/>
          <w:b/>
          <w:bCs/>
          <w:color w:val="auto"/>
          <w:sz w:val="24"/>
          <w:highlight w:val="none"/>
        </w:rPr>
      </w:pPr>
      <w:r>
        <w:rPr>
          <w:rFonts w:hint="eastAsia" w:ascii="宋体" w:hAnsi="宋体"/>
          <w:color w:val="auto"/>
          <w:szCs w:val="21"/>
          <w:highlight w:val="none"/>
        </w:rPr>
        <w:br w:type="page"/>
      </w:r>
    </w:p>
    <w:p>
      <w:pPr>
        <w:widowControl/>
        <w:outlineLvl w:val="1"/>
        <w:rPr>
          <w:rFonts w:ascii="宋体" w:hAnsi="宋体"/>
          <w:b/>
          <w:bCs/>
          <w:color w:val="auto"/>
          <w:sz w:val="24"/>
          <w:highlight w:val="none"/>
        </w:rPr>
      </w:pPr>
      <w:r>
        <w:rPr>
          <w:rFonts w:hint="eastAsia" w:ascii="宋体" w:hAnsi="宋体"/>
          <w:b/>
          <w:bCs/>
          <w:color w:val="auto"/>
          <w:sz w:val="24"/>
          <w:highlight w:val="none"/>
        </w:rPr>
        <w:t>3.</w:t>
      </w:r>
      <w:r>
        <w:rPr>
          <w:rFonts w:ascii="宋体" w:hAnsi="宋体"/>
          <w:b/>
          <w:bCs/>
          <w:color w:val="auto"/>
          <w:sz w:val="24"/>
          <w:highlight w:val="none"/>
        </w:rPr>
        <w:t>6</w:t>
      </w:r>
      <w:r>
        <w:rPr>
          <w:rFonts w:hint="eastAsia" w:ascii="宋体" w:hAnsi="宋体"/>
          <w:b/>
          <w:bCs/>
          <w:color w:val="auto"/>
          <w:sz w:val="24"/>
          <w:highlight w:val="none"/>
        </w:rPr>
        <w:t xml:space="preserve"> 投标人认为应当提交的其他商务文件</w:t>
      </w:r>
    </w:p>
    <w:p>
      <w:pPr>
        <w:widowControl/>
        <w:outlineLvl w:val="1"/>
        <w:rPr>
          <w:rFonts w:ascii="宋体" w:hAnsi="宋体"/>
          <w:b/>
          <w:bCs/>
          <w:color w:val="auto"/>
          <w:sz w:val="24"/>
          <w:highlight w:val="none"/>
        </w:rPr>
      </w:pPr>
    </w:p>
    <w:p>
      <w:pPr>
        <w:widowControl/>
        <w:outlineLvl w:val="1"/>
        <w:rPr>
          <w:rFonts w:ascii="宋体" w:hAnsi="宋体"/>
          <w:b/>
          <w:bCs/>
          <w:color w:val="auto"/>
          <w:sz w:val="24"/>
          <w:highlight w:val="none"/>
        </w:rPr>
      </w:pPr>
    </w:p>
    <w:p>
      <w:pPr>
        <w:tabs>
          <w:tab w:val="right" w:pos="9000"/>
        </w:tabs>
        <w:suppressAutoHyphens/>
        <w:rPr>
          <w:rFonts w:ascii="宋体" w:hAnsi="宋体" w:cs="Arial"/>
          <w:bCs/>
          <w:iCs/>
          <w:color w:val="auto"/>
          <w:sz w:val="16"/>
          <w:highlight w:val="none"/>
          <w:shd w:val="solid" w:color="auto" w:fill="auto"/>
        </w:rPr>
      </w:pPr>
    </w:p>
    <w:p>
      <w:pPr>
        <w:tabs>
          <w:tab w:val="right" w:pos="9000"/>
        </w:tabs>
        <w:suppressAutoHyphens/>
        <w:rPr>
          <w:rFonts w:ascii="宋体" w:hAnsi="宋体" w:cs="Arial"/>
          <w:bCs/>
          <w:iCs/>
          <w:color w:val="auto"/>
          <w:sz w:val="16"/>
          <w:highlight w:val="none"/>
          <w:shd w:val="solid" w:color="auto" w:fill="auto"/>
        </w:rPr>
      </w:pPr>
    </w:p>
    <w:p>
      <w:pPr>
        <w:tabs>
          <w:tab w:val="right" w:pos="9000"/>
        </w:tabs>
        <w:suppressAutoHyphens/>
        <w:rPr>
          <w:rFonts w:ascii="宋体" w:hAnsi="宋体" w:cs="Arial"/>
          <w:bCs/>
          <w:iCs/>
          <w:color w:val="auto"/>
          <w:sz w:val="16"/>
          <w:highlight w:val="none"/>
          <w:shd w:val="solid" w:color="auto" w:fill="auto"/>
        </w:rPr>
      </w:pPr>
    </w:p>
    <w:p>
      <w:pPr>
        <w:tabs>
          <w:tab w:val="right" w:pos="9000"/>
        </w:tabs>
        <w:suppressAutoHyphens/>
        <w:rPr>
          <w:rFonts w:ascii="宋体" w:hAnsi="宋体" w:cs="Arial"/>
          <w:bCs/>
          <w:iCs/>
          <w:color w:val="auto"/>
          <w:sz w:val="16"/>
          <w:highlight w:val="none"/>
          <w:shd w:val="solid" w:color="auto" w:fill="auto"/>
        </w:rPr>
      </w:pPr>
    </w:p>
    <w:p>
      <w:pPr>
        <w:rPr>
          <w:rFonts w:ascii="宋体" w:hAnsi="宋体"/>
          <w:b/>
          <w:bCs/>
          <w:color w:val="auto"/>
          <w:sz w:val="16"/>
          <w:szCs w:val="16"/>
          <w:highlight w:val="none"/>
        </w:rPr>
      </w:pPr>
      <w:r>
        <w:rPr>
          <w:rFonts w:ascii="宋体" w:hAnsi="宋体"/>
          <w:b/>
          <w:bCs/>
          <w:color w:val="auto"/>
          <w:sz w:val="16"/>
          <w:szCs w:val="16"/>
          <w:highlight w:val="none"/>
        </w:rPr>
        <w:t>--</w:t>
      </w:r>
      <w:r>
        <w:rPr>
          <w:rFonts w:hint="eastAsia" w:ascii="宋体" w:hAnsi="宋体"/>
          <w:b/>
          <w:bCs/>
          <w:color w:val="auto"/>
          <w:sz w:val="16"/>
          <w:szCs w:val="16"/>
          <w:highlight w:val="none"/>
        </w:rPr>
        <w:t>备注</w:t>
      </w:r>
      <w:r>
        <w:rPr>
          <w:rFonts w:ascii="宋体" w:hAnsi="宋体"/>
          <w:b/>
          <w:bCs/>
          <w:color w:val="auto"/>
          <w:sz w:val="16"/>
          <w:szCs w:val="16"/>
          <w:highlight w:val="none"/>
        </w:rPr>
        <w:t>--</w:t>
      </w:r>
    </w:p>
    <w:p>
      <w:pPr>
        <w:pBdr>
          <w:top w:val="single" w:color="auto" w:sz="4" w:space="1"/>
          <w:left w:val="single" w:color="auto" w:sz="4" w:space="4"/>
          <w:bottom w:val="single" w:color="auto" w:sz="4" w:space="1"/>
          <w:right w:val="single" w:color="auto" w:sz="4" w:space="4"/>
        </w:pBdr>
        <w:tabs>
          <w:tab w:val="left" w:pos="6120"/>
        </w:tabs>
        <w:rPr>
          <w:rFonts w:ascii="宋体" w:hAnsi="宋体" w:cs="Arial"/>
          <w:i/>
          <w:color w:val="auto"/>
          <w:sz w:val="16"/>
          <w:szCs w:val="16"/>
          <w:highlight w:val="none"/>
        </w:rPr>
      </w:pPr>
      <w:r>
        <w:rPr>
          <w:rFonts w:hint="eastAsia" w:ascii="宋体" w:hAnsi="宋体" w:cs="Arial"/>
          <w:i/>
          <w:color w:val="auto"/>
          <w:sz w:val="16"/>
          <w:szCs w:val="16"/>
          <w:highlight w:val="none"/>
        </w:rPr>
        <w:t>1.《第六部分 投标文件格式》所有斜体字仅用于指导投标人编制投标文件，投标人应在最终提交的投标文件中将其删除；</w:t>
      </w:r>
    </w:p>
    <w:p>
      <w:pPr>
        <w:pBdr>
          <w:top w:val="single" w:color="auto" w:sz="4" w:space="1"/>
          <w:left w:val="single" w:color="auto" w:sz="4" w:space="4"/>
          <w:bottom w:val="single" w:color="auto" w:sz="4" w:space="1"/>
          <w:right w:val="single" w:color="auto" w:sz="4" w:space="4"/>
        </w:pBdr>
        <w:tabs>
          <w:tab w:val="left" w:pos="6120"/>
        </w:tabs>
        <w:jc w:val="left"/>
        <w:rPr>
          <w:rFonts w:ascii="宋体" w:hAnsi="宋体" w:cs="Arial"/>
          <w:i/>
          <w:color w:val="auto"/>
          <w:sz w:val="16"/>
          <w:szCs w:val="16"/>
          <w:highlight w:val="none"/>
        </w:rPr>
      </w:pPr>
      <w:r>
        <w:rPr>
          <w:rFonts w:hint="eastAsia" w:ascii="宋体" w:hAnsi="宋体" w:cs="Arial"/>
          <w:i/>
          <w:color w:val="auto"/>
          <w:sz w:val="16"/>
          <w:szCs w:val="16"/>
          <w:highlight w:val="none"/>
        </w:rPr>
        <w:t>2.投标人对商务部分内容仍有要补充的，可以编制到本标题下。</w:t>
      </w:r>
    </w:p>
    <w:p>
      <w:pPr>
        <w:widowControl/>
        <w:outlineLvl w:val="1"/>
        <w:rPr>
          <w:rFonts w:ascii="宋体" w:hAnsi="宋体"/>
          <w:b/>
          <w:bCs/>
          <w:color w:val="auto"/>
          <w:sz w:val="28"/>
          <w:szCs w:val="28"/>
          <w:highlight w:val="none"/>
        </w:rPr>
      </w:pPr>
      <w:r>
        <w:rPr>
          <w:rFonts w:hint="eastAsia" w:ascii="宋体" w:hAnsi="宋体"/>
          <w:b/>
          <w:bCs/>
          <w:color w:val="auto"/>
          <w:sz w:val="28"/>
          <w:szCs w:val="28"/>
          <w:highlight w:val="none"/>
        </w:rPr>
        <w:br w:type="page"/>
      </w:r>
      <w:bookmarkStart w:id="46" w:name="_Toc11833"/>
    </w:p>
    <w:p>
      <w:pPr>
        <w:widowControl/>
        <w:jc w:val="center"/>
        <w:outlineLvl w:val="1"/>
        <w:rPr>
          <w:rFonts w:ascii="宋体" w:hAnsi="宋体"/>
          <w:b/>
          <w:bCs/>
          <w:color w:val="auto"/>
          <w:sz w:val="28"/>
          <w:szCs w:val="28"/>
          <w:highlight w:val="none"/>
        </w:rPr>
      </w:pPr>
      <w:r>
        <w:rPr>
          <w:rFonts w:hint="eastAsia" w:ascii="宋体" w:hAnsi="宋体"/>
          <w:b/>
          <w:bCs/>
          <w:color w:val="auto"/>
          <w:sz w:val="28"/>
          <w:szCs w:val="28"/>
          <w:highlight w:val="none"/>
        </w:rPr>
        <w:t>四、技术（服务）部分</w:t>
      </w:r>
      <w:bookmarkEnd w:id="46"/>
    </w:p>
    <w:p>
      <w:pPr>
        <w:spacing w:line="300" w:lineRule="auto"/>
        <w:rPr>
          <w:rFonts w:ascii="宋体" w:hAnsi="宋体"/>
          <w:color w:val="auto"/>
          <w:sz w:val="24"/>
          <w:highlight w:val="none"/>
        </w:rPr>
      </w:pPr>
    </w:p>
    <w:p>
      <w:pPr>
        <w:spacing w:line="300" w:lineRule="auto"/>
        <w:rPr>
          <w:rFonts w:ascii="宋体" w:hAnsi="宋体"/>
          <w:b/>
          <w:bCs/>
          <w:color w:val="auto"/>
          <w:sz w:val="24"/>
          <w:highlight w:val="none"/>
        </w:rPr>
      </w:pPr>
      <w:r>
        <w:rPr>
          <w:rFonts w:hint="eastAsia" w:ascii="宋体" w:hAnsi="宋体"/>
          <w:b/>
          <w:bCs/>
          <w:color w:val="auto"/>
          <w:sz w:val="24"/>
          <w:highlight w:val="none"/>
        </w:rPr>
        <w:t>4.1 重要条款响应表</w:t>
      </w:r>
    </w:p>
    <w:p>
      <w:pPr>
        <w:spacing w:line="360" w:lineRule="auto"/>
        <w:rPr>
          <w:rFonts w:ascii="宋体" w:hAnsi="宋体"/>
          <w:color w:val="auto"/>
          <w:highlight w:val="none"/>
        </w:rPr>
      </w:pPr>
    </w:p>
    <w:p>
      <w:pPr>
        <w:spacing w:line="360" w:lineRule="auto"/>
        <w:jc w:val="center"/>
        <w:rPr>
          <w:rFonts w:ascii="宋体" w:hAnsi="宋体" w:cs="Arial"/>
          <w:b/>
          <w:color w:val="auto"/>
          <w:sz w:val="28"/>
          <w:szCs w:val="28"/>
          <w:highlight w:val="none"/>
        </w:rPr>
      </w:pPr>
      <w:r>
        <w:rPr>
          <w:rFonts w:hint="eastAsia" w:ascii="宋体" w:hAnsi="宋体" w:cs="Arial"/>
          <w:b/>
          <w:color w:val="auto"/>
          <w:sz w:val="28"/>
          <w:szCs w:val="28"/>
          <w:highlight w:val="none"/>
        </w:rPr>
        <w:t>重要条款响应表</w:t>
      </w:r>
    </w:p>
    <w:p>
      <w:pPr>
        <w:spacing w:line="360" w:lineRule="auto"/>
        <w:ind w:left="945" w:leftChars="100" w:hanging="735" w:hangingChars="350"/>
        <w:rPr>
          <w:rFonts w:ascii="宋体" w:hAnsi="宋体"/>
          <w:color w:val="auto"/>
          <w:highlight w:val="none"/>
        </w:rPr>
      </w:pPr>
      <w:r>
        <w:rPr>
          <w:rFonts w:hint="eastAsia" w:ascii="宋体" w:hAnsi="宋体"/>
          <w:color w:val="auto"/>
          <w:highlight w:val="none"/>
        </w:rPr>
        <w:t>项目名称：</w:t>
      </w:r>
      <w:r>
        <w:rPr>
          <w:rFonts w:hint="eastAsia" w:ascii="宋体" w:hAnsi="宋体"/>
          <w:color w:val="auto"/>
          <w:highlight w:val="none"/>
          <w:u w:val="single"/>
        </w:rPr>
        <w:t>国家税务总局罗定市税务局机关及下属税务分局物业管理服务项目</w:t>
      </w:r>
    </w:p>
    <w:p>
      <w:pPr>
        <w:spacing w:line="360" w:lineRule="auto"/>
        <w:ind w:left="945" w:leftChars="100" w:hanging="735" w:hangingChars="350"/>
        <w:rPr>
          <w:rFonts w:ascii="宋体" w:hAnsi="宋体"/>
          <w:color w:val="auto"/>
          <w:highlight w:val="none"/>
          <w:u w:val="single"/>
        </w:rPr>
      </w:pPr>
      <w:r>
        <w:rPr>
          <w:rFonts w:hint="eastAsia" w:ascii="宋体" w:hAnsi="宋体"/>
          <w:color w:val="auto"/>
          <w:highlight w:val="none"/>
        </w:rPr>
        <w:t>项目编号：</w:t>
      </w:r>
      <w:r>
        <w:rPr>
          <w:rFonts w:hint="eastAsia" w:ascii="宋体" w:hAnsi="宋体"/>
          <w:color w:val="auto"/>
          <w:highlight w:val="none"/>
          <w:u w:val="single"/>
        </w:rPr>
        <w:t>0877-23GZTP01Y774</w:t>
      </w:r>
    </w:p>
    <w:p>
      <w:pPr>
        <w:pStyle w:val="2"/>
        <w:spacing w:line="360" w:lineRule="auto"/>
        <w:ind w:firstLine="210" w:firstLineChars="100"/>
        <w:rPr>
          <w:color w:val="auto"/>
          <w:highlight w:val="none"/>
          <w:u w:val="single"/>
        </w:rPr>
      </w:pP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953"/>
        <w:gridCol w:w="4488"/>
        <w:gridCol w:w="13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6" w:type="dxa"/>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1953" w:type="dxa"/>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采购规格/要求</w:t>
            </w:r>
          </w:p>
        </w:tc>
        <w:tc>
          <w:tcPr>
            <w:tcW w:w="4488" w:type="dxa"/>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投标实际参数</w:t>
            </w:r>
          </w:p>
        </w:tc>
        <w:tc>
          <w:tcPr>
            <w:tcW w:w="1311" w:type="dxa"/>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是否偏离</w:t>
            </w:r>
          </w:p>
        </w:tc>
        <w:tc>
          <w:tcPr>
            <w:tcW w:w="1316" w:type="dxa"/>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6" w:type="dxa"/>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953" w:type="dxa"/>
          </w:tcPr>
          <w:p>
            <w:pPr>
              <w:spacing w:line="360" w:lineRule="auto"/>
              <w:jc w:val="center"/>
              <w:rPr>
                <w:rFonts w:ascii="宋体" w:hAnsi="宋体"/>
                <w:color w:val="auto"/>
                <w:szCs w:val="21"/>
                <w:highlight w:val="none"/>
              </w:rPr>
            </w:pPr>
          </w:p>
        </w:tc>
        <w:tc>
          <w:tcPr>
            <w:tcW w:w="4488" w:type="dxa"/>
          </w:tcPr>
          <w:p>
            <w:pPr>
              <w:spacing w:line="360" w:lineRule="auto"/>
              <w:rPr>
                <w:rFonts w:ascii="宋体" w:hAnsi="宋体"/>
                <w:color w:val="auto"/>
                <w:szCs w:val="21"/>
                <w:highlight w:val="none"/>
              </w:rPr>
            </w:pPr>
          </w:p>
        </w:tc>
        <w:tc>
          <w:tcPr>
            <w:tcW w:w="1311" w:type="dxa"/>
          </w:tcPr>
          <w:p>
            <w:pPr>
              <w:spacing w:line="360" w:lineRule="auto"/>
              <w:rPr>
                <w:rFonts w:ascii="宋体" w:hAnsi="宋体"/>
                <w:color w:val="auto"/>
                <w:szCs w:val="21"/>
                <w:highlight w:val="none"/>
              </w:rPr>
            </w:pPr>
          </w:p>
        </w:tc>
        <w:tc>
          <w:tcPr>
            <w:tcW w:w="1316"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6" w:type="dxa"/>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1953" w:type="dxa"/>
          </w:tcPr>
          <w:p>
            <w:pPr>
              <w:spacing w:line="360" w:lineRule="auto"/>
              <w:jc w:val="center"/>
              <w:rPr>
                <w:rFonts w:ascii="宋体" w:hAnsi="宋体"/>
                <w:color w:val="auto"/>
                <w:szCs w:val="21"/>
                <w:highlight w:val="none"/>
              </w:rPr>
            </w:pPr>
          </w:p>
        </w:tc>
        <w:tc>
          <w:tcPr>
            <w:tcW w:w="4488" w:type="dxa"/>
          </w:tcPr>
          <w:p>
            <w:pPr>
              <w:spacing w:line="360" w:lineRule="auto"/>
              <w:rPr>
                <w:rFonts w:ascii="宋体" w:hAnsi="宋体"/>
                <w:color w:val="auto"/>
                <w:szCs w:val="21"/>
                <w:highlight w:val="none"/>
              </w:rPr>
            </w:pPr>
          </w:p>
        </w:tc>
        <w:tc>
          <w:tcPr>
            <w:tcW w:w="1311" w:type="dxa"/>
          </w:tcPr>
          <w:p>
            <w:pPr>
              <w:spacing w:line="360" w:lineRule="auto"/>
              <w:rPr>
                <w:rFonts w:ascii="宋体" w:hAnsi="宋体"/>
                <w:color w:val="auto"/>
                <w:szCs w:val="21"/>
                <w:highlight w:val="none"/>
              </w:rPr>
            </w:pPr>
          </w:p>
        </w:tc>
        <w:tc>
          <w:tcPr>
            <w:tcW w:w="1316"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6" w:type="dxa"/>
          </w:tcPr>
          <w:p>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953" w:type="dxa"/>
          </w:tcPr>
          <w:p>
            <w:pPr>
              <w:spacing w:line="360" w:lineRule="auto"/>
              <w:jc w:val="center"/>
              <w:rPr>
                <w:rFonts w:ascii="宋体" w:hAnsi="宋体"/>
                <w:color w:val="auto"/>
                <w:szCs w:val="21"/>
                <w:highlight w:val="none"/>
              </w:rPr>
            </w:pPr>
          </w:p>
        </w:tc>
        <w:tc>
          <w:tcPr>
            <w:tcW w:w="4488" w:type="dxa"/>
          </w:tcPr>
          <w:p>
            <w:pPr>
              <w:spacing w:line="360" w:lineRule="auto"/>
              <w:rPr>
                <w:rFonts w:ascii="宋体" w:hAnsi="宋体"/>
                <w:color w:val="auto"/>
                <w:szCs w:val="21"/>
                <w:highlight w:val="none"/>
              </w:rPr>
            </w:pPr>
          </w:p>
        </w:tc>
        <w:tc>
          <w:tcPr>
            <w:tcW w:w="1311" w:type="dxa"/>
          </w:tcPr>
          <w:p>
            <w:pPr>
              <w:spacing w:line="360" w:lineRule="auto"/>
              <w:rPr>
                <w:rFonts w:ascii="宋体" w:hAnsi="宋体"/>
                <w:color w:val="auto"/>
                <w:szCs w:val="21"/>
                <w:highlight w:val="none"/>
              </w:rPr>
            </w:pPr>
          </w:p>
        </w:tc>
        <w:tc>
          <w:tcPr>
            <w:tcW w:w="1316" w:type="dxa"/>
          </w:tcPr>
          <w:p>
            <w:pPr>
              <w:spacing w:line="360" w:lineRule="auto"/>
              <w:rPr>
                <w:rFonts w:ascii="宋体" w:hAnsi="宋体"/>
                <w:color w:val="auto"/>
                <w:szCs w:val="21"/>
                <w:highlight w:val="none"/>
              </w:rPr>
            </w:pPr>
          </w:p>
        </w:tc>
      </w:tr>
    </w:tbl>
    <w:p>
      <w:pPr>
        <w:adjustRightInd w:val="0"/>
        <w:snapToGrid w:val="0"/>
        <w:spacing w:line="360" w:lineRule="auto"/>
        <w:rPr>
          <w:rFonts w:ascii="宋体" w:hAnsi="宋体"/>
          <w:color w:val="auto"/>
          <w:szCs w:val="21"/>
          <w:highlight w:val="none"/>
        </w:rPr>
      </w:pPr>
    </w:p>
    <w:p>
      <w:pPr>
        <w:adjustRightInd w:val="0"/>
        <w:snapToGrid w:val="0"/>
        <w:spacing w:line="360" w:lineRule="auto"/>
        <w:rPr>
          <w:rFonts w:ascii="宋体" w:hAnsi="宋体"/>
          <w:color w:val="auto"/>
          <w:szCs w:val="21"/>
          <w:highlight w:val="none"/>
          <w:u w:val="single"/>
        </w:rPr>
      </w:pPr>
      <w:r>
        <w:rPr>
          <w:rFonts w:hint="eastAsia" w:ascii="宋体" w:hAnsi="宋体"/>
          <w:color w:val="auto"/>
          <w:szCs w:val="21"/>
          <w:highlight w:val="none"/>
        </w:rPr>
        <w:t>投标人名称（单位盖公章）：</w:t>
      </w:r>
      <w:r>
        <w:rPr>
          <w:rFonts w:hint="eastAsia" w:ascii="宋体" w:hAnsi="宋体"/>
          <w:color w:val="auto"/>
          <w:szCs w:val="21"/>
          <w:highlight w:val="none"/>
          <w:u w:val="single"/>
        </w:rPr>
        <w:t xml:space="preserve">                        </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w:t>
      </w:r>
    </w:p>
    <w:p>
      <w:pPr>
        <w:spacing w:line="360" w:lineRule="auto"/>
        <w:jc w:val="left"/>
        <w:rPr>
          <w:rFonts w:ascii="宋体" w:hAnsi="宋体"/>
          <w:bCs/>
          <w:color w:val="auto"/>
          <w:highlight w:val="none"/>
        </w:rPr>
      </w:pPr>
    </w:p>
    <w:p>
      <w:pPr>
        <w:rPr>
          <w:rFonts w:ascii="宋体" w:hAnsi="宋体"/>
          <w:b/>
          <w:bCs/>
          <w:color w:val="auto"/>
          <w:sz w:val="16"/>
          <w:szCs w:val="16"/>
          <w:highlight w:val="none"/>
        </w:rPr>
      </w:pPr>
      <w:r>
        <w:rPr>
          <w:rFonts w:ascii="宋体" w:hAnsi="宋体"/>
          <w:b/>
          <w:bCs/>
          <w:color w:val="auto"/>
          <w:sz w:val="16"/>
          <w:szCs w:val="16"/>
          <w:highlight w:val="none"/>
        </w:rPr>
        <w:t>--</w:t>
      </w:r>
      <w:r>
        <w:rPr>
          <w:rFonts w:hint="eastAsia" w:ascii="宋体" w:hAnsi="宋体"/>
          <w:b/>
          <w:bCs/>
          <w:color w:val="auto"/>
          <w:sz w:val="16"/>
          <w:szCs w:val="16"/>
          <w:highlight w:val="none"/>
        </w:rPr>
        <w:t>备注</w:t>
      </w:r>
      <w:r>
        <w:rPr>
          <w:rFonts w:ascii="宋体" w:hAnsi="宋体"/>
          <w:b/>
          <w:bCs/>
          <w:color w:val="auto"/>
          <w:sz w:val="16"/>
          <w:szCs w:val="16"/>
          <w:highlight w:val="none"/>
        </w:rPr>
        <w:t>--</w:t>
      </w:r>
    </w:p>
    <w:p>
      <w:pPr>
        <w:pBdr>
          <w:top w:val="single" w:color="auto" w:sz="4" w:space="1"/>
          <w:left w:val="single" w:color="auto" w:sz="4" w:space="4"/>
          <w:bottom w:val="single" w:color="auto" w:sz="4" w:space="1"/>
          <w:right w:val="single" w:color="auto" w:sz="4" w:space="4"/>
        </w:pBdr>
        <w:tabs>
          <w:tab w:val="left" w:pos="6120"/>
        </w:tabs>
        <w:rPr>
          <w:rFonts w:ascii="宋体" w:hAnsi="宋体" w:cs="Arial"/>
          <w:i/>
          <w:color w:val="auto"/>
          <w:sz w:val="16"/>
          <w:szCs w:val="16"/>
          <w:highlight w:val="none"/>
        </w:rPr>
      </w:pPr>
      <w:r>
        <w:rPr>
          <w:rFonts w:hint="eastAsia" w:ascii="宋体" w:hAnsi="宋体" w:cs="Arial"/>
          <w:i/>
          <w:color w:val="auto"/>
          <w:sz w:val="16"/>
          <w:szCs w:val="16"/>
          <w:highlight w:val="none"/>
        </w:rPr>
        <w:t>1.《第六部分 投标文件格式》所有斜体字仅用于指导投标人编制投标文件，投标人应在最终提交的投标文件中将其删除；</w:t>
      </w:r>
    </w:p>
    <w:p>
      <w:pPr>
        <w:pBdr>
          <w:top w:val="single" w:color="auto" w:sz="4" w:space="1"/>
          <w:left w:val="single" w:color="auto" w:sz="4" w:space="4"/>
          <w:bottom w:val="single" w:color="auto" w:sz="4" w:space="1"/>
          <w:right w:val="single" w:color="auto" w:sz="4" w:space="4"/>
        </w:pBdr>
        <w:tabs>
          <w:tab w:val="left" w:pos="6120"/>
        </w:tabs>
        <w:rPr>
          <w:rFonts w:ascii="宋体" w:hAnsi="宋体" w:cs="Arial"/>
          <w:i/>
          <w:color w:val="auto"/>
          <w:sz w:val="16"/>
          <w:szCs w:val="16"/>
          <w:highlight w:val="none"/>
        </w:rPr>
      </w:pPr>
      <w:r>
        <w:rPr>
          <w:rFonts w:hint="eastAsia" w:ascii="宋体" w:hAnsi="宋体" w:cs="Arial"/>
          <w:i/>
          <w:color w:val="auto"/>
          <w:sz w:val="16"/>
          <w:szCs w:val="16"/>
          <w:highlight w:val="none"/>
        </w:rPr>
        <w:t>2.《第二部分　采购需求书》的所有“▲”的条款为重要条款，为评审的重要评分指标。投标人若有部分带“▲”条款未响应或不满足，将可能导致其响应性评审严重扣分；</w:t>
      </w:r>
    </w:p>
    <w:p>
      <w:pPr>
        <w:pBdr>
          <w:top w:val="single" w:color="auto" w:sz="4" w:space="1"/>
          <w:left w:val="single" w:color="auto" w:sz="4" w:space="4"/>
          <w:bottom w:val="single" w:color="auto" w:sz="4" w:space="1"/>
          <w:right w:val="single" w:color="auto" w:sz="4" w:space="4"/>
        </w:pBdr>
        <w:tabs>
          <w:tab w:val="left" w:pos="6120"/>
        </w:tabs>
        <w:rPr>
          <w:rFonts w:ascii="宋体" w:hAnsi="宋体" w:cs="Arial"/>
          <w:i/>
          <w:color w:val="auto"/>
          <w:sz w:val="16"/>
          <w:szCs w:val="16"/>
          <w:highlight w:val="none"/>
        </w:rPr>
      </w:pPr>
      <w:r>
        <w:rPr>
          <w:rFonts w:hint="eastAsia" w:ascii="宋体" w:hAnsi="宋体" w:cs="Arial"/>
          <w:i/>
          <w:color w:val="auto"/>
          <w:sz w:val="16"/>
          <w:szCs w:val="16"/>
          <w:highlight w:val="none"/>
        </w:rPr>
        <w:t>3.投标人必须对应所有“▲”的条款进行响应，填入此表；若本项目无带“▲”的条款，则在第一行填写“本项目无带“▲”条款”；</w:t>
      </w:r>
    </w:p>
    <w:p>
      <w:pPr>
        <w:pBdr>
          <w:top w:val="single" w:color="auto" w:sz="4" w:space="1"/>
          <w:left w:val="single" w:color="auto" w:sz="4" w:space="4"/>
          <w:bottom w:val="single" w:color="auto" w:sz="4" w:space="1"/>
          <w:right w:val="single" w:color="auto" w:sz="4" w:space="4"/>
        </w:pBdr>
        <w:tabs>
          <w:tab w:val="left" w:pos="6120"/>
        </w:tabs>
        <w:rPr>
          <w:rFonts w:ascii="宋体" w:hAnsi="宋体" w:cs="Arial"/>
          <w:i/>
          <w:color w:val="auto"/>
          <w:sz w:val="16"/>
          <w:szCs w:val="16"/>
          <w:highlight w:val="none"/>
        </w:rPr>
      </w:pPr>
      <w:r>
        <w:rPr>
          <w:rFonts w:hint="eastAsia" w:ascii="宋体" w:hAnsi="宋体" w:cs="Arial"/>
          <w:i/>
          <w:color w:val="auto"/>
          <w:sz w:val="16"/>
          <w:szCs w:val="16"/>
          <w:highlight w:val="none"/>
        </w:rPr>
        <w:t>4.表格中“投标实际参数”投标人应按投标货物/服务实际数据填写，表格中“是否偏离”只填写“无偏离/正偏离/负偏离”的内容。</w:t>
      </w:r>
    </w:p>
    <w:p>
      <w:pPr>
        <w:spacing w:line="360" w:lineRule="auto"/>
        <w:jc w:val="left"/>
        <w:rPr>
          <w:rFonts w:ascii="宋体" w:hAnsi="宋体"/>
          <w:bCs/>
          <w:color w:val="auto"/>
          <w:highlight w:val="none"/>
        </w:rPr>
      </w:pPr>
    </w:p>
    <w:p>
      <w:pPr>
        <w:spacing w:line="360" w:lineRule="auto"/>
        <w:rPr>
          <w:rFonts w:ascii="宋体" w:hAnsi="宋体"/>
          <w:color w:val="auto"/>
          <w:sz w:val="24"/>
          <w:highlight w:val="none"/>
        </w:rPr>
      </w:pPr>
      <w:r>
        <w:rPr>
          <w:rFonts w:hint="eastAsia" w:ascii="宋体" w:hAnsi="宋体"/>
          <w:color w:val="auto"/>
          <w:sz w:val="24"/>
          <w:highlight w:val="none"/>
        </w:rPr>
        <w:br w:type="page"/>
      </w:r>
      <w:r>
        <w:rPr>
          <w:rFonts w:hint="eastAsia" w:ascii="宋体" w:hAnsi="宋体"/>
          <w:b/>
          <w:bCs/>
          <w:color w:val="auto"/>
          <w:sz w:val="24"/>
          <w:highlight w:val="none"/>
        </w:rPr>
        <w:t>4.2 一般条款响应表</w:t>
      </w:r>
    </w:p>
    <w:p>
      <w:pPr>
        <w:spacing w:line="360" w:lineRule="auto"/>
        <w:rPr>
          <w:rFonts w:ascii="宋体" w:hAnsi="宋体"/>
          <w:color w:val="auto"/>
          <w:highlight w:val="none"/>
        </w:rPr>
      </w:pPr>
    </w:p>
    <w:p>
      <w:pPr>
        <w:spacing w:line="360" w:lineRule="auto"/>
        <w:jc w:val="center"/>
        <w:rPr>
          <w:rFonts w:ascii="宋体" w:hAnsi="宋体" w:cs="Arial"/>
          <w:b/>
          <w:color w:val="auto"/>
          <w:sz w:val="28"/>
          <w:szCs w:val="28"/>
          <w:highlight w:val="none"/>
        </w:rPr>
      </w:pPr>
      <w:r>
        <w:rPr>
          <w:rFonts w:hint="eastAsia" w:ascii="宋体" w:hAnsi="宋体" w:cs="Arial"/>
          <w:b/>
          <w:color w:val="auto"/>
          <w:sz w:val="28"/>
          <w:szCs w:val="28"/>
          <w:highlight w:val="none"/>
        </w:rPr>
        <w:t>一般条款响应表</w:t>
      </w:r>
    </w:p>
    <w:p>
      <w:pPr>
        <w:spacing w:line="360" w:lineRule="auto"/>
        <w:ind w:left="945" w:leftChars="100" w:hanging="735" w:hangingChars="350"/>
        <w:rPr>
          <w:rFonts w:ascii="宋体" w:hAnsi="宋体"/>
          <w:color w:val="auto"/>
          <w:highlight w:val="none"/>
        </w:rPr>
      </w:pPr>
      <w:r>
        <w:rPr>
          <w:rFonts w:hint="eastAsia" w:ascii="宋体" w:hAnsi="宋体"/>
          <w:color w:val="auto"/>
          <w:highlight w:val="none"/>
        </w:rPr>
        <w:t>项目名称：</w:t>
      </w:r>
      <w:r>
        <w:rPr>
          <w:rFonts w:hint="eastAsia" w:ascii="宋体" w:hAnsi="宋体"/>
          <w:color w:val="auto"/>
          <w:highlight w:val="none"/>
          <w:u w:val="single"/>
        </w:rPr>
        <w:t>国家税务总局罗定市税务局机关及下属税务分局物业管理服务项目</w:t>
      </w:r>
    </w:p>
    <w:p>
      <w:pPr>
        <w:spacing w:line="360" w:lineRule="auto"/>
        <w:ind w:left="945" w:leftChars="100" w:hanging="735" w:hangingChars="350"/>
        <w:rPr>
          <w:rFonts w:ascii="宋体" w:hAnsi="宋体"/>
          <w:color w:val="auto"/>
          <w:highlight w:val="none"/>
          <w:u w:val="single"/>
        </w:rPr>
      </w:pPr>
      <w:r>
        <w:rPr>
          <w:rFonts w:hint="eastAsia" w:ascii="宋体" w:hAnsi="宋体"/>
          <w:color w:val="auto"/>
          <w:highlight w:val="none"/>
        </w:rPr>
        <w:t>项目编号：</w:t>
      </w:r>
      <w:r>
        <w:rPr>
          <w:rFonts w:hint="eastAsia" w:ascii="宋体" w:hAnsi="宋体"/>
          <w:color w:val="auto"/>
          <w:highlight w:val="none"/>
          <w:u w:val="single"/>
        </w:rPr>
        <w:t>0877-23GZTP01Y774</w:t>
      </w:r>
    </w:p>
    <w:p>
      <w:pPr>
        <w:pStyle w:val="2"/>
        <w:spacing w:line="360" w:lineRule="auto"/>
        <w:ind w:firstLine="210" w:firstLineChars="100"/>
        <w:rPr>
          <w:color w:val="auto"/>
          <w:highlight w:val="none"/>
          <w:u w:val="single"/>
        </w:rPr>
      </w:pP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953"/>
        <w:gridCol w:w="4488"/>
        <w:gridCol w:w="13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6" w:type="dxa"/>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1953" w:type="dxa"/>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采购规格/要求</w:t>
            </w:r>
          </w:p>
        </w:tc>
        <w:tc>
          <w:tcPr>
            <w:tcW w:w="4488" w:type="dxa"/>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投标实际参数</w:t>
            </w:r>
          </w:p>
        </w:tc>
        <w:tc>
          <w:tcPr>
            <w:tcW w:w="1311" w:type="dxa"/>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是否偏离</w:t>
            </w:r>
          </w:p>
        </w:tc>
        <w:tc>
          <w:tcPr>
            <w:tcW w:w="1316" w:type="dxa"/>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6" w:type="dxa"/>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953" w:type="dxa"/>
          </w:tcPr>
          <w:p>
            <w:pPr>
              <w:spacing w:line="360" w:lineRule="auto"/>
              <w:jc w:val="center"/>
              <w:rPr>
                <w:rFonts w:ascii="宋体" w:hAnsi="宋体"/>
                <w:color w:val="auto"/>
                <w:szCs w:val="21"/>
                <w:highlight w:val="none"/>
              </w:rPr>
            </w:pPr>
          </w:p>
        </w:tc>
        <w:tc>
          <w:tcPr>
            <w:tcW w:w="4488" w:type="dxa"/>
          </w:tcPr>
          <w:p>
            <w:pPr>
              <w:spacing w:line="360" w:lineRule="auto"/>
              <w:rPr>
                <w:rFonts w:ascii="宋体" w:hAnsi="宋体"/>
                <w:color w:val="auto"/>
                <w:szCs w:val="21"/>
                <w:highlight w:val="none"/>
              </w:rPr>
            </w:pPr>
          </w:p>
        </w:tc>
        <w:tc>
          <w:tcPr>
            <w:tcW w:w="1311" w:type="dxa"/>
          </w:tcPr>
          <w:p>
            <w:pPr>
              <w:spacing w:line="360" w:lineRule="auto"/>
              <w:rPr>
                <w:rFonts w:ascii="宋体" w:hAnsi="宋体"/>
                <w:color w:val="auto"/>
                <w:szCs w:val="21"/>
                <w:highlight w:val="none"/>
              </w:rPr>
            </w:pPr>
          </w:p>
        </w:tc>
        <w:tc>
          <w:tcPr>
            <w:tcW w:w="1316"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6" w:type="dxa"/>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1953" w:type="dxa"/>
          </w:tcPr>
          <w:p>
            <w:pPr>
              <w:spacing w:line="360" w:lineRule="auto"/>
              <w:jc w:val="center"/>
              <w:rPr>
                <w:rFonts w:ascii="宋体" w:hAnsi="宋体"/>
                <w:color w:val="auto"/>
                <w:szCs w:val="21"/>
                <w:highlight w:val="none"/>
              </w:rPr>
            </w:pPr>
          </w:p>
        </w:tc>
        <w:tc>
          <w:tcPr>
            <w:tcW w:w="4488" w:type="dxa"/>
          </w:tcPr>
          <w:p>
            <w:pPr>
              <w:spacing w:line="360" w:lineRule="auto"/>
              <w:rPr>
                <w:rFonts w:ascii="宋体" w:hAnsi="宋体"/>
                <w:color w:val="auto"/>
                <w:szCs w:val="21"/>
                <w:highlight w:val="none"/>
              </w:rPr>
            </w:pPr>
          </w:p>
        </w:tc>
        <w:tc>
          <w:tcPr>
            <w:tcW w:w="1311" w:type="dxa"/>
          </w:tcPr>
          <w:p>
            <w:pPr>
              <w:spacing w:line="360" w:lineRule="auto"/>
              <w:rPr>
                <w:rFonts w:ascii="宋体" w:hAnsi="宋体"/>
                <w:color w:val="auto"/>
                <w:szCs w:val="21"/>
                <w:highlight w:val="none"/>
              </w:rPr>
            </w:pPr>
          </w:p>
        </w:tc>
        <w:tc>
          <w:tcPr>
            <w:tcW w:w="1316"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6" w:type="dxa"/>
          </w:tcPr>
          <w:p>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953" w:type="dxa"/>
          </w:tcPr>
          <w:p>
            <w:pPr>
              <w:spacing w:line="360" w:lineRule="auto"/>
              <w:jc w:val="center"/>
              <w:rPr>
                <w:rFonts w:ascii="宋体" w:hAnsi="宋体"/>
                <w:color w:val="auto"/>
                <w:szCs w:val="21"/>
                <w:highlight w:val="none"/>
              </w:rPr>
            </w:pPr>
          </w:p>
        </w:tc>
        <w:tc>
          <w:tcPr>
            <w:tcW w:w="4488" w:type="dxa"/>
          </w:tcPr>
          <w:p>
            <w:pPr>
              <w:spacing w:line="360" w:lineRule="auto"/>
              <w:rPr>
                <w:rFonts w:ascii="宋体" w:hAnsi="宋体"/>
                <w:color w:val="auto"/>
                <w:szCs w:val="21"/>
                <w:highlight w:val="none"/>
              </w:rPr>
            </w:pPr>
          </w:p>
        </w:tc>
        <w:tc>
          <w:tcPr>
            <w:tcW w:w="1311" w:type="dxa"/>
          </w:tcPr>
          <w:p>
            <w:pPr>
              <w:spacing w:line="360" w:lineRule="auto"/>
              <w:rPr>
                <w:rFonts w:ascii="宋体" w:hAnsi="宋体"/>
                <w:color w:val="auto"/>
                <w:szCs w:val="21"/>
                <w:highlight w:val="none"/>
              </w:rPr>
            </w:pPr>
          </w:p>
        </w:tc>
        <w:tc>
          <w:tcPr>
            <w:tcW w:w="1316" w:type="dxa"/>
          </w:tcPr>
          <w:p>
            <w:pPr>
              <w:spacing w:line="360" w:lineRule="auto"/>
              <w:rPr>
                <w:rFonts w:ascii="宋体" w:hAnsi="宋体"/>
                <w:color w:val="auto"/>
                <w:szCs w:val="21"/>
                <w:highlight w:val="none"/>
              </w:rPr>
            </w:pPr>
          </w:p>
        </w:tc>
      </w:tr>
    </w:tbl>
    <w:p>
      <w:pPr>
        <w:spacing w:line="360" w:lineRule="auto"/>
        <w:rPr>
          <w:rFonts w:ascii="宋体" w:hAnsi="宋体"/>
          <w:color w:val="auto"/>
          <w:szCs w:val="21"/>
          <w:highlight w:val="none"/>
        </w:rPr>
      </w:pPr>
    </w:p>
    <w:p>
      <w:pPr>
        <w:adjustRightInd w:val="0"/>
        <w:snapToGrid w:val="0"/>
        <w:spacing w:line="360" w:lineRule="auto"/>
        <w:rPr>
          <w:rFonts w:ascii="宋体" w:hAnsi="宋体"/>
          <w:color w:val="auto"/>
          <w:szCs w:val="21"/>
          <w:highlight w:val="none"/>
        </w:rPr>
      </w:pPr>
    </w:p>
    <w:p>
      <w:pPr>
        <w:adjustRightInd w:val="0"/>
        <w:snapToGrid w:val="0"/>
        <w:spacing w:line="360" w:lineRule="auto"/>
        <w:rPr>
          <w:rFonts w:ascii="宋体" w:hAnsi="宋体"/>
          <w:color w:val="auto"/>
          <w:szCs w:val="21"/>
          <w:highlight w:val="none"/>
          <w:u w:val="single"/>
        </w:rPr>
      </w:pPr>
      <w:r>
        <w:rPr>
          <w:rFonts w:hint="eastAsia" w:ascii="宋体" w:hAnsi="宋体"/>
          <w:color w:val="auto"/>
          <w:szCs w:val="21"/>
          <w:highlight w:val="none"/>
        </w:rPr>
        <w:t>投标人名称（单位盖公章）：</w:t>
      </w:r>
      <w:r>
        <w:rPr>
          <w:rFonts w:hint="eastAsia" w:ascii="宋体" w:hAnsi="宋体"/>
          <w:color w:val="auto"/>
          <w:szCs w:val="21"/>
          <w:highlight w:val="none"/>
          <w:u w:val="single"/>
        </w:rPr>
        <w:t xml:space="preserve">                        </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w:t>
      </w:r>
    </w:p>
    <w:p>
      <w:pPr>
        <w:spacing w:line="360" w:lineRule="auto"/>
        <w:jc w:val="left"/>
        <w:rPr>
          <w:rFonts w:ascii="宋体" w:hAnsi="宋体"/>
          <w:bCs/>
          <w:color w:val="auto"/>
          <w:highlight w:val="none"/>
        </w:rPr>
      </w:pPr>
    </w:p>
    <w:p>
      <w:pPr>
        <w:rPr>
          <w:rFonts w:ascii="宋体" w:hAnsi="宋体"/>
          <w:b/>
          <w:bCs/>
          <w:color w:val="auto"/>
          <w:sz w:val="16"/>
          <w:szCs w:val="16"/>
          <w:highlight w:val="none"/>
        </w:rPr>
      </w:pPr>
      <w:r>
        <w:rPr>
          <w:rFonts w:ascii="宋体" w:hAnsi="宋体"/>
          <w:b/>
          <w:bCs/>
          <w:color w:val="auto"/>
          <w:sz w:val="16"/>
          <w:szCs w:val="16"/>
          <w:highlight w:val="none"/>
        </w:rPr>
        <w:t>--</w:t>
      </w:r>
      <w:r>
        <w:rPr>
          <w:rFonts w:hint="eastAsia" w:ascii="宋体" w:hAnsi="宋体"/>
          <w:b/>
          <w:bCs/>
          <w:color w:val="auto"/>
          <w:sz w:val="16"/>
          <w:szCs w:val="16"/>
          <w:highlight w:val="none"/>
        </w:rPr>
        <w:t>备注</w:t>
      </w:r>
      <w:r>
        <w:rPr>
          <w:rFonts w:ascii="宋体" w:hAnsi="宋体"/>
          <w:b/>
          <w:bCs/>
          <w:color w:val="auto"/>
          <w:sz w:val="16"/>
          <w:szCs w:val="16"/>
          <w:highlight w:val="none"/>
        </w:rPr>
        <w:t>--</w:t>
      </w:r>
    </w:p>
    <w:p>
      <w:pPr>
        <w:pBdr>
          <w:top w:val="single" w:color="auto" w:sz="4" w:space="1"/>
          <w:left w:val="single" w:color="auto" w:sz="4" w:space="4"/>
          <w:bottom w:val="single" w:color="auto" w:sz="4" w:space="1"/>
          <w:right w:val="single" w:color="auto" w:sz="4" w:space="4"/>
        </w:pBdr>
        <w:tabs>
          <w:tab w:val="left" w:pos="6120"/>
        </w:tabs>
        <w:rPr>
          <w:rFonts w:ascii="宋体" w:hAnsi="宋体" w:cs="Arial"/>
          <w:i/>
          <w:color w:val="auto"/>
          <w:sz w:val="16"/>
          <w:szCs w:val="16"/>
          <w:highlight w:val="none"/>
        </w:rPr>
      </w:pPr>
      <w:r>
        <w:rPr>
          <w:rFonts w:hint="eastAsia" w:ascii="宋体" w:hAnsi="宋体" w:cs="Arial"/>
          <w:i/>
          <w:color w:val="auto"/>
          <w:sz w:val="16"/>
          <w:szCs w:val="16"/>
          <w:highlight w:val="none"/>
        </w:rPr>
        <w:t>1.《第六部分 投标文件格式》所有斜体字仅用于指导投标人编制投标文件，投标人应在最终提交的投标文件中将其删除；</w:t>
      </w:r>
    </w:p>
    <w:p>
      <w:pPr>
        <w:pBdr>
          <w:top w:val="single" w:color="auto" w:sz="4" w:space="1"/>
          <w:left w:val="single" w:color="auto" w:sz="4" w:space="4"/>
          <w:bottom w:val="single" w:color="auto" w:sz="4" w:space="1"/>
          <w:right w:val="single" w:color="auto" w:sz="4" w:space="4"/>
        </w:pBdr>
        <w:tabs>
          <w:tab w:val="left" w:pos="6120"/>
        </w:tabs>
        <w:rPr>
          <w:rFonts w:ascii="宋体" w:hAnsi="宋体" w:cs="Arial"/>
          <w:i/>
          <w:color w:val="auto"/>
          <w:sz w:val="16"/>
          <w:szCs w:val="16"/>
          <w:highlight w:val="none"/>
        </w:rPr>
      </w:pPr>
      <w:r>
        <w:rPr>
          <w:rFonts w:hint="eastAsia" w:ascii="宋体" w:hAnsi="宋体" w:cs="Arial"/>
          <w:i/>
          <w:color w:val="auto"/>
          <w:sz w:val="16"/>
          <w:szCs w:val="16"/>
          <w:highlight w:val="none"/>
        </w:rPr>
        <w:t>2.《第二部分　采购需求书》的所有非“★”且非“▲”的条款均为评审的一般指标；</w:t>
      </w:r>
    </w:p>
    <w:p>
      <w:pPr>
        <w:pBdr>
          <w:top w:val="single" w:color="auto" w:sz="4" w:space="1"/>
          <w:left w:val="single" w:color="auto" w:sz="4" w:space="4"/>
          <w:bottom w:val="single" w:color="auto" w:sz="4" w:space="1"/>
          <w:right w:val="single" w:color="auto" w:sz="4" w:space="4"/>
        </w:pBdr>
        <w:tabs>
          <w:tab w:val="left" w:pos="6120"/>
        </w:tabs>
        <w:rPr>
          <w:rFonts w:ascii="宋体" w:hAnsi="宋体" w:cs="Arial"/>
          <w:i/>
          <w:color w:val="auto"/>
          <w:sz w:val="16"/>
          <w:szCs w:val="16"/>
          <w:highlight w:val="none"/>
        </w:rPr>
      </w:pPr>
      <w:r>
        <w:rPr>
          <w:rFonts w:hint="eastAsia" w:ascii="宋体" w:hAnsi="宋体" w:cs="Arial"/>
          <w:i/>
          <w:color w:val="auto"/>
          <w:sz w:val="16"/>
          <w:szCs w:val="16"/>
          <w:highlight w:val="none"/>
        </w:rPr>
        <w:t>3.投标人必须对应所有非“★”且非“▲”的条款进行响应，填入此表；若对《第二部分　采购需求书》所有非“★”且非“▲”的条款无任何偏离，则在第一行填写“完全响应所有一般条款，无任何偏离”，并提供相关证明材料（如要求）；</w:t>
      </w:r>
    </w:p>
    <w:p>
      <w:pPr>
        <w:pBdr>
          <w:top w:val="single" w:color="auto" w:sz="4" w:space="1"/>
          <w:left w:val="single" w:color="auto" w:sz="4" w:space="4"/>
          <w:bottom w:val="single" w:color="auto" w:sz="4" w:space="1"/>
          <w:right w:val="single" w:color="auto" w:sz="4" w:space="4"/>
        </w:pBdr>
        <w:tabs>
          <w:tab w:val="left" w:pos="6120"/>
        </w:tabs>
        <w:rPr>
          <w:rFonts w:ascii="宋体" w:hAnsi="宋体" w:cs="Arial"/>
          <w:i/>
          <w:color w:val="auto"/>
          <w:sz w:val="16"/>
          <w:szCs w:val="16"/>
          <w:highlight w:val="none"/>
        </w:rPr>
      </w:pPr>
      <w:r>
        <w:rPr>
          <w:rFonts w:hint="eastAsia" w:ascii="宋体" w:hAnsi="宋体" w:cs="Arial"/>
          <w:i/>
          <w:color w:val="auto"/>
          <w:sz w:val="16"/>
          <w:szCs w:val="16"/>
          <w:highlight w:val="none"/>
        </w:rPr>
        <w:t>4.表格中“投标实际参数”投标人应按投标货物/服务实际数据填写，表格中“是否偏离”只填写“无偏离/正偏离/负偏离”的内容。</w:t>
      </w:r>
    </w:p>
    <w:p>
      <w:pPr>
        <w:spacing w:line="360" w:lineRule="auto"/>
        <w:jc w:val="left"/>
        <w:rPr>
          <w:rFonts w:ascii="宋体" w:hAnsi="宋体"/>
          <w:bCs/>
          <w:color w:val="auto"/>
          <w:highlight w:val="none"/>
        </w:rPr>
      </w:pPr>
    </w:p>
    <w:p>
      <w:pPr>
        <w:spacing w:line="360" w:lineRule="auto"/>
        <w:rPr>
          <w:rFonts w:ascii="宋体" w:hAnsi="宋体"/>
          <w:b/>
          <w:bCs/>
          <w:color w:val="auto"/>
          <w:sz w:val="24"/>
          <w:highlight w:val="none"/>
        </w:rPr>
      </w:pPr>
      <w:r>
        <w:rPr>
          <w:rFonts w:hint="eastAsia" w:ascii="宋体" w:hAnsi="宋体"/>
          <w:b/>
          <w:bCs/>
          <w:color w:val="auto"/>
          <w:sz w:val="24"/>
          <w:highlight w:val="none"/>
        </w:rPr>
        <w:br w:type="page"/>
      </w:r>
      <w:r>
        <w:rPr>
          <w:rFonts w:hint="eastAsia" w:ascii="宋体" w:hAnsi="宋体"/>
          <w:b/>
          <w:bCs/>
          <w:color w:val="auto"/>
          <w:sz w:val="24"/>
          <w:highlight w:val="none"/>
        </w:rPr>
        <w:t>4.3 技术（服务）评审部分文件</w:t>
      </w:r>
    </w:p>
    <w:p>
      <w:pPr>
        <w:tabs>
          <w:tab w:val="right" w:pos="9000"/>
        </w:tabs>
        <w:suppressAutoHyphens/>
        <w:rPr>
          <w:rFonts w:ascii="宋体" w:hAnsi="宋体" w:cs="Arial"/>
          <w:bCs/>
          <w:iCs/>
          <w:color w:val="auto"/>
          <w:sz w:val="16"/>
          <w:highlight w:val="none"/>
          <w:shd w:val="solid" w:color="auto" w:fill="auto"/>
        </w:rPr>
      </w:pPr>
    </w:p>
    <w:p>
      <w:pPr>
        <w:rPr>
          <w:rFonts w:ascii="宋体" w:hAnsi="宋体"/>
          <w:b/>
          <w:bCs/>
          <w:color w:val="auto"/>
          <w:sz w:val="16"/>
          <w:szCs w:val="16"/>
          <w:highlight w:val="none"/>
        </w:rPr>
      </w:pPr>
      <w:r>
        <w:rPr>
          <w:rFonts w:ascii="宋体" w:hAnsi="宋体"/>
          <w:b/>
          <w:bCs/>
          <w:color w:val="auto"/>
          <w:sz w:val="16"/>
          <w:szCs w:val="16"/>
          <w:highlight w:val="none"/>
        </w:rPr>
        <w:t>--</w:t>
      </w:r>
      <w:r>
        <w:rPr>
          <w:rFonts w:hint="eastAsia" w:ascii="宋体" w:hAnsi="宋体"/>
          <w:b/>
          <w:bCs/>
          <w:color w:val="auto"/>
          <w:sz w:val="16"/>
          <w:szCs w:val="16"/>
          <w:highlight w:val="none"/>
        </w:rPr>
        <w:t>备注</w:t>
      </w:r>
      <w:r>
        <w:rPr>
          <w:rFonts w:ascii="宋体" w:hAnsi="宋体"/>
          <w:b/>
          <w:bCs/>
          <w:color w:val="auto"/>
          <w:sz w:val="16"/>
          <w:szCs w:val="16"/>
          <w:highlight w:val="none"/>
        </w:rPr>
        <w:t>--</w:t>
      </w:r>
    </w:p>
    <w:p>
      <w:pPr>
        <w:pBdr>
          <w:top w:val="single" w:color="auto" w:sz="4" w:space="1"/>
          <w:left w:val="single" w:color="auto" w:sz="4" w:space="4"/>
          <w:bottom w:val="single" w:color="auto" w:sz="4" w:space="1"/>
          <w:right w:val="single" w:color="auto" w:sz="4" w:space="4"/>
        </w:pBdr>
        <w:tabs>
          <w:tab w:val="left" w:pos="6120"/>
        </w:tabs>
        <w:rPr>
          <w:rFonts w:ascii="宋体" w:hAnsi="宋体" w:cs="Arial"/>
          <w:i/>
          <w:color w:val="auto"/>
          <w:sz w:val="16"/>
          <w:szCs w:val="16"/>
          <w:highlight w:val="none"/>
        </w:rPr>
      </w:pPr>
      <w:r>
        <w:rPr>
          <w:rFonts w:hint="eastAsia" w:ascii="宋体" w:hAnsi="宋体" w:cs="Arial"/>
          <w:i/>
          <w:color w:val="auto"/>
          <w:sz w:val="16"/>
          <w:szCs w:val="16"/>
          <w:highlight w:val="none"/>
        </w:rPr>
        <w:t>1.《第六部分 投标文件格式》所有斜体字仅用于指导投标人编制投标文件，投标人应在最终提交的投标文件中将其删除；</w:t>
      </w:r>
    </w:p>
    <w:p>
      <w:pPr>
        <w:pBdr>
          <w:top w:val="single" w:color="auto" w:sz="4" w:space="1"/>
          <w:left w:val="single" w:color="auto" w:sz="4" w:space="4"/>
          <w:bottom w:val="single" w:color="auto" w:sz="4" w:space="1"/>
          <w:right w:val="single" w:color="auto" w:sz="4" w:space="4"/>
        </w:pBdr>
        <w:tabs>
          <w:tab w:val="left" w:pos="6120"/>
        </w:tabs>
        <w:rPr>
          <w:rFonts w:ascii="宋体" w:hAnsi="宋体" w:cs="Arial"/>
          <w:i/>
          <w:color w:val="auto"/>
          <w:sz w:val="16"/>
          <w:szCs w:val="16"/>
          <w:highlight w:val="none"/>
        </w:rPr>
      </w:pPr>
      <w:r>
        <w:rPr>
          <w:rFonts w:hint="eastAsia" w:ascii="宋体" w:hAnsi="宋体" w:cs="Arial"/>
          <w:i/>
          <w:color w:val="auto"/>
          <w:sz w:val="16"/>
          <w:szCs w:val="16"/>
          <w:highlight w:val="none"/>
        </w:rPr>
        <w:t>2.投标人应按照《第四部分 评标原则和方法》中《附表四 技术（服务）评分表》评审项目的各项内容，按顺序编制技术（服务）评审部分文件，格式自定。</w:t>
      </w:r>
    </w:p>
    <w:p>
      <w:pPr>
        <w:widowControl/>
        <w:outlineLvl w:val="1"/>
        <w:rPr>
          <w:rFonts w:ascii="宋体" w:hAnsi="宋体"/>
          <w:b/>
          <w:bCs/>
          <w:color w:val="auto"/>
          <w:sz w:val="24"/>
          <w:highlight w:val="none"/>
        </w:rPr>
      </w:pPr>
      <w:r>
        <w:rPr>
          <w:rFonts w:hint="eastAsia" w:ascii="宋体" w:hAnsi="宋体"/>
          <w:color w:val="auto"/>
          <w:sz w:val="28"/>
          <w:szCs w:val="28"/>
          <w:highlight w:val="none"/>
        </w:rPr>
        <w:br w:type="page"/>
      </w:r>
      <w:r>
        <w:rPr>
          <w:rFonts w:hint="eastAsia" w:ascii="宋体" w:hAnsi="宋体"/>
          <w:b/>
          <w:bCs/>
          <w:color w:val="auto"/>
          <w:sz w:val="24"/>
          <w:highlight w:val="none"/>
        </w:rPr>
        <w:t>4.4 投标人认为应当提交的其他技术文件</w:t>
      </w:r>
    </w:p>
    <w:p>
      <w:pPr>
        <w:widowControl/>
        <w:outlineLvl w:val="1"/>
        <w:rPr>
          <w:rFonts w:ascii="宋体" w:hAnsi="宋体"/>
          <w:b/>
          <w:bCs/>
          <w:color w:val="auto"/>
          <w:sz w:val="24"/>
          <w:highlight w:val="none"/>
        </w:rPr>
      </w:pPr>
    </w:p>
    <w:p>
      <w:pPr>
        <w:widowControl/>
        <w:outlineLvl w:val="1"/>
        <w:rPr>
          <w:rFonts w:ascii="宋体" w:hAnsi="宋体"/>
          <w:b/>
          <w:bCs/>
          <w:color w:val="auto"/>
          <w:sz w:val="24"/>
          <w:highlight w:val="none"/>
        </w:rPr>
      </w:pPr>
    </w:p>
    <w:p>
      <w:pPr>
        <w:tabs>
          <w:tab w:val="right" w:pos="9000"/>
        </w:tabs>
        <w:suppressAutoHyphens/>
        <w:rPr>
          <w:rFonts w:ascii="宋体" w:hAnsi="宋体" w:cs="Arial"/>
          <w:bCs/>
          <w:iCs/>
          <w:color w:val="auto"/>
          <w:sz w:val="16"/>
          <w:highlight w:val="none"/>
          <w:shd w:val="solid" w:color="auto" w:fill="auto"/>
        </w:rPr>
      </w:pPr>
    </w:p>
    <w:p>
      <w:pPr>
        <w:tabs>
          <w:tab w:val="right" w:pos="9000"/>
        </w:tabs>
        <w:suppressAutoHyphens/>
        <w:rPr>
          <w:rFonts w:ascii="宋体" w:hAnsi="宋体" w:cs="Arial"/>
          <w:bCs/>
          <w:iCs/>
          <w:color w:val="auto"/>
          <w:sz w:val="16"/>
          <w:highlight w:val="none"/>
          <w:shd w:val="solid" w:color="auto" w:fill="auto"/>
        </w:rPr>
      </w:pPr>
    </w:p>
    <w:p>
      <w:pPr>
        <w:tabs>
          <w:tab w:val="right" w:pos="9000"/>
        </w:tabs>
        <w:suppressAutoHyphens/>
        <w:rPr>
          <w:rFonts w:ascii="宋体" w:hAnsi="宋体" w:cs="Arial"/>
          <w:bCs/>
          <w:iCs/>
          <w:color w:val="auto"/>
          <w:sz w:val="16"/>
          <w:highlight w:val="none"/>
          <w:shd w:val="solid" w:color="auto" w:fill="auto"/>
        </w:rPr>
      </w:pPr>
    </w:p>
    <w:p>
      <w:pPr>
        <w:tabs>
          <w:tab w:val="right" w:pos="9000"/>
        </w:tabs>
        <w:suppressAutoHyphens/>
        <w:rPr>
          <w:rFonts w:ascii="宋体" w:hAnsi="宋体" w:cs="Arial"/>
          <w:bCs/>
          <w:iCs/>
          <w:color w:val="auto"/>
          <w:sz w:val="16"/>
          <w:highlight w:val="none"/>
          <w:shd w:val="solid" w:color="auto" w:fill="auto"/>
        </w:rPr>
      </w:pPr>
    </w:p>
    <w:p>
      <w:pPr>
        <w:rPr>
          <w:rFonts w:ascii="宋体" w:hAnsi="宋体"/>
          <w:b/>
          <w:bCs/>
          <w:color w:val="auto"/>
          <w:sz w:val="16"/>
          <w:szCs w:val="16"/>
          <w:highlight w:val="none"/>
        </w:rPr>
      </w:pPr>
      <w:r>
        <w:rPr>
          <w:rFonts w:ascii="宋体" w:hAnsi="宋体"/>
          <w:b/>
          <w:bCs/>
          <w:color w:val="auto"/>
          <w:sz w:val="16"/>
          <w:szCs w:val="16"/>
          <w:highlight w:val="none"/>
        </w:rPr>
        <w:t>--</w:t>
      </w:r>
      <w:r>
        <w:rPr>
          <w:rFonts w:hint="eastAsia" w:ascii="宋体" w:hAnsi="宋体"/>
          <w:b/>
          <w:bCs/>
          <w:color w:val="auto"/>
          <w:sz w:val="16"/>
          <w:szCs w:val="16"/>
          <w:highlight w:val="none"/>
        </w:rPr>
        <w:t>备注</w:t>
      </w:r>
      <w:r>
        <w:rPr>
          <w:rFonts w:ascii="宋体" w:hAnsi="宋体"/>
          <w:b/>
          <w:bCs/>
          <w:color w:val="auto"/>
          <w:sz w:val="16"/>
          <w:szCs w:val="16"/>
          <w:highlight w:val="none"/>
        </w:rPr>
        <w:t>--</w:t>
      </w:r>
    </w:p>
    <w:p>
      <w:pPr>
        <w:pBdr>
          <w:top w:val="single" w:color="auto" w:sz="4" w:space="1"/>
          <w:left w:val="single" w:color="auto" w:sz="4" w:space="4"/>
          <w:bottom w:val="single" w:color="auto" w:sz="4" w:space="1"/>
          <w:right w:val="single" w:color="auto" w:sz="4" w:space="4"/>
        </w:pBdr>
        <w:tabs>
          <w:tab w:val="left" w:pos="6120"/>
        </w:tabs>
        <w:rPr>
          <w:rFonts w:ascii="宋体" w:hAnsi="宋体" w:cs="Arial"/>
          <w:i/>
          <w:color w:val="auto"/>
          <w:sz w:val="16"/>
          <w:szCs w:val="16"/>
          <w:highlight w:val="none"/>
        </w:rPr>
      </w:pPr>
      <w:r>
        <w:rPr>
          <w:rFonts w:hint="eastAsia" w:ascii="宋体" w:hAnsi="宋体" w:cs="Arial"/>
          <w:i/>
          <w:color w:val="auto"/>
          <w:sz w:val="16"/>
          <w:szCs w:val="16"/>
          <w:highlight w:val="none"/>
        </w:rPr>
        <w:t>1.《第六部分 投标文件格式》所有斜体字仅用于指导投标人编制投标文件，投标人应在最终提交的投标文件中将其删除；</w:t>
      </w:r>
    </w:p>
    <w:p>
      <w:pPr>
        <w:pBdr>
          <w:top w:val="single" w:color="auto" w:sz="4" w:space="1"/>
          <w:left w:val="single" w:color="auto" w:sz="4" w:space="4"/>
          <w:bottom w:val="single" w:color="auto" w:sz="4" w:space="1"/>
          <w:right w:val="single" w:color="auto" w:sz="4" w:space="4"/>
        </w:pBdr>
        <w:tabs>
          <w:tab w:val="left" w:pos="6120"/>
        </w:tabs>
        <w:jc w:val="left"/>
        <w:rPr>
          <w:rFonts w:ascii="宋体" w:hAnsi="宋体" w:cs="Arial"/>
          <w:i/>
          <w:color w:val="auto"/>
          <w:sz w:val="16"/>
          <w:szCs w:val="16"/>
          <w:highlight w:val="none"/>
        </w:rPr>
      </w:pPr>
      <w:r>
        <w:rPr>
          <w:rFonts w:hint="eastAsia" w:ascii="宋体" w:hAnsi="宋体" w:cs="Arial"/>
          <w:i/>
          <w:color w:val="auto"/>
          <w:sz w:val="16"/>
          <w:szCs w:val="16"/>
          <w:highlight w:val="none"/>
        </w:rPr>
        <w:t>2.投标人对技术部分内容仍有要补充的，可以编制到本标题下。</w:t>
      </w:r>
    </w:p>
    <w:p>
      <w:pPr>
        <w:pStyle w:val="4"/>
        <w:spacing w:before="100" w:beforeAutospacing="1" w:after="100" w:afterAutospacing="1" w:line="240" w:lineRule="auto"/>
        <w:jc w:val="center"/>
        <w:rPr>
          <w:rFonts w:ascii="宋体" w:hAnsi="宋体" w:eastAsia="宋体"/>
          <w:color w:val="auto"/>
          <w:sz w:val="28"/>
          <w:szCs w:val="28"/>
          <w:highlight w:val="none"/>
        </w:rPr>
      </w:pPr>
      <w:r>
        <w:rPr>
          <w:rFonts w:hint="eastAsia" w:ascii="宋体" w:hAnsi="宋体" w:eastAsia="宋体"/>
          <w:color w:val="auto"/>
          <w:sz w:val="28"/>
          <w:szCs w:val="28"/>
          <w:highlight w:val="none"/>
        </w:rPr>
        <w:br w:type="page"/>
      </w:r>
      <w:bookmarkStart w:id="47" w:name="_Toc22426"/>
      <w:r>
        <w:rPr>
          <w:rFonts w:hint="eastAsia" w:ascii="宋体" w:hAnsi="宋体" w:eastAsia="宋体"/>
          <w:color w:val="auto"/>
          <w:sz w:val="28"/>
          <w:szCs w:val="28"/>
          <w:highlight w:val="none"/>
        </w:rPr>
        <w:t>五、价格部分</w:t>
      </w:r>
      <w:bookmarkEnd w:id="47"/>
    </w:p>
    <w:p>
      <w:pPr>
        <w:spacing w:line="360" w:lineRule="auto"/>
        <w:jc w:val="left"/>
        <w:rPr>
          <w:rFonts w:ascii="宋体" w:hAnsi="宋体"/>
          <w:b/>
          <w:bCs/>
          <w:color w:val="auto"/>
          <w:sz w:val="24"/>
          <w:highlight w:val="none"/>
        </w:rPr>
      </w:pPr>
      <w:r>
        <w:rPr>
          <w:rFonts w:hint="eastAsia" w:ascii="宋体" w:hAnsi="宋体"/>
          <w:b/>
          <w:bCs/>
          <w:color w:val="auto"/>
          <w:sz w:val="24"/>
          <w:highlight w:val="none"/>
        </w:rPr>
        <w:t>5.1 开标一览表</w:t>
      </w:r>
    </w:p>
    <w:p>
      <w:pPr>
        <w:spacing w:line="360" w:lineRule="auto"/>
        <w:jc w:val="center"/>
        <w:rPr>
          <w:rFonts w:ascii="宋体" w:hAnsi="宋体" w:cs="Arial"/>
          <w:b/>
          <w:color w:val="auto"/>
          <w:sz w:val="28"/>
          <w:szCs w:val="28"/>
          <w:highlight w:val="none"/>
        </w:rPr>
      </w:pPr>
      <w:r>
        <w:rPr>
          <w:rFonts w:hint="eastAsia" w:ascii="宋体" w:hAnsi="宋体" w:cs="Arial"/>
          <w:b/>
          <w:color w:val="auto"/>
          <w:sz w:val="28"/>
          <w:szCs w:val="28"/>
          <w:highlight w:val="none"/>
        </w:rPr>
        <w:t>开标一览表</w:t>
      </w:r>
    </w:p>
    <w:p>
      <w:pPr>
        <w:spacing w:line="360" w:lineRule="auto"/>
        <w:ind w:left="945" w:leftChars="100" w:hanging="735" w:hangingChars="350"/>
        <w:rPr>
          <w:rFonts w:ascii="宋体" w:hAnsi="宋体"/>
          <w:color w:val="auto"/>
          <w:highlight w:val="none"/>
        </w:rPr>
      </w:pPr>
      <w:r>
        <w:rPr>
          <w:rFonts w:hint="eastAsia" w:ascii="宋体" w:hAnsi="宋体"/>
          <w:color w:val="auto"/>
          <w:highlight w:val="none"/>
        </w:rPr>
        <w:t>项目名称：</w:t>
      </w:r>
      <w:r>
        <w:rPr>
          <w:rFonts w:hint="eastAsia" w:ascii="宋体" w:hAnsi="宋体"/>
          <w:color w:val="auto"/>
          <w:highlight w:val="none"/>
          <w:u w:val="single"/>
        </w:rPr>
        <w:t>国家税务总局罗定市税务局机关及下属税务分局物业管理服务项目</w:t>
      </w:r>
    </w:p>
    <w:p>
      <w:pPr>
        <w:spacing w:line="360" w:lineRule="auto"/>
        <w:ind w:left="945" w:leftChars="100" w:hanging="735" w:hangingChars="350"/>
        <w:rPr>
          <w:rFonts w:ascii="宋体" w:hAnsi="宋体"/>
          <w:color w:val="auto"/>
          <w:highlight w:val="none"/>
          <w:u w:val="single"/>
        </w:rPr>
      </w:pPr>
      <w:r>
        <w:rPr>
          <w:rFonts w:hint="eastAsia" w:ascii="宋体" w:hAnsi="宋体"/>
          <w:color w:val="auto"/>
          <w:highlight w:val="none"/>
        </w:rPr>
        <w:t>项目编号：</w:t>
      </w:r>
      <w:r>
        <w:rPr>
          <w:rFonts w:hint="eastAsia" w:ascii="宋体" w:hAnsi="宋体"/>
          <w:color w:val="auto"/>
          <w:highlight w:val="none"/>
          <w:u w:val="single"/>
        </w:rPr>
        <w:t>0877-23GZTP01Y774</w:t>
      </w:r>
    </w:p>
    <w:p>
      <w:pPr>
        <w:pStyle w:val="2"/>
        <w:rPr>
          <w:color w:val="auto"/>
          <w:highlight w:val="none"/>
        </w:rPr>
      </w:pPr>
    </w:p>
    <w:p>
      <w:pPr>
        <w:pStyle w:val="2"/>
        <w:rPr>
          <w:color w:val="auto"/>
          <w:highlight w:val="none"/>
        </w:rPr>
      </w:pPr>
    </w:p>
    <w:tbl>
      <w:tblPr>
        <w:tblStyle w:val="64"/>
        <w:tblW w:w="909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3334"/>
        <w:gridCol w:w="2072"/>
        <w:gridCol w:w="132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62" w:type="dxa"/>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投标内容</w:t>
            </w:r>
          </w:p>
        </w:tc>
        <w:tc>
          <w:tcPr>
            <w:tcW w:w="3334" w:type="dxa"/>
            <w:tcMar>
              <w:left w:w="0" w:type="dxa"/>
              <w:right w:w="0" w:type="dxa"/>
            </w:tcMar>
            <w:vAlign w:val="center"/>
          </w:tcPr>
          <w:p>
            <w:pPr>
              <w:jc w:val="center"/>
              <w:rPr>
                <w:color w:val="auto"/>
                <w:highlight w:val="none"/>
              </w:rPr>
            </w:pPr>
            <w:r>
              <w:rPr>
                <w:rFonts w:hint="eastAsia" w:ascii="宋体" w:hAnsi="宋体"/>
                <w:b/>
                <w:bCs/>
                <w:color w:val="auto"/>
                <w:highlight w:val="none"/>
              </w:rPr>
              <w:t>投标总报价</w:t>
            </w:r>
            <w:r>
              <w:rPr>
                <w:rFonts w:hint="eastAsia" w:ascii="宋体" w:hAnsi="宋体"/>
                <w:b/>
                <w:bCs/>
                <w:color w:val="auto"/>
                <w:szCs w:val="21"/>
                <w:highlight w:val="none"/>
              </w:rPr>
              <w:t>（人民币 元）</w:t>
            </w:r>
          </w:p>
        </w:tc>
        <w:tc>
          <w:tcPr>
            <w:tcW w:w="2072" w:type="dxa"/>
            <w:vAlign w:val="center"/>
          </w:tcPr>
          <w:p>
            <w:pPr>
              <w:jc w:val="center"/>
              <w:rPr>
                <w:rFonts w:ascii="宋体" w:hAnsi="宋体"/>
                <w:b/>
                <w:color w:val="auto"/>
                <w:szCs w:val="21"/>
                <w:highlight w:val="none"/>
              </w:rPr>
            </w:pPr>
            <w:r>
              <w:rPr>
                <w:rFonts w:hint="eastAsia" w:ascii="宋体" w:hAnsi="宋体"/>
                <w:b/>
                <w:color w:val="auto"/>
                <w:szCs w:val="21"/>
                <w:highlight w:val="none"/>
              </w:rPr>
              <w:t>服务期</w:t>
            </w:r>
          </w:p>
        </w:tc>
        <w:tc>
          <w:tcPr>
            <w:tcW w:w="1323" w:type="dxa"/>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2362" w:type="dxa"/>
            <w:vAlign w:val="center"/>
          </w:tcPr>
          <w:p>
            <w:pPr>
              <w:spacing w:line="300" w:lineRule="auto"/>
              <w:jc w:val="center"/>
              <w:rPr>
                <w:rFonts w:ascii="宋体" w:hAnsi="宋体"/>
                <w:color w:val="auto"/>
                <w:szCs w:val="21"/>
                <w:highlight w:val="none"/>
              </w:rPr>
            </w:pPr>
            <w:r>
              <w:rPr>
                <w:rFonts w:hint="eastAsia" w:ascii="宋体" w:hAnsi="宋体"/>
                <w:color w:val="auto"/>
                <w:szCs w:val="21"/>
                <w:highlight w:val="none"/>
              </w:rPr>
              <w:t>国家税务总局罗定市税务局机关及下属税务分局物业管理服务项目</w:t>
            </w:r>
          </w:p>
        </w:tc>
        <w:tc>
          <w:tcPr>
            <w:tcW w:w="3334" w:type="dxa"/>
            <w:vAlign w:val="center"/>
          </w:tcPr>
          <w:p>
            <w:pPr>
              <w:rPr>
                <w:rFonts w:ascii="宋体"/>
                <w:bCs/>
                <w:color w:val="auto"/>
                <w:szCs w:val="21"/>
                <w:highlight w:val="none"/>
              </w:rPr>
            </w:pPr>
            <w:r>
              <w:rPr>
                <w:rFonts w:hint="eastAsia" w:ascii="宋体"/>
                <w:bCs/>
                <w:color w:val="auto"/>
                <w:szCs w:val="21"/>
                <w:highlight w:val="none"/>
              </w:rPr>
              <w:t>小写：</w:t>
            </w:r>
            <w:r>
              <w:rPr>
                <w:rFonts w:hint="eastAsia" w:ascii="宋体"/>
                <w:bCs/>
                <w:color w:val="auto"/>
                <w:szCs w:val="21"/>
                <w:highlight w:val="none"/>
                <w:u w:val="single"/>
              </w:rPr>
              <w:t xml:space="preserve">           </w:t>
            </w:r>
          </w:p>
          <w:p>
            <w:pPr>
              <w:rPr>
                <w:color w:val="auto"/>
                <w:highlight w:val="none"/>
              </w:rPr>
            </w:pPr>
            <w:r>
              <w:rPr>
                <w:rFonts w:hint="eastAsia" w:ascii="宋体"/>
                <w:bCs/>
                <w:color w:val="auto"/>
                <w:szCs w:val="21"/>
                <w:highlight w:val="none"/>
              </w:rPr>
              <w:t>大写：</w:t>
            </w:r>
            <w:r>
              <w:rPr>
                <w:rFonts w:hint="eastAsia" w:ascii="宋体"/>
                <w:bCs/>
                <w:color w:val="auto"/>
                <w:szCs w:val="21"/>
                <w:highlight w:val="none"/>
                <w:u w:val="single"/>
              </w:rPr>
              <w:t xml:space="preserve">           </w:t>
            </w:r>
          </w:p>
        </w:tc>
        <w:tc>
          <w:tcPr>
            <w:tcW w:w="2072" w:type="dxa"/>
            <w:vAlign w:val="center"/>
          </w:tcPr>
          <w:p>
            <w:pPr>
              <w:spacing w:line="300" w:lineRule="auto"/>
              <w:jc w:val="center"/>
              <w:rPr>
                <w:rFonts w:ascii="宋体" w:hAnsi="宋体"/>
                <w:color w:val="auto"/>
                <w:szCs w:val="21"/>
                <w:highlight w:val="none"/>
              </w:rPr>
            </w:pPr>
            <w:r>
              <w:rPr>
                <w:rFonts w:hint="eastAsia" w:ascii="宋体" w:hAnsi="宋体"/>
                <w:color w:val="auto"/>
                <w:szCs w:val="21"/>
                <w:highlight w:val="none"/>
              </w:rPr>
              <w:t>共12个月，即2024年1月1日至2024年12月31日</w:t>
            </w:r>
          </w:p>
        </w:tc>
        <w:tc>
          <w:tcPr>
            <w:tcW w:w="1323" w:type="dxa"/>
            <w:vAlign w:val="center"/>
          </w:tcPr>
          <w:p>
            <w:pPr>
              <w:spacing w:line="300" w:lineRule="auto"/>
              <w:jc w:val="center"/>
              <w:rPr>
                <w:rFonts w:ascii="宋体" w:hAnsi="宋体"/>
                <w:color w:val="auto"/>
                <w:szCs w:val="21"/>
                <w:highlight w:val="none"/>
              </w:rPr>
            </w:pPr>
          </w:p>
        </w:tc>
      </w:tr>
    </w:tbl>
    <w:p>
      <w:pPr>
        <w:pStyle w:val="2"/>
        <w:spacing w:line="360" w:lineRule="auto"/>
        <w:ind w:firstLine="210" w:firstLineChars="100"/>
        <w:rPr>
          <w:color w:val="auto"/>
          <w:highlight w:val="none"/>
          <w:u w:val="single"/>
        </w:rPr>
      </w:pPr>
      <w:r>
        <w:rPr>
          <w:rFonts w:hint="eastAsia" w:ascii="宋体" w:hAnsi="宋体"/>
          <w:color w:val="auto"/>
          <w:szCs w:val="21"/>
          <w:highlight w:val="none"/>
        </w:rPr>
        <w:t xml:space="preserve">              </w:t>
      </w:r>
    </w:p>
    <w:p>
      <w:pPr>
        <w:adjustRightInd w:val="0"/>
        <w:snapToGrid w:val="0"/>
        <w:spacing w:line="300" w:lineRule="auto"/>
        <w:rPr>
          <w:rFonts w:ascii="宋体" w:hAnsi="宋体"/>
          <w:color w:val="auto"/>
          <w:szCs w:val="21"/>
          <w:highlight w:val="none"/>
        </w:rPr>
      </w:pPr>
    </w:p>
    <w:p>
      <w:pPr>
        <w:pStyle w:val="25"/>
        <w:rPr>
          <w:color w:val="auto"/>
          <w:highlight w:val="none"/>
        </w:rPr>
      </w:pPr>
    </w:p>
    <w:p>
      <w:pPr>
        <w:adjustRightInd w:val="0"/>
        <w:snapToGrid w:val="0"/>
        <w:spacing w:line="300" w:lineRule="auto"/>
        <w:rPr>
          <w:rFonts w:ascii="宋体" w:hAnsi="宋体"/>
          <w:color w:val="auto"/>
          <w:szCs w:val="21"/>
          <w:highlight w:val="none"/>
          <w:u w:val="single"/>
        </w:rPr>
      </w:pPr>
      <w:r>
        <w:rPr>
          <w:rFonts w:hint="eastAsia" w:ascii="宋体" w:hAnsi="宋体"/>
          <w:color w:val="auto"/>
          <w:szCs w:val="21"/>
          <w:highlight w:val="none"/>
        </w:rPr>
        <w:t>投标人名称（单位盖公章）：</w:t>
      </w:r>
      <w:r>
        <w:rPr>
          <w:rFonts w:hint="eastAsia" w:ascii="宋体" w:hAnsi="宋体"/>
          <w:color w:val="auto"/>
          <w:szCs w:val="21"/>
          <w:highlight w:val="none"/>
          <w:u w:val="single"/>
        </w:rPr>
        <w:t xml:space="preserve">                        </w:t>
      </w:r>
    </w:p>
    <w:p>
      <w:pPr>
        <w:adjustRightInd w:val="0"/>
        <w:snapToGrid w:val="0"/>
        <w:spacing w:line="30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w:t>
      </w:r>
    </w:p>
    <w:p>
      <w:pPr>
        <w:spacing w:line="300" w:lineRule="auto"/>
        <w:rPr>
          <w:rFonts w:ascii="宋体" w:hAnsi="宋体"/>
          <w:color w:val="auto"/>
          <w:szCs w:val="21"/>
          <w:highlight w:val="none"/>
        </w:rPr>
      </w:pPr>
    </w:p>
    <w:p>
      <w:pPr>
        <w:pStyle w:val="32"/>
        <w:numPr>
          <w:ilvl w:val="0"/>
          <w:numId w:val="41"/>
        </w:numPr>
        <w:tabs>
          <w:tab w:val="left" w:pos="360"/>
        </w:tabs>
        <w:snapToGrid w:val="0"/>
        <w:ind w:right="120" w:rightChars="57"/>
        <w:jc w:val="left"/>
        <w:rPr>
          <w:rFonts w:hAnsi="宋体" w:cs="Arial"/>
          <w:color w:val="auto"/>
          <w:highlight w:val="none"/>
        </w:rPr>
      </w:pPr>
      <w:r>
        <w:rPr>
          <w:rFonts w:hAnsi="宋体" w:cs="Arial"/>
          <w:color w:val="auto"/>
          <w:highlight w:val="none"/>
        </w:rPr>
        <w:t>此表原件一式两份，一份附在正本的投标文件中，并另封装一份于“开标一览表”信封中。</w:t>
      </w:r>
    </w:p>
    <w:p>
      <w:pPr>
        <w:pStyle w:val="32"/>
        <w:numPr>
          <w:ilvl w:val="0"/>
          <w:numId w:val="41"/>
        </w:numPr>
        <w:snapToGrid w:val="0"/>
        <w:ind w:right="120" w:rightChars="57"/>
        <w:jc w:val="left"/>
        <w:rPr>
          <w:rFonts w:hAnsi="宋体" w:cs="Arial"/>
          <w:color w:val="auto"/>
          <w:highlight w:val="none"/>
        </w:rPr>
      </w:pPr>
      <w:r>
        <w:rPr>
          <w:rFonts w:hint="eastAsia" w:hAnsi="宋体" w:cs="Arial"/>
          <w:color w:val="auto"/>
          <w:highlight w:val="none"/>
        </w:rPr>
        <w:t>此表的投标报价系所有需采购人支付的包括招标文件中要求的相关服务内容的全部费用。</w:t>
      </w:r>
    </w:p>
    <w:p>
      <w:pPr>
        <w:rPr>
          <w:rFonts w:ascii="宋体" w:hAnsi="宋体"/>
          <w:b/>
          <w:bCs/>
          <w:color w:val="auto"/>
          <w:sz w:val="18"/>
          <w:szCs w:val="18"/>
          <w:highlight w:val="none"/>
        </w:rPr>
      </w:pPr>
      <w:r>
        <w:rPr>
          <w:rFonts w:ascii="宋体" w:hAnsi="宋体"/>
          <w:b/>
          <w:bCs/>
          <w:color w:val="auto"/>
          <w:sz w:val="18"/>
          <w:szCs w:val="18"/>
          <w:highlight w:val="none"/>
        </w:rPr>
        <w:t>--</w:t>
      </w:r>
      <w:r>
        <w:rPr>
          <w:rFonts w:hint="eastAsia" w:ascii="宋体" w:hAnsi="宋体"/>
          <w:b/>
          <w:bCs/>
          <w:color w:val="auto"/>
          <w:sz w:val="18"/>
          <w:szCs w:val="18"/>
          <w:highlight w:val="none"/>
        </w:rPr>
        <w:t>备注</w:t>
      </w:r>
      <w:r>
        <w:rPr>
          <w:rFonts w:ascii="宋体" w:hAnsi="宋体"/>
          <w:b/>
          <w:bCs/>
          <w:color w:val="auto"/>
          <w:sz w:val="18"/>
          <w:szCs w:val="18"/>
          <w:highlight w:val="none"/>
        </w:rPr>
        <w:t>--</w:t>
      </w:r>
    </w:p>
    <w:p>
      <w:pPr>
        <w:pBdr>
          <w:top w:val="single" w:color="auto" w:sz="4" w:space="1"/>
          <w:left w:val="single" w:color="auto" w:sz="4" w:space="4"/>
          <w:bottom w:val="single" w:color="auto" w:sz="4" w:space="1"/>
          <w:right w:val="single" w:color="auto" w:sz="4" w:space="4"/>
        </w:pBdr>
        <w:tabs>
          <w:tab w:val="left" w:pos="6120"/>
        </w:tabs>
        <w:rPr>
          <w:rFonts w:ascii="宋体" w:hAnsi="宋体" w:cs="Arial"/>
          <w:i/>
          <w:color w:val="auto"/>
          <w:sz w:val="18"/>
          <w:szCs w:val="18"/>
          <w:highlight w:val="none"/>
        </w:rPr>
      </w:pPr>
      <w:r>
        <w:rPr>
          <w:rFonts w:hint="eastAsia" w:ascii="宋体" w:hAnsi="宋体" w:cs="Arial"/>
          <w:i/>
          <w:color w:val="auto"/>
          <w:sz w:val="18"/>
          <w:szCs w:val="18"/>
          <w:highlight w:val="none"/>
        </w:rPr>
        <w:t>1.《第六部分 投标文件格式》所有斜体字仅用于指导投标人编制投标文件，投标人应在最终提交的投标文件中将其删除；</w:t>
      </w:r>
    </w:p>
    <w:p>
      <w:pPr>
        <w:pBdr>
          <w:top w:val="single" w:color="auto" w:sz="4" w:space="1"/>
          <w:left w:val="single" w:color="auto" w:sz="4" w:space="4"/>
          <w:bottom w:val="single" w:color="auto" w:sz="4" w:space="1"/>
          <w:right w:val="single" w:color="auto" w:sz="4" w:space="4"/>
        </w:pBdr>
        <w:tabs>
          <w:tab w:val="left" w:pos="6120"/>
        </w:tabs>
        <w:rPr>
          <w:rFonts w:ascii="宋体" w:hAnsi="宋体" w:cs="Arial"/>
          <w:i/>
          <w:color w:val="auto"/>
          <w:sz w:val="18"/>
          <w:szCs w:val="18"/>
          <w:highlight w:val="none"/>
        </w:rPr>
      </w:pPr>
      <w:r>
        <w:rPr>
          <w:rFonts w:hint="eastAsia" w:ascii="宋体" w:hAnsi="宋体" w:cs="Arial"/>
          <w:i/>
          <w:color w:val="auto"/>
          <w:sz w:val="18"/>
          <w:szCs w:val="18"/>
          <w:highlight w:val="none"/>
        </w:rPr>
        <w:t>2.超过本项目采购预算（最高限价）的报价将被视为无效报价；</w:t>
      </w:r>
    </w:p>
    <w:p>
      <w:pPr>
        <w:pBdr>
          <w:top w:val="single" w:color="auto" w:sz="4" w:space="1"/>
          <w:left w:val="single" w:color="auto" w:sz="4" w:space="4"/>
          <w:bottom w:val="single" w:color="auto" w:sz="4" w:space="1"/>
          <w:right w:val="single" w:color="auto" w:sz="4" w:space="4"/>
        </w:pBdr>
        <w:tabs>
          <w:tab w:val="left" w:pos="6120"/>
        </w:tabs>
        <w:rPr>
          <w:rFonts w:ascii="宋体" w:hAnsi="宋体" w:cs="Arial"/>
          <w:i/>
          <w:color w:val="auto"/>
          <w:sz w:val="18"/>
          <w:szCs w:val="18"/>
          <w:highlight w:val="none"/>
        </w:rPr>
      </w:pPr>
      <w:r>
        <w:rPr>
          <w:rFonts w:hint="eastAsia" w:ascii="宋体" w:hAnsi="宋体" w:cs="Arial"/>
          <w:i/>
          <w:color w:val="auto"/>
          <w:sz w:val="18"/>
          <w:szCs w:val="18"/>
          <w:highlight w:val="none"/>
        </w:rPr>
        <w:t>3.投标人须按要求填写所有信息，不得随意更改本表格式；</w:t>
      </w:r>
    </w:p>
    <w:p>
      <w:pPr>
        <w:pBdr>
          <w:top w:val="single" w:color="auto" w:sz="4" w:space="1"/>
          <w:left w:val="single" w:color="auto" w:sz="4" w:space="4"/>
          <w:bottom w:val="single" w:color="auto" w:sz="4" w:space="1"/>
          <w:right w:val="single" w:color="auto" w:sz="4" w:space="4"/>
        </w:pBdr>
        <w:tabs>
          <w:tab w:val="left" w:pos="6120"/>
        </w:tabs>
        <w:rPr>
          <w:rFonts w:ascii="宋体" w:hAnsi="宋体" w:cs="Arial"/>
          <w:i/>
          <w:color w:val="auto"/>
          <w:sz w:val="18"/>
          <w:szCs w:val="18"/>
          <w:highlight w:val="none"/>
        </w:rPr>
      </w:pPr>
      <w:r>
        <w:rPr>
          <w:rFonts w:hint="eastAsia" w:ascii="宋体" w:hAnsi="宋体" w:cs="Arial"/>
          <w:i/>
          <w:color w:val="auto"/>
          <w:sz w:val="18"/>
          <w:szCs w:val="18"/>
          <w:highlight w:val="none"/>
        </w:rPr>
        <w:t>4.报价中必须包含合同实施过程中应预见和不可预见费用；</w:t>
      </w:r>
    </w:p>
    <w:p>
      <w:pPr>
        <w:pBdr>
          <w:top w:val="single" w:color="auto" w:sz="4" w:space="1"/>
          <w:left w:val="single" w:color="auto" w:sz="4" w:space="4"/>
          <w:bottom w:val="single" w:color="auto" w:sz="4" w:space="1"/>
          <w:right w:val="single" w:color="auto" w:sz="4" w:space="4"/>
        </w:pBdr>
        <w:tabs>
          <w:tab w:val="left" w:pos="6120"/>
        </w:tabs>
        <w:rPr>
          <w:rFonts w:ascii="宋体" w:hAnsi="宋体" w:cs="Arial"/>
          <w:i/>
          <w:color w:val="auto"/>
          <w:sz w:val="18"/>
          <w:szCs w:val="18"/>
          <w:highlight w:val="none"/>
        </w:rPr>
      </w:pPr>
      <w:r>
        <w:rPr>
          <w:rFonts w:hint="eastAsia" w:ascii="宋体" w:hAnsi="宋体" w:cs="Arial"/>
          <w:i/>
          <w:color w:val="auto"/>
          <w:sz w:val="18"/>
          <w:szCs w:val="18"/>
          <w:highlight w:val="none"/>
        </w:rPr>
        <w:t>5.此表是投标文件的必要文件，是投标文件的组成部分，还应另附一份封装在一个信封中，作为唱标之用。</w:t>
      </w:r>
    </w:p>
    <w:p>
      <w:pPr>
        <w:spacing w:line="360" w:lineRule="auto"/>
        <w:jc w:val="left"/>
        <w:rPr>
          <w:rFonts w:ascii="宋体" w:hAnsi="宋体"/>
          <w:bCs/>
          <w:color w:val="auto"/>
          <w:highlight w:val="none"/>
        </w:rPr>
      </w:pPr>
    </w:p>
    <w:p>
      <w:pPr>
        <w:spacing w:line="300" w:lineRule="auto"/>
        <w:rPr>
          <w:rFonts w:ascii="宋体" w:hAnsi="宋体"/>
          <w:color w:val="auto"/>
          <w:szCs w:val="21"/>
          <w:highlight w:val="none"/>
        </w:rPr>
      </w:pPr>
      <w:r>
        <w:rPr>
          <w:rFonts w:ascii="宋体" w:hAnsi="宋体"/>
          <w:color w:val="auto"/>
          <w:szCs w:val="21"/>
          <w:highlight w:val="none"/>
        </w:rPr>
        <w:br w:type="page"/>
      </w:r>
    </w:p>
    <w:p>
      <w:pPr>
        <w:spacing w:line="360" w:lineRule="auto"/>
        <w:jc w:val="left"/>
        <w:rPr>
          <w:rFonts w:ascii="宋体" w:hAnsi="宋体"/>
          <w:b/>
          <w:bCs/>
          <w:color w:val="auto"/>
          <w:sz w:val="24"/>
          <w:highlight w:val="none"/>
        </w:rPr>
      </w:pPr>
      <w:r>
        <w:rPr>
          <w:rFonts w:hint="eastAsia" w:ascii="宋体" w:hAnsi="宋体"/>
          <w:b/>
          <w:bCs/>
          <w:color w:val="auto"/>
          <w:sz w:val="24"/>
          <w:highlight w:val="none"/>
        </w:rPr>
        <w:t>5.2 明细报价表</w:t>
      </w:r>
    </w:p>
    <w:p>
      <w:pPr>
        <w:spacing w:line="360" w:lineRule="auto"/>
        <w:jc w:val="center"/>
        <w:rPr>
          <w:rFonts w:ascii="宋体" w:hAnsi="宋体" w:cs="Arial"/>
          <w:b/>
          <w:color w:val="auto"/>
          <w:sz w:val="28"/>
          <w:szCs w:val="28"/>
          <w:highlight w:val="none"/>
        </w:rPr>
      </w:pPr>
      <w:r>
        <w:rPr>
          <w:rFonts w:hint="eastAsia" w:ascii="宋体" w:hAnsi="宋体" w:cs="Arial"/>
          <w:b/>
          <w:color w:val="auto"/>
          <w:sz w:val="28"/>
          <w:szCs w:val="28"/>
          <w:highlight w:val="none"/>
        </w:rPr>
        <w:t>明细报价表</w:t>
      </w:r>
    </w:p>
    <w:p>
      <w:pPr>
        <w:spacing w:line="360" w:lineRule="auto"/>
        <w:ind w:left="945" w:leftChars="100" w:hanging="735" w:hangingChars="350"/>
        <w:rPr>
          <w:rFonts w:ascii="宋体" w:hAnsi="宋体"/>
          <w:color w:val="auto"/>
          <w:highlight w:val="none"/>
        </w:rPr>
      </w:pPr>
      <w:r>
        <w:rPr>
          <w:rFonts w:hint="eastAsia" w:ascii="宋体" w:hAnsi="宋体"/>
          <w:color w:val="auto"/>
          <w:highlight w:val="none"/>
        </w:rPr>
        <w:t>项目名称：</w:t>
      </w:r>
      <w:r>
        <w:rPr>
          <w:rFonts w:hint="eastAsia" w:ascii="宋体" w:hAnsi="宋体"/>
          <w:color w:val="auto"/>
          <w:highlight w:val="none"/>
          <w:u w:val="single"/>
        </w:rPr>
        <w:t>国家税务总局罗定市税务局机关及下属税务分局物业管理服务项目</w:t>
      </w:r>
    </w:p>
    <w:p>
      <w:pPr>
        <w:spacing w:line="360" w:lineRule="auto"/>
        <w:ind w:left="945" w:leftChars="100" w:hanging="735" w:hangingChars="350"/>
        <w:rPr>
          <w:rFonts w:ascii="宋体" w:hAnsi="宋体"/>
          <w:color w:val="auto"/>
          <w:highlight w:val="none"/>
          <w:u w:val="single"/>
        </w:rPr>
      </w:pPr>
      <w:r>
        <w:rPr>
          <w:rFonts w:hint="eastAsia" w:ascii="宋体" w:hAnsi="宋体"/>
          <w:color w:val="auto"/>
          <w:highlight w:val="none"/>
        </w:rPr>
        <w:t>项目编号：</w:t>
      </w:r>
      <w:r>
        <w:rPr>
          <w:rFonts w:hint="eastAsia" w:ascii="宋体" w:hAnsi="宋体"/>
          <w:color w:val="auto"/>
          <w:highlight w:val="none"/>
          <w:u w:val="single"/>
        </w:rPr>
        <w:t>0877-23GZTP01Y774</w:t>
      </w:r>
    </w:p>
    <w:p>
      <w:pPr>
        <w:adjustRightInd w:val="0"/>
        <w:spacing w:line="360" w:lineRule="auto"/>
        <w:rPr>
          <w:rFonts w:ascii="宋体" w:hAnsi="宋体"/>
          <w:color w:val="auto"/>
          <w:szCs w:val="21"/>
          <w:highlight w:val="none"/>
        </w:rPr>
      </w:pPr>
    </w:p>
    <w:p>
      <w:pPr>
        <w:adjustRightInd w:val="0"/>
        <w:spacing w:line="360" w:lineRule="auto"/>
        <w:rPr>
          <w:rFonts w:ascii="宋体" w:hAnsi="宋体"/>
          <w:color w:val="auto"/>
          <w:szCs w:val="21"/>
          <w:highlight w:val="none"/>
        </w:rPr>
      </w:pPr>
      <w:r>
        <w:rPr>
          <w:rFonts w:hint="eastAsia" w:ascii="宋体" w:hAnsi="宋体"/>
          <w:color w:val="auto"/>
          <w:szCs w:val="21"/>
          <w:highlight w:val="none"/>
        </w:rPr>
        <w:t>货币单位：元（人民币）</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55"/>
        <w:gridCol w:w="3828"/>
        <w:gridCol w:w="728"/>
        <w:gridCol w:w="709"/>
        <w:gridCol w:w="1262"/>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9711" w:type="dxa"/>
            <w:gridSpan w:val="7"/>
            <w:tcBorders>
              <w:left w:val="single" w:color="auto" w:sz="4" w:space="0"/>
              <w:right w:val="single" w:color="auto" w:sz="4" w:space="0"/>
            </w:tcBorders>
            <w:vAlign w:val="center"/>
          </w:tcPr>
          <w:p>
            <w:pPr>
              <w:spacing w:line="360" w:lineRule="auto"/>
              <w:rPr>
                <w:rFonts w:ascii="宋体" w:hAnsi="宋体"/>
                <w:bCs/>
                <w:color w:val="auto"/>
                <w:highlight w:val="none"/>
              </w:rPr>
            </w:pPr>
            <w:r>
              <w:rPr>
                <w:rFonts w:hint="eastAsia" w:ascii="宋体" w:hAnsi="宋体"/>
                <w:color w:val="auto"/>
                <w:highlight w:val="none"/>
              </w:rPr>
              <w:t>一、服务详列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710" w:type="dxa"/>
            <w:tcBorders>
              <w:left w:val="single" w:color="auto" w:sz="4" w:space="0"/>
            </w:tcBorders>
            <w:vAlign w:val="center"/>
          </w:tcPr>
          <w:p>
            <w:pPr>
              <w:spacing w:line="360" w:lineRule="auto"/>
              <w:jc w:val="center"/>
              <w:rPr>
                <w:rFonts w:ascii="宋体" w:hAnsi="宋体"/>
                <w:color w:val="auto"/>
                <w:highlight w:val="none"/>
              </w:rPr>
            </w:pPr>
            <w:r>
              <w:rPr>
                <w:rFonts w:hint="eastAsia" w:ascii="宋体" w:hAnsi="宋体"/>
                <w:color w:val="auto"/>
                <w:highlight w:val="none"/>
              </w:rPr>
              <w:t>序号</w:t>
            </w:r>
          </w:p>
        </w:tc>
        <w:tc>
          <w:tcPr>
            <w:tcW w:w="1255" w:type="dxa"/>
            <w:vAlign w:val="center"/>
          </w:tcPr>
          <w:p>
            <w:pPr>
              <w:spacing w:line="360" w:lineRule="auto"/>
              <w:jc w:val="center"/>
              <w:rPr>
                <w:rFonts w:ascii="宋体" w:hAnsi="宋体"/>
                <w:color w:val="auto"/>
                <w:highlight w:val="none"/>
              </w:rPr>
            </w:pPr>
            <w:r>
              <w:rPr>
                <w:rFonts w:hint="eastAsia" w:ascii="宋体" w:hAnsi="宋体"/>
                <w:color w:val="auto"/>
                <w:highlight w:val="none"/>
              </w:rPr>
              <w:t>分项名称</w:t>
            </w:r>
          </w:p>
        </w:tc>
        <w:tc>
          <w:tcPr>
            <w:tcW w:w="3828" w:type="dxa"/>
            <w:vAlign w:val="center"/>
          </w:tcPr>
          <w:p>
            <w:pPr>
              <w:spacing w:line="360" w:lineRule="auto"/>
              <w:jc w:val="center"/>
              <w:rPr>
                <w:rFonts w:ascii="宋体" w:hAnsi="宋体"/>
                <w:color w:val="auto"/>
                <w:highlight w:val="none"/>
              </w:rPr>
            </w:pPr>
            <w:r>
              <w:rPr>
                <w:rFonts w:hint="eastAsia" w:ascii="宋体" w:hAnsi="宋体"/>
                <w:color w:val="auto"/>
                <w:highlight w:val="none"/>
              </w:rPr>
              <w:t>服务内容（简述）</w:t>
            </w:r>
          </w:p>
        </w:tc>
        <w:tc>
          <w:tcPr>
            <w:tcW w:w="728" w:type="dxa"/>
            <w:vAlign w:val="center"/>
          </w:tcPr>
          <w:p>
            <w:pPr>
              <w:spacing w:line="360" w:lineRule="auto"/>
              <w:jc w:val="center"/>
              <w:rPr>
                <w:rFonts w:ascii="宋体" w:hAnsi="宋体"/>
                <w:color w:val="auto"/>
                <w:highlight w:val="none"/>
              </w:rPr>
            </w:pPr>
            <w:r>
              <w:rPr>
                <w:rFonts w:hint="eastAsia" w:ascii="宋体" w:hAnsi="宋体"/>
                <w:color w:val="auto"/>
                <w:highlight w:val="none"/>
              </w:rPr>
              <w:t>单位</w:t>
            </w:r>
          </w:p>
        </w:tc>
        <w:tc>
          <w:tcPr>
            <w:tcW w:w="709" w:type="dxa"/>
            <w:vAlign w:val="center"/>
          </w:tcPr>
          <w:p>
            <w:pPr>
              <w:spacing w:line="360" w:lineRule="auto"/>
              <w:jc w:val="center"/>
              <w:rPr>
                <w:rFonts w:ascii="宋体" w:hAnsi="宋体"/>
                <w:color w:val="auto"/>
                <w:highlight w:val="none"/>
              </w:rPr>
            </w:pPr>
            <w:r>
              <w:rPr>
                <w:rFonts w:hint="eastAsia" w:ascii="宋体" w:hAnsi="宋体"/>
                <w:color w:val="auto"/>
                <w:highlight w:val="none"/>
              </w:rPr>
              <w:t>数量</w:t>
            </w:r>
          </w:p>
        </w:tc>
        <w:tc>
          <w:tcPr>
            <w:tcW w:w="1262" w:type="dxa"/>
            <w:tcBorders>
              <w:right w:val="single" w:color="auto" w:sz="4" w:space="0"/>
            </w:tcBorders>
            <w:vAlign w:val="center"/>
          </w:tcPr>
          <w:p>
            <w:pPr>
              <w:spacing w:line="360" w:lineRule="auto"/>
              <w:jc w:val="center"/>
              <w:rPr>
                <w:rFonts w:ascii="宋体" w:hAnsi="宋体"/>
                <w:color w:val="auto"/>
                <w:highlight w:val="none"/>
              </w:rPr>
            </w:pPr>
            <w:r>
              <w:rPr>
                <w:rFonts w:hint="eastAsia" w:ascii="宋体" w:hAnsi="宋体"/>
                <w:color w:val="auto"/>
                <w:highlight w:val="none"/>
              </w:rPr>
              <w:t>单价（元）</w:t>
            </w:r>
          </w:p>
        </w:tc>
        <w:tc>
          <w:tcPr>
            <w:tcW w:w="1219" w:type="dxa"/>
            <w:tcBorders>
              <w:left w:val="single" w:color="auto" w:sz="4" w:space="0"/>
              <w:right w:val="single" w:color="auto" w:sz="4" w:space="0"/>
            </w:tcBorders>
            <w:vAlign w:val="center"/>
          </w:tcPr>
          <w:p>
            <w:pPr>
              <w:spacing w:line="360" w:lineRule="auto"/>
              <w:jc w:val="center"/>
              <w:rPr>
                <w:rFonts w:ascii="宋体" w:hAnsi="宋体"/>
                <w:color w:val="auto"/>
                <w:highlight w:val="none"/>
              </w:rPr>
            </w:pPr>
            <w:r>
              <w:rPr>
                <w:rFonts w:hint="eastAsia" w:ascii="宋体" w:hAnsi="宋体"/>
                <w:color w:val="auto"/>
                <w:highlight w:val="none"/>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710" w:type="dxa"/>
            <w:tcBorders>
              <w:left w:val="single" w:color="auto" w:sz="4" w:space="0"/>
            </w:tcBorders>
            <w:vAlign w:val="center"/>
          </w:tcPr>
          <w:p>
            <w:pPr>
              <w:spacing w:line="360" w:lineRule="auto"/>
              <w:jc w:val="center"/>
              <w:rPr>
                <w:rFonts w:ascii="宋体" w:hAnsi="宋体"/>
                <w:color w:val="auto"/>
                <w:highlight w:val="none"/>
              </w:rPr>
            </w:pPr>
          </w:p>
        </w:tc>
        <w:tc>
          <w:tcPr>
            <w:tcW w:w="1255" w:type="dxa"/>
            <w:vAlign w:val="center"/>
          </w:tcPr>
          <w:p>
            <w:pPr>
              <w:spacing w:line="360" w:lineRule="auto"/>
              <w:jc w:val="center"/>
              <w:rPr>
                <w:rFonts w:ascii="宋体" w:hAnsi="宋体"/>
                <w:color w:val="auto"/>
                <w:highlight w:val="none"/>
              </w:rPr>
            </w:pPr>
          </w:p>
        </w:tc>
        <w:tc>
          <w:tcPr>
            <w:tcW w:w="3828" w:type="dxa"/>
            <w:vAlign w:val="center"/>
          </w:tcPr>
          <w:p>
            <w:pPr>
              <w:spacing w:line="360" w:lineRule="auto"/>
              <w:jc w:val="center"/>
              <w:rPr>
                <w:rFonts w:ascii="宋体" w:hAnsi="宋体"/>
                <w:color w:val="auto"/>
                <w:highlight w:val="none"/>
              </w:rPr>
            </w:pPr>
          </w:p>
        </w:tc>
        <w:tc>
          <w:tcPr>
            <w:tcW w:w="728" w:type="dxa"/>
            <w:vAlign w:val="center"/>
          </w:tcPr>
          <w:p>
            <w:pPr>
              <w:spacing w:line="360" w:lineRule="auto"/>
              <w:jc w:val="center"/>
              <w:rPr>
                <w:rFonts w:ascii="宋体" w:hAnsi="宋体"/>
                <w:color w:val="auto"/>
                <w:highlight w:val="none"/>
              </w:rPr>
            </w:pPr>
          </w:p>
        </w:tc>
        <w:tc>
          <w:tcPr>
            <w:tcW w:w="709" w:type="dxa"/>
            <w:vAlign w:val="center"/>
          </w:tcPr>
          <w:p>
            <w:pPr>
              <w:spacing w:line="360" w:lineRule="auto"/>
              <w:jc w:val="center"/>
              <w:rPr>
                <w:rFonts w:ascii="宋体" w:hAnsi="宋体"/>
                <w:color w:val="auto"/>
                <w:highlight w:val="none"/>
              </w:rPr>
            </w:pPr>
          </w:p>
        </w:tc>
        <w:tc>
          <w:tcPr>
            <w:tcW w:w="1262" w:type="dxa"/>
            <w:tcBorders>
              <w:right w:val="single" w:color="auto" w:sz="4" w:space="0"/>
            </w:tcBorders>
            <w:vAlign w:val="center"/>
          </w:tcPr>
          <w:p>
            <w:pPr>
              <w:spacing w:line="360" w:lineRule="auto"/>
              <w:jc w:val="center"/>
              <w:rPr>
                <w:rFonts w:ascii="宋体" w:hAnsi="宋体"/>
                <w:color w:val="auto"/>
                <w:highlight w:val="none"/>
              </w:rPr>
            </w:pPr>
          </w:p>
        </w:tc>
        <w:tc>
          <w:tcPr>
            <w:tcW w:w="1219" w:type="dxa"/>
            <w:tcBorders>
              <w:left w:val="single" w:color="auto" w:sz="4" w:space="0"/>
              <w:right w:val="single" w:color="auto" w:sz="4" w:space="0"/>
            </w:tcBorders>
            <w:vAlign w:val="center"/>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710" w:type="dxa"/>
            <w:tcBorders>
              <w:left w:val="single" w:color="auto" w:sz="4" w:space="0"/>
            </w:tcBorders>
            <w:vAlign w:val="center"/>
          </w:tcPr>
          <w:p>
            <w:pPr>
              <w:spacing w:line="360" w:lineRule="auto"/>
              <w:jc w:val="center"/>
              <w:rPr>
                <w:rFonts w:ascii="宋体" w:hAnsi="宋体"/>
                <w:color w:val="auto"/>
                <w:highlight w:val="none"/>
              </w:rPr>
            </w:pPr>
          </w:p>
        </w:tc>
        <w:tc>
          <w:tcPr>
            <w:tcW w:w="1255" w:type="dxa"/>
            <w:vAlign w:val="center"/>
          </w:tcPr>
          <w:p>
            <w:pPr>
              <w:spacing w:line="360" w:lineRule="auto"/>
              <w:jc w:val="center"/>
              <w:rPr>
                <w:rFonts w:ascii="宋体" w:hAnsi="宋体"/>
                <w:color w:val="auto"/>
                <w:highlight w:val="none"/>
              </w:rPr>
            </w:pPr>
          </w:p>
        </w:tc>
        <w:tc>
          <w:tcPr>
            <w:tcW w:w="3828" w:type="dxa"/>
            <w:vAlign w:val="center"/>
          </w:tcPr>
          <w:p>
            <w:pPr>
              <w:spacing w:line="360" w:lineRule="auto"/>
              <w:jc w:val="center"/>
              <w:rPr>
                <w:rFonts w:ascii="宋体" w:hAnsi="宋体"/>
                <w:color w:val="auto"/>
                <w:highlight w:val="none"/>
              </w:rPr>
            </w:pPr>
          </w:p>
        </w:tc>
        <w:tc>
          <w:tcPr>
            <w:tcW w:w="728" w:type="dxa"/>
            <w:vAlign w:val="center"/>
          </w:tcPr>
          <w:p>
            <w:pPr>
              <w:spacing w:line="360" w:lineRule="auto"/>
              <w:jc w:val="center"/>
              <w:rPr>
                <w:rFonts w:ascii="宋体" w:hAnsi="宋体"/>
                <w:color w:val="auto"/>
                <w:highlight w:val="none"/>
              </w:rPr>
            </w:pPr>
          </w:p>
        </w:tc>
        <w:tc>
          <w:tcPr>
            <w:tcW w:w="709" w:type="dxa"/>
            <w:vAlign w:val="center"/>
          </w:tcPr>
          <w:p>
            <w:pPr>
              <w:spacing w:line="360" w:lineRule="auto"/>
              <w:jc w:val="center"/>
              <w:rPr>
                <w:rFonts w:ascii="宋体" w:hAnsi="宋体"/>
                <w:color w:val="auto"/>
                <w:highlight w:val="none"/>
              </w:rPr>
            </w:pPr>
          </w:p>
        </w:tc>
        <w:tc>
          <w:tcPr>
            <w:tcW w:w="1262" w:type="dxa"/>
            <w:tcBorders>
              <w:right w:val="single" w:color="auto" w:sz="4" w:space="0"/>
            </w:tcBorders>
            <w:vAlign w:val="center"/>
          </w:tcPr>
          <w:p>
            <w:pPr>
              <w:spacing w:line="360" w:lineRule="auto"/>
              <w:jc w:val="center"/>
              <w:rPr>
                <w:rFonts w:ascii="宋体" w:hAnsi="宋体"/>
                <w:color w:val="auto"/>
                <w:highlight w:val="none"/>
              </w:rPr>
            </w:pPr>
          </w:p>
        </w:tc>
        <w:tc>
          <w:tcPr>
            <w:tcW w:w="1219" w:type="dxa"/>
            <w:tcBorders>
              <w:left w:val="single" w:color="auto" w:sz="4" w:space="0"/>
              <w:right w:val="single" w:color="auto" w:sz="4" w:space="0"/>
            </w:tcBorders>
            <w:vAlign w:val="center"/>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710" w:type="dxa"/>
            <w:tcBorders>
              <w:left w:val="single" w:color="auto" w:sz="4" w:space="0"/>
            </w:tcBorders>
            <w:vAlign w:val="center"/>
          </w:tcPr>
          <w:p>
            <w:pPr>
              <w:spacing w:line="360" w:lineRule="auto"/>
              <w:jc w:val="center"/>
              <w:rPr>
                <w:rFonts w:ascii="宋体" w:hAnsi="宋体"/>
                <w:color w:val="auto"/>
                <w:highlight w:val="none"/>
              </w:rPr>
            </w:pPr>
            <w:r>
              <w:rPr>
                <w:rFonts w:ascii="宋体" w:hAnsi="宋体"/>
                <w:color w:val="auto"/>
                <w:highlight w:val="none"/>
              </w:rPr>
              <w:t>……</w:t>
            </w:r>
          </w:p>
        </w:tc>
        <w:tc>
          <w:tcPr>
            <w:tcW w:w="1255" w:type="dxa"/>
            <w:vAlign w:val="center"/>
          </w:tcPr>
          <w:p>
            <w:pPr>
              <w:spacing w:line="360" w:lineRule="auto"/>
              <w:jc w:val="center"/>
              <w:rPr>
                <w:rFonts w:ascii="宋体" w:hAnsi="宋体"/>
                <w:color w:val="auto"/>
                <w:highlight w:val="none"/>
              </w:rPr>
            </w:pPr>
          </w:p>
        </w:tc>
        <w:tc>
          <w:tcPr>
            <w:tcW w:w="3828" w:type="dxa"/>
            <w:vAlign w:val="center"/>
          </w:tcPr>
          <w:p>
            <w:pPr>
              <w:spacing w:line="360" w:lineRule="auto"/>
              <w:jc w:val="center"/>
              <w:rPr>
                <w:rFonts w:ascii="宋体" w:hAnsi="宋体"/>
                <w:color w:val="auto"/>
                <w:highlight w:val="none"/>
              </w:rPr>
            </w:pPr>
          </w:p>
        </w:tc>
        <w:tc>
          <w:tcPr>
            <w:tcW w:w="728" w:type="dxa"/>
            <w:vAlign w:val="center"/>
          </w:tcPr>
          <w:p>
            <w:pPr>
              <w:spacing w:line="360" w:lineRule="auto"/>
              <w:jc w:val="center"/>
              <w:rPr>
                <w:rFonts w:ascii="宋体" w:hAnsi="宋体"/>
                <w:color w:val="auto"/>
                <w:highlight w:val="none"/>
              </w:rPr>
            </w:pPr>
          </w:p>
        </w:tc>
        <w:tc>
          <w:tcPr>
            <w:tcW w:w="709" w:type="dxa"/>
            <w:vAlign w:val="center"/>
          </w:tcPr>
          <w:p>
            <w:pPr>
              <w:spacing w:line="360" w:lineRule="auto"/>
              <w:jc w:val="center"/>
              <w:rPr>
                <w:rFonts w:ascii="宋体" w:hAnsi="宋体"/>
                <w:color w:val="auto"/>
                <w:highlight w:val="none"/>
              </w:rPr>
            </w:pPr>
          </w:p>
        </w:tc>
        <w:tc>
          <w:tcPr>
            <w:tcW w:w="1262" w:type="dxa"/>
            <w:tcBorders>
              <w:right w:val="single" w:color="auto" w:sz="4" w:space="0"/>
            </w:tcBorders>
            <w:vAlign w:val="center"/>
          </w:tcPr>
          <w:p>
            <w:pPr>
              <w:spacing w:line="360" w:lineRule="auto"/>
              <w:jc w:val="center"/>
              <w:rPr>
                <w:rFonts w:ascii="宋体" w:hAnsi="宋体"/>
                <w:color w:val="auto"/>
                <w:highlight w:val="none"/>
              </w:rPr>
            </w:pPr>
          </w:p>
        </w:tc>
        <w:tc>
          <w:tcPr>
            <w:tcW w:w="1219" w:type="dxa"/>
            <w:tcBorders>
              <w:left w:val="single" w:color="auto" w:sz="4" w:space="0"/>
              <w:right w:val="single" w:color="auto" w:sz="4" w:space="0"/>
            </w:tcBorders>
            <w:vAlign w:val="center"/>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1965" w:type="dxa"/>
            <w:gridSpan w:val="2"/>
            <w:tcBorders>
              <w:left w:val="single" w:color="auto" w:sz="4" w:space="0"/>
            </w:tcBorders>
            <w:vAlign w:val="center"/>
          </w:tcPr>
          <w:p>
            <w:pPr>
              <w:spacing w:line="360" w:lineRule="auto"/>
              <w:jc w:val="center"/>
              <w:rPr>
                <w:rFonts w:ascii="宋体" w:hAnsi="宋体"/>
                <w:color w:val="auto"/>
                <w:highlight w:val="none"/>
              </w:rPr>
            </w:pPr>
            <w:r>
              <w:rPr>
                <w:rFonts w:hint="eastAsia" w:ascii="宋体" w:hAnsi="宋体"/>
                <w:bCs/>
                <w:iCs/>
                <w:color w:val="auto"/>
                <w:highlight w:val="none"/>
              </w:rPr>
              <w:t>合    计</w:t>
            </w:r>
          </w:p>
        </w:tc>
        <w:tc>
          <w:tcPr>
            <w:tcW w:w="3828" w:type="dxa"/>
            <w:tcBorders>
              <w:right w:val="single" w:color="auto" w:sz="4" w:space="0"/>
            </w:tcBorders>
            <w:vAlign w:val="center"/>
          </w:tcPr>
          <w:p>
            <w:pPr>
              <w:spacing w:line="360" w:lineRule="auto"/>
              <w:jc w:val="center"/>
              <w:rPr>
                <w:rFonts w:ascii="宋体" w:hAnsi="宋体"/>
                <w:color w:val="auto"/>
                <w:highlight w:val="none"/>
              </w:rPr>
            </w:pPr>
            <w:r>
              <w:rPr>
                <w:rFonts w:hint="eastAsia" w:ascii="宋体" w:hAnsi="宋体"/>
                <w:bCs/>
                <w:color w:val="auto"/>
                <w:highlight w:val="none"/>
              </w:rPr>
              <w:t>数量合计：</w:t>
            </w:r>
            <w:r>
              <w:rPr>
                <w:rFonts w:hint="eastAsia" w:ascii="宋体" w:hAnsi="宋体"/>
                <w:bCs/>
                <w:color w:val="auto"/>
                <w:highlight w:val="none"/>
                <w:u w:val="single"/>
              </w:rPr>
              <w:t xml:space="preserve">        </w:t>
            </w:r>
            <w:r>
              <w:rPr>
                <w:rFonts w:hint="eastAsia" w:ascii="宋体" w:hAnsi="宋体"/>
                <w:bCs/>
                <w:color w:val="auto"/>
                <w:highlight w:val="none"/>
              </w:rPr>
              <w:t>.</w:t>
            </w:r>
          </w:p>
        </w:tc>
        <w:tc>
          <w:tcPr>
            <w:tcW w:w="3918" w:type="dxa"/>
            <w:gridSpan w:val="4"/>
            <w:tcBorders>
              <w:right w:val="single" w:color="auto" w:sz="4" w:space="0"/>
            </w:tcBorders>
            <w:vAlign w:val="center"/>
          </w:tcPr>
          <w:p>
            <w:pPr>
              <w:spacing w:line="360" w:lineRule="auto"/>
              <w:jc w:val="center"/>
              <w:rPr>
                <w:rFonts w:ascii="宋体" w:hAnsi="宋体"/>
                <w:color w:val="auto"/>
                <w:highlight w:val="none"/>
              </w:rPr>
            </w:pPr>
            <w:r>
              <w:rPr>
                <w:rFonts w:hint="eastAsia" w:ascii="宋体" w:hAnsi="宋体"/>
                <w:bCs/>
                <w:color w:val="auto"/>
                <w:highlight w:val="none"/>
              </w:rPr>
              <w:t>报价合计：</w:t>
            </w:r>
            <w:r>
              <w:rPr>
                <w:rFonts w:hint="eastAsia" w:ascii="宋体" w:hAnsi="宋体"/>
                <w:bCs/>
                <w:color w:val="auto"/>
                <w:highlight w:val="none"/>
                <w:u w:val="single"/>
              </w:rPr>
              <w:t xml:space="preserve">        </w:t>
            </w:r>
            <w:r>
              <w:rPr>
                <w:rFonts w:hint="eastAsia" w:ascii="宋体" w:hAnsi="宋体"/>
                <w:bCs/>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9711" w:type="dxa"/>
            <w:gridSpan w:val="7"/>
            <w:tcBorders>
              <w:left w:val="single" w:color="auto" w:sz="4" w:space="0"/>
              <w:right w:val="single" w:color="auto" w:sz="4" w:space="0"/>
            </w:tcBorders>
            <w:vAlign w:val="center"/>
          </w:tcPr>
          <w:p>
            <w:pPr>
              <w:spacing w:line="360" w:lineRule="auto"/>
              <w:rPr>
                <w:rFonts w:ascii="宋体" w:hAnsi="宋体"/>
                <w:color w:val="auto"/>
                <w:highlight w:val="none"/>
              </w:rPr>
            </w:pPr>
            <w:r>
              <w:rPr>
                <w:rFonts w:hint="eastAsia" w:ascii="宋体" w:hAnsi="宋体"/>
                <w:color w:val="auto"/>
                <w:highlight w:val="none"/>
              </w:rPr>
              <w:t>二、其他费用详列（如有）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710" w:type="dxa"/>
            <w:tcBorders>
              <w:left w:val="single" w:color="auto" w:sz="4" w:space="0"/>
            </w:tcBorders>
            <w:vAlign w:val="center"/>
          </w:tcPr>
          <w:p>
            <w:pPr>
              <w:spacing w:line="360" w:lineRule="auto"/>
              <w:jc w:val="center"/>
              <w:rPr>
                <w:rFonts w:ascii="宋体" w:hAnsi="宋体"/>
                <w:color w:val="auto"/>
                <w:highlight w:val="none"/>
              </w:rPr>
            </w:pPr>
            <w:r>
              <w:rPr>
                <w:rFonts w:hint="eastAsia" w:ascii="宋体" w:hAnsi="宋体"/>
                <w:color w:val="auto"/>
                <w:highlight w:val="none"/>
              </w:rPr>
              <w:t>序号</w:t>
            </w:r>
          </w:p>
        </w:tc>
        <w:tc>
          <w:tcPr>
            <w:tcW w:w="1255" w:type="dxa"/>
            <w:vAlign w:val="center"/>
          </w:tcPr>
          <w:p>
            <w:pPr>
              <w:spacing w:line="360" w:lineRule="auto"/>
              <w:jc w:val="center"/>
              <w:rPr>
                <w:rFonts w:ascii="宋体" w:hAnsi="宋体"/>
                <w:color w:val="auto"/>
                <w:highlight w:val="none"/>
              </w:rPr>
            </w:pPr>
            <w:r>
              <w:rPr>
                <w:rFonts w:hint="eastAsia" w:ascii="宋体" w:hAnsi="宋体"/>
                <w:color w:val="auto"/>
                <w:highlight w:val="none"/>
              </w:rPr>
              <w:t>分项名称</w:t>
            </w:r>
          </w:p>
        </w:tc>
        <w:tc>
          <w:tcPr>
            <w:tcW w:w="3828" w:type="dxa"/>
            <w:vAlign w:val="center"/>
          </w:tcPr>
          <w:p>
            <w:pPr>
              <w:spacing w:line="360" w:lineRule="auto"/>
              <w:jc w:val="center"/>
              <w:rPr>
                <w:rFonts w:ascii="宋体" w:hAnsi="宋体"/>
                <w:bCs/>
                <w:color w:val="auto"/>
                <w:highlight w:val="none"/>
              </w:rPr>
            </w:pPr>
            <w:r>
              <w:rPr>
                <w:rFonts w:hint="eastAsia" w:ascii="宋体" w:hAnsi="宋体"/>
                <w:color w:val="auto"/>
                <w:highlight w:val="none"/>
              </w:rPr>
              <w:t>具体内容</w:t>
            </w:r>
          </w:p>
        </w:tc>
        <w:tc>
          <w:tcPr>
            <w:tcW w:w="728" w:type="dxa"/>
            <w:vAlign w:val="center"/>
          </w:tcPr>
          <w:p>
            <w:pPr>
              <w:spacing w:line="360" w:lineRule="auto"/>
              <w:jc w:val="center"/>
              <w:rPr>
                <w:rFonts w:ascii="宋体" w:hAnsi="宋体"/>
                <w:bCs/>
                <w:color w:val="auto"/>
                <w:highlight w:val="none"/>
              </w:rPr>
            </w:pPr>
            <w:r>
              <w:rPr>
                <w:rFonts w:hint="eastAsia" w:ascii="宋体" w:hAnsi="宋体"/>
                <w:bCs/>
                <w:color w:val="auto"/>
                <w:highlight w:val="none"/>
              </w:rPr>
              <w:t>单位</w:t>
            </w:r>
          </w:p>
        </w:tc>
        <w:tc>
          <w:tcPr>
            <w:tcW w:w="709" w:type="dxa"/>
            <w:vAlign w:val="center"/>
          </w:tcPr>
          <w:p>
            <w:pPr>
              <w:spacing w:line="360" w:lineRule="auto"/>
              <w:jc w:val="center"/>
              <w:rPr>
                <w:rFonts w:ascii="宋体" w:hAnsi="宋体"/>
                <w:color w:val="auto"/>
                <w:highlight w:val="none"/>
              </w:rPr>
            </w:pPr>
            <w:r>
              <w:rPr>
                <w:rFonts w:hint="eastAsia" w:ascii="宋体" w:hAnsi="宋体"/>
                <w:bCs/>
                <w:color w:val="auto"/>
                <w:highlight w:val="none"/>
              </w:rPr>
              <w:t>数量</w:t>
            </w:r>
          </w:p>
        </w:tc>
        <w:tc>
          <w:tcPr>
            <w:tcW w:w="1262" w:type="dxa"/>
            <w:vAlign w:val="center"/>
          </w:tcPr>
          <w:p>
            <w:pPr>
              <w:spacing w:line="360" w:lineRule="auto"/>
              <w:jc w:val="center"/>
              <w:rPr>
                <w:rFonts w:ascii="宋体" w:hAnsi="宋体"/>
                <w:color w:val="auto"/>
                <w:highlight w:val="none"/>
              </w:rPr>
            </w:pPr>
            <w:r>
              <w:rPr>
                <w:rFonts w:hint="eastAsia" w:ascii="宋体" w:hAnsi="宋体"/>
                <w:color w:val="auto"/>
                <w:highlight w:val="none"/>
              </w:rPr>
              <w:t>单价（元）</w:t>
            </w:r>
          </w:p>
        </w:tc>
        <w:tc>
          <w:tcPr>
            <w:tcW w:w="1219" w:type="dxa"/>
            <w:tcBorders>
              <w:right w:val="single" w:color="auto" w:sz="4" w:space="0"/>
            </w:tcBorders>
            <w:vAlign w:val="center"/>
          </w:tcPr>
          <w:p>
            <w:pPr>
              <w:spacing w:line="360" w:lineRule="auto"/>
              <w:jc w:val="center"/>
              <w:rPr>
                <w:rFonts w:ascii="宋体" w:hAnsi="宋体"/>
                <w:color w:val="auto"/>
                <w:highlight w:val="none"/>
              </w:rPr>
            </w:pPr>
            <w:r>
              <w:rPr>
                <w:rFonts w:hint="eastAsia" w:ascii="宋体" w:hAnsi="宋体"/>
                <w:color w:val="auto"/>
                <w:highlight w:val="none"/>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710" w:type="dxa"/>
            <w:tcBorders>
              <w:left w:val="single" w:color="auto" w:sz="4" w:space="0"/>
            </w:tcBorders>
            <w:vAlign w:val="center"/>
          </w:tcPr>
          <w:p>
            <w:pPr>
              <w:spacing w:line="360" w:lineRule="auto"/>
              <w:jc w:val="center"/>
              <w:rPr>
                <w:rFonts w:ascii="宋体" w:hAnsi="宋体"/>
                <w:color w:val="auto"/>
                <w:highlight w:val="none"/>
              </w:rPr>
            </w:pPr>
          </w:p>
        </w:tc>
        <w:tc>
          <w:tcPr>
            <w:tcW w:w="1255" w:type="dxa"/>
            <w:vAlign w:val="center"/>
          </w:tcPr>
          <w:p>
            <w:pPr>
              <w:spacing w:line="360" w:lineRule="auto"/>
              <w:jc w:val="center"/>
              <w:rPr>
                <w:rFonts w:ascii="宋体" w:hAnsi="宋体"/>
                <w:color w:val="auto"/>
                <w:highlight w:val="none"/>
              </w:rPr>
            </w:pPr>
          </w:p>
        </w:tc>
        <w:tc>
          <w:tcPr>
            <w:tcW w:w="3828" w:type="dxa"/>
            <w:vAlign w:val="center"/>
          </w:tcPr>
          <w:p>
            <w:pPr>
              <w:spacing w:line="360" w:lineRule="auto"/>
              <w:jc w:val="center"/>
              <w:rPr>
                <w:rFonts w:ascii="宋体" w:hAnsi="宋体"/>
                <w:color w:val="auto"/>
                <w:highlight w:val="none"/>
              </w:rPr>
            </w:pPr>
          </w:p>
        </w:tc>
        <w:tc>
          <w:tcPr>
            <w:tcW w:w="728" w:type="dxa"/>
            <w:vAlign w:val="center"/>
          </w:tcPr>
          <w:p>
            <w:pPr>
              <w:spacing w:line="360" w:lineRule="auto"/>
              <w:jc w:val="center"/>
              <w:rPr>
                <w:rFonts w:ascii="宋体" w:hAnsi="宋体"/>
                <w:bCs/>
                <w:color w:val="auto"/>
                <w:highlight w:val="none"/>
              </w:rPr>
            </w:pPr>
          </w:p>
        </w:tc>
        <w:tc>
          <w:tcPr>
            <w:tcW w:w="709" w:type="dxa"/>
            <w:vAlign w:val="center"/>
          </w:tcPr>
          <w:p>
            <w:pPr>
              <w:spacing w:line="360" w:lineRule="auto"/>
              <w:jc w:val="center"/>
              <w:rPr>
                <w:rFonts w:ascii="宋体" w:hAnsi="宋体"/>
                <w:bCs/>
                <w:color w:val="auto"/>
                <w:highlight w:val="none"/>
              </w:rPr>
            </w:pPr>
          </w:p>
        </w:tc>
        <w:tc>
          <w:tcPr>
            <w:tcW w:w="1262" w:type="dxa"/>
            <w:vAlign w:val="center"/>
          </w:tcPr>
          <w:p>
            <w:pPr>
              <w:spacing w:line="360" w:lineRule="auto"/>
              <w:jc w:val="center"/>
              <w:rPr>
                <w:rFonts w:ascii="宋体" w:hAnsi="宋体"/>
                <w:color w:val="auto"/>
                <w:highlight w:val="none"/>
              </w:rPr>
            </w:pPr>
          </w:p>
        </w:tc>
        <w:tc>
          <w:tcPr>
            <w:tcW w:w="1219" w:type="dxa"/>
            <w:tcBorders>
              <w:right w:val="single" w:color="auto" w:sz="4" w:space="0"/>
            </w:tcBorders>
            <w:vAlign w:val="center"/>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710" w:type="dxa"/>
            <w:tcBorders>
              <w:left w:val="single" w:color="auto" w:sz="4" w:space="0"/>
            </w:tcBorders>
            <w:vAlign w:val="center"/>
          </w:tcPr>
          <w:p>
            <w:pPr>
              <w:spacing w:line="360" w:lineRule="auto"/>
              <w:jc w:val="center"/>
              <w:rPr>
                <w:rFonts w:ascii="宋体" w:hAnsi="宋体"/>
                <w:color w:val="auto"/>
                <w:highlight w:val="none"/>
              </w:rPr>
            </w:pPr>
          </w:p>
        </w:tc>
        <w:tc>
          <w:tcPr>
            <w:tcW w:w="1255" w:type="dxa"/>
            <w:vAlign w:val="center"/>
          </w:tcPr>
          <w:p>
            <w:pPr>
              <w:spacing w:line="360" w:lineRule="auto"/>
              <w:jc w:val="center"/>
              <w:rPr>
                <w:rFonts w:ascii="宋体" w:hAnsi="宋体"/>
                <w:color w:val="auto"/>
                <w:highlight w:val="none"/>
              </w:rPr>
            </w:pPr>
          </w:p>
        </w:tc>
        <w:tc>
          <w:tcPr>
            <w:tcW w:w="3828" w:type="dxa"/>
            <w:vAlign w:val="center"/>
          </w:tcPr>
          <w:p>
            <w:pPr>
              <w:spacing w:line="360" w:lineRule="auto"/>
              <w:jc w:val="center"/>
              <w:rPr>
                <w:rFonts w:ascii="宋体" w:hAnsi="宋体"/>
                <w:color w:val="auto"/>
                <w:highlight w:val="none"/>
              </w:rPr>
            </w:pPr>
          </w:p>
        </w:tc>
        <w:tc>
          <w:tcPr>
            <w:tcW w:w="728" w:type="dxa"/>
            <w:vAlign w:val="center"/>
          </w:tcPr>
          <w:p>
            <w:pPr>
              <w:spacing w:line="360" w:lineRule="auto"/>
              <w:jc w:val="center"/>
              <w:rPr>
                <w:rFonts w:ascii="宋体" w:hAnsi="宋体"/>
                <w:bCs/>
                <w:color w:val="auto"/>
                <w:highlight w:val="none"/>
              </w:rPr>
            </w:pPr>
          </w:p>
        </w:tc>
        <w:tc>
          <w:tcPr>
            <w:tcW w:w="709" w:type="dxa"/>
            <w:vAlign w:val="center"/>
          </w:tcPr>
          <w:p>
            <w:pPr>
              <w:spacing w:line="360" w:lineRule="auto"/>
              <w:jc w:val="center"/>
              <w:rPr>
                <w:rFonts w:ascii="宋体" w:hAnsi="宋体"/>
                <w:bCs/>
                <w:color w:val="auto"/>
                <w:highlight w:val="none"/>
              </w:rPr>
            </w:pPr>
          </w:p>
        </w:tc>
        <w:tc>
          <w:tcPr>
            <w:tcW w:w="1262" w:type="dxa"/>
            <w:vAlign w:val="center"/>
          </w:tcPr>
          <w:p>
            <w:pPr>
              <w:spacing w:line="360" w:lineRule="auto"/>
              <w:jc w:val="center"/>
              <w:rPr>
                <w:rFonts w:ascii="宋体" w:hAnsi="宋体"/>
                <w:color w:val="auto"/>
                <w:highlight w:val="none"/>
              </w:rPr>
            </w:pPr>
          </w:p>
        </w:tc>
        <w:tc>
          <w:tcPr>
            <w:tcW w:w="1219" w:type="dxa"/>
            <w:tcBorders>
              <w:right w:val="single" w:color="auto" w:sz="4" w:space="0"/>
            </w:tcBorders>
            <w:vAlign w:val="center"/>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710" w:type="dxa"/>
            <w:tcBorders>
              <w:left w:val="single" w:color="auto" w:sz="4" w:space="0"/>
            </w:tcBorders>
            <w:vAlign w:val="center"/>
          </w:tcPr>
          <w:p>
            <w:pPr>
              <w:spacing w:line="360" w:lineRule="auto"/>
              <w:jc w:val="center"/>
              <w:rPr>
                <w:rFonts w:ascii="宋体" w:hAnsi="宋体"/>
                <w:color w:val="auto"/>
                <w:highlight w:val="none"/>
              </w:rPr>
            </w:pPr>
            <w:r>
              <w:rPr>
                <w:rFonts w:ascii="宋体" w:hAnsi="宋体"/>
                <w:color w:val="auto"/>
                <w:highlight w:val="none"/>
              </w:rPr>
              <w:t>……</w:t>
            </w:r>
          </w:p>
        </w:tc>
        <w:tc>
          <w:tcPr>
            <w:tcW w:w="1255" w:type="dxa"/>
            <w:vAlign w:val="center"/>
          </w:tcPr>
          <w:p>
            <w:pPr>
              <w:spacing w:line="360" w:lineRule="auto"/>
              <w:jc w:val="center"/>
              <w:rPr>
                <w:rFonts w:ascii="宋体" w:hAnsi="宋体"/>
                <w:color w:val="auto"/>
                <w:highlight w:val="none"/>
              </w:rPr>
            </w:pPr>
          </w:p>
        </w:tc>
        <w:tc>
          <w:tcPr>
            <w:tcW w:w="3828" w:type="dxa"/>
            <w:vAlign w:val="center"/>
          </w:tcPr>
          <w:p>
            <w:pPr>
              <w:spacing w:line="360" w:lineRule="auto"/>
              <w:jc w:val="center"/>
              <w:rPr>
                <w:rFonts w:ascii="宋体" w:hAnsi="宋体"/>
                <w:bCs/>
                <w:color w:val="auto"/>
                <w:highlight w:val="none"/>
              </w:rPr>
            </w:pPr>
          </w:p>
        </w:tc>
        <w:tc>
          <w:tcPr>
            <w:tcW w:w="728" w:type="dxa"/>
            <w:vAlign w:val="center"/>
          </w:tcPr>
          <w:p>
            <w:pPr>
              <w:spacing w:line="360" w:lineRule="auto"/>
              <w:jc w:val="center"/>
              <w:rPr>
                <w:rFonts w:ascii="宋体" w:hAnsi="宋体"/>
                <w:bCs/>
                <w:color w:val="auto"/>
                <w:highlight w:val="none"/>
              </w:rPr>
            </w:pPr>
          </w:p>
        </w:tc>
        <w:tc>
          <w:tcPr>
            <w:tcW w:w="709" w:type="dxa"/>
            <w:vAlign w:val="center"/>
          </w:tcPr>
          <w:p>
            <w:pPr>
              <w:spacing w:line="360" w:lineRule="auto"/>
              <w:jc w:val="center"/>
              <w:rPr>
                <w:rFonts w:ascii="宋体" w:hAnsi="宋体"/>
                <w:bCs/>
                <w:color w:val="auto"/>
                <w:highlight w:val="none"/>
              </w:rPr>
            </w:pPr>
          </w:p>
        </w:tc>
        <w:tc>
          <w:tcPr>
            <w:tcW w:w="1262" w:type="dxa"/>
            <w:vAlign w:val="center"/>
          </w:tcPr>
          <w:p>
            <w:pPr>
              <w:spacing w:line="360" w:lineRule="auto"/>
              <w:jc w:val="center"/>
              <w:rPr>
                <w:rFonts w:ascii="宋体" w:hAnsi="宋体"/>
                <w:color w:val="auto"/>
                <w:highlight w:val="none"/>
              </w:rPr>
            </w:pPr>
          </w:p>
        </w:tc>
        <w:tc>
          <w:tcPr>
            <w:tcW w:w="1219" w:type="dxa"/>
            <w:tcBorders>
              <w:right w:val="single" w:color="auto" w:sz="4" w:space="0"/>
            </w:tcBorders>
            <w:vAlign w:val="center"/>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1965" w:type="dxa"/>
            <w:gridSpan w:val="2"/>
            <w:tcBorders>
              <w:left w:val="single" w:color="auto" w:sz="4" w:space="0"/>
            </w:tcBorders>
            <w:vAlign w:val="center"/>
          </w:tcPr>
          <w:p>
            <w:pPr>
              <w:spacing w:line="360" w:lineRule="auto"/>
              <w:jc w:val="center"/>
              <w:rPr>
                <w:rFonts w:ascii="宋体" w:hAnsi="宋体"/>
                <w:color w:val="auto"/>
                <w:highlight w:val="none"/>
              </w:rPr>
            </w:pPr>
            <w:r>
              <w:rPr>
                <w:rFonts w:hint="eastAsia" w:ascii="宋体" w:hAnsi="宋体"/>
                <w:bCs/>
                <w:iCs/>
                <w:color w:val="auto"/>
                <w:highlight w:val="none"/>
              </w:rPr>
              <w:t>合    计</w:t>
            </w:r>
          </w:p>
        </w:tc>
        <w:tc>
          <w:tcPr>
            <w:tcW w:w="3828" w:type="dxa"/>
            <w:tcBorders>
              <w:right w:val="single" w:color="auto" w:sz="4" w:space="0"/>
            </w:tcBorders>
            <w:vAlign w:val="center"/>
          </w:tcPr>
          <w:p>
            <w:pPr>
              <w:spacing w:line="360" w:lineRule="auto"/>
              <w:jc w:val="center"/>
              <w:rPr>
                <w:rFonts w:ascii="宋体" w:hAnsi="宋体"/>
                <w:color w:val="auto"/>
                <w:highlight w:val="none"/>
              </w:rPr>
            </w:pPr>
            <w:r>
              <w:rPr>
                <w:rFonts w:hint="eastAsia" w:ascii="宋体" w:hAnsi="宋体"/>
                <w:bCs/>
                <w:color w:val="auto"/>
                <w:highlight w:val="none"/>
              </w:rPr>
              <w:t>数量合计：</w:t>
            </w:r>
            <w:r>
              <w:rPr>
                <w:rFonts w:hint="eastAsia" w:ascii="宋体" w:hAnsi="宋体"/>
                <w:bCs/>
                <w:color w:val="auto"/>
                <w:highlight w:val="none"/>
                <w:u w:val="single"/>
              </w:rPr>
              <w:t xml:space="preserve">        </w:t>
            </w:r>
            <w:r>
              <w:rPr>
                <w:rFonts w:hint="eastAsia" w:ascii="宋体" w:hAnsi="宋体"/>
                <w:bCs/>
                <w:color w:val="auto"/>
                <w:highlight w:val="none"/>
              </w:rPr>
              <w:t>.</w:t>
            </w:r>
          </w:p>
        </w:tc>
        <w:tc>
          <w:tcPr>
            <w:tcW w:w="3918" w:type="dxa"/>
            <w:gridSpan w:val="4"/>
            <w:tcBorders>
              <w:right w:val="single" w:color="auto" w:sz="4" w:space="0"/>
            </w:tcBorders>
            <w:vAlign w:val="center"/>
          </w:tcPr>
          <w:p>
            <w:pPr>
              <w:spacing w:line="360" w:lineRule="auto"/>
              <w:jc w:val="center"/>
              <w:rPr>
                <w:rFonts w:ascii="宋体" w:hAnsi="宋体"/>
                <w:color w:val="auto"/>
                <w:highlight w:val="none"/>
              </w:rPr>
            </w:pPr>
            <w:r>
              <w:rPr>
                <w:rFonts w:hint="eastAsia" w:ascii="宋体" w:hAnsi="宋体"/>
                <w:bCs/>
                <w:color w:val="auto"/>
                <w:highlight w:val="none"/>
              </w:rPr>
              <w:t>报价合计：</w:t>
            </w:r>
            <w:r>
              <w:rPr>
                <w:rFonts w:hint="eastAsia" w:ascii="宋体" w:hAnsi="宋体"/>
                <w:bCs/>
                <w:color w:val="auto"/>
                <w:highlight w:val="none"/>
                <w:u w:val="single"/>
              </w:rPr>
              <w:t xml:space="preserve">        </w:t>
            </w:r>
            <w:r>
              <w:rPr>
                <w:rFonts w:hint="eastAsia" w:ascii="宋体" w:hAnsi="宋体"/>
                <w:bCs/>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9711" w:type="dxa"/>
            <w:gridSpan w:val="7"/>
            <w:tcBorders>
              <w:left w:val="single" w:color="auto" w:sz="4" w:space="0"/>
              <w:bottom w:val="single" w:color="auto" w:sz="4" w:space="0"/>
              <w:right w:val="single" w:color="auto" w:sz="4" w:space="0"/>
            </w:tcBorders>
            <w:vAlign w:val="center"/>
          </w:tcPr>
          <w:p>
            <w:pPr>
              <w:pStyle w:val="44"/>
              <w:spacing w:line="360" w:lineRule="auto"/>
              <w:rPr>
                <w:rFonts w:ascii="宋体" w:hAnsi="宋体"/>
                <w:color w:val="auto"/>
                <w:szCs w:val="24"/>
                <w:highlight w:val="none"/>
                <w:lang w:val="en-GB"/>
              </w:rPr>
            </w:pPr>
            <w:r>
              <w:rPr>
                <w:rFonts w:hint="eastAsia" w:ascii="宋体" w:hAnsi="宋体"/>
                <w:bCs/>
                <w:color w:val="auto"/>
                <w:szCs w:val="24"/>
                <w:highlight w:val="none"/>
              </w:rPr>
              <w:t>三、总计（</w:t>
            </w:r>
            <w:r>
              <w:rPr>
                <w:rFonts w:ascii="宋体" w:hAnsi="宋体"/>
                <w:bCs/>
                <w:color w:val="auto"/>
                <w:szCs w:val="24"/>
                <w:highlight w:val="none"/>
              </w:rPr>
              <w:t>首次报价</w:t>
            </w:r>
            <w:r>
              <w:rPr>
                <w:rFonts w:hint="eastAsia" w:ascii="宋体" w:hAnsi="宋体"/>
                <w:bCs/>
                <w:color w:val="auto"/>
                <w:szCs w:val="24"/>
                <w:highlight w:val="none"/>
              </w:rPr>
              <w:t>总价）：（大写）人民币</w:t>
            </w:r>
            <w:r>
              <w:rPr>
                <w:rFonts w:hint="eastAsia" w:ascii="宋体" w:hAnsi="宋体"/>
                <w:bCs/>
                <w:color w:val="auto"/>
                <w:szCs w:val="24"/>
                <w:highlight w:val="none"/>
                <w:u w:val="single"/>
              </w:rPr>
              <w:t xml:space="preserve">                      </w:t>
            </w:r>
            <w:r>
              <w:rPr>
                <w:rFonts w:hint="eastAsia" w:ascii="宋体" w:hAnsi="宋体"/>
                <w:bCs/>
                <w:color w:val="auto"/>
                <w:szCs w:val="24"/>
                <w:highlight w:val="none"/>
              </w:rPr>
              <w:t>元（¥</w:t>
            </w:r>
            <w:r>
              <w:rPr>
                <w:rFonts w:hint="eastAsia" w:ascii="宋体" w:hAnsi="宋体"/>
                <w:bCs/>
                <w:color w:val="auto"/>
                <w:szCs w:val="24"/>
                <w:highlight w:val="none"/>
                <w:u w:val="single"/>
              </w:rPr>
              <w:t xml:space="preserve">           </w:t>
            </w:r>
            <w:r>
              <w:rPr>
                <w:rFonts w:hint="eastAsia" w:ascii="宋体" w:hAnsi="宋体"/>
                <w:bCs/>
                <w:color w:val="auto"/>
                <w:szCs w:val="24"/>
                <w:highlight w:val="none"/>
              </w:rPr>
              <w:t>）</w:t>
            </w:r>
          </w:p>
        </w:tc>
      </w:tr>
    </w:tbl>
    <w:p>
      <w:pPr>
        <w:adjustRightInd w:val="0"/>
        <w:spacing w:line="360" w:lineRule="auto"/>
        <w:rPr>
          <w:rFonts w:ascii="宋体" w:hAnsi="宋体"/>
          <w:color w:val="auto"/>
          <w:szCs w:val="21"/>
          <w:highlight w:val="none"/>
        </w:rPr>
      </w:pPr>
    </w:p>
    <w:p>
      <w:pPr>
        <w:adjustRightInd w:val="0"/>
        <w:spacing w:line="360" w:lineRule="auto"/>
        <w:rPr>
          <w:rFonts w:ascii="宋体" w:hAnsi="宋体"/>
          <w:i/>
          <w:iCs/>
          <w:color w:val="auto"/>
          <w:szCs w:val="21"/>
          <w:highlight w:val="none"/>
        </w:rPr>
      </w:pPr>
      <w:r>
        <w:rPr>
          <w:rFonts w:hint="eastAsia" w:ascii="宋体" w:hAnsi="宋体"/>
          <w:i/>
          <w:iCs/>
          <w:color w:val="auto"/>
          <w:szCs w:val="21"/>
          <w:highlight w:val="none"/>
        </w:rPr>
        <w:t>（本格式仅供参考，投标人可根据实际情况自拟）</w:t>
      </w:r>
    </w:p>
    <w:p>
      <w:pPr>
        <w:adjustRightInd w:val="0"/>
        <w:spacing w:line="360" w:lineRule="auto"/>
        <w:rPr>
          <w:rFonts w:ascii="宋体" w:hAnsi="宋体"/>
          <w:color w:val="auto"/>
          <w:szCs w:val="21"/>
          <w:highlight w:val="none"/>
        </w:rPr>
      </w:pPr>
    </w:p>
    <w:p>
      <w:pPr>
        <w:adjustRightInd w:val="0"/>
        <w:snapToGrid w:val="0"/>
        <w:spacing w:line="300" w:lineRule="auto"/>
        <w:rPr>
          <w:rFonts w:ascii="宋体" w:hAnsi="宋体"/>
          <w:color w:val="auto"/>
          <w:szCs w:val="21"/>
          <w:highlight w:val="none"/>
          <w:u w:val="single"/>
        </w:rPr>
      </w:pPr>
      <w:r>
        <w:rPr>
          <w:rFonts w:hint="eastAsia" w:ascii="宋体" w:hAnsi="宋体"/>
          <w:color w:val="auto"/>
          <w:szCs w:val="21"/>
          <w:highlight w:val="none"/>
        </w:rPr>
        <w:t>投标人名称（单位盖公章）：</w:t>
      </w:r>
      <w:r>
        <w:rPr>
          <w:rFonts w:hint="eastAsia" w:ascii="宋体" w:hAnsi="宋体"/>
          <w:color w:val="auto"/>
          <w:szCs w:val="21"/>
          <w:highlight w:val="none"/>
          <w:u w:val="single"/>
        </w:rPr>
        <w:t xml:space="preserve">                        </w:t>
      </w:r>
    </w:p>
    <w:p>
      <w:pPr>
        <w:adjustRightInd w:val="0"/>
        <w:snapToGrid w:val="0"/>
        <w:spacing w:line="30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w:t>
      </w:r>
    </w:p>
    <w:p>
      <w:pPr>
        <w:adjustRightInd w:val="0"/>
        <w:snapToGrid w:val="0"/>
        <w:spacing w:line="300" w:lineRule="auto"/>
        <w:rPr>
          <w:rFonts w:ascii="宋体" w:hAnsi="宋体"/>
          <w:color w:val="auto"/>
          <w:szCs w:val="21"/>
          <w:highlight w:val="none"/>
        </w:rPr>
      </w:pPr>
    </w:p>
    <w:p>
      <w:pPr>
        <w:adjustRightInd w:val="0"/>
        <w:snapToGrid w:val="0"/>
        <w:spacing w:line="300" w:lineRule="auto"/>
        <w:rPr>
          <w:rFonts w:ascii="宋体" w:hAnsi="宋体"/>
          <w:color w:val="auto"/>
          <w:sz w:val="24"/>
          <w:highlight w:val="none"/>
        </w:rPr>
      </w:pPr>
    </w:p>
    <w:p>
      <w:pPr>
        <w:adjustRightInd w:val="0"/>
        <w:snapToGrid w:val="0"/>
        <w:spacing w:line="300" w:lineRule="auto"/>
        <w:rPr>
          <w:rFonts w:ascii="宋体" w:hAnsi="宋体"/>
          <w:color w:val="auto"/>
          <w:sz w:val="24"/>
          <w:highlight w:val="none"/>
        </w:rPr>
      </w:pPr>
    </w:p>
    <w:p>
      <w:pPr>
        <w:adjustRightInd w:val="0"/>
        <w:snapToGrid w:val="0"/>
        <w:spacing w:line="300" w:lineRule="auto"/>
        <w:rPr>
          <w:rFonts w:ascii="宋体" w:hAnsi="宋体"/>
          <w:color w:val="auto"/>
          <w:sz w:val="24"/>
          <w:highlight w:val="none"/>
        </w:rPr>
      </w:pPr>
    </w:p>
    <w:p>
      <w:pPr>
        <w:spacing w:line="360" w:lineRule="auto"/>
        <w:jc w:val="left"/>
        <w:rPr>
          <w:rFonts w:ascii="宋体" w:hAnsi="宋体"/>
          <w:bCs/>
          <w:color w:val="auto"/>
          <w:highlight w:val="none"/>
        </w:rPr>
      </w:pPr>
    </w:p>
    <w:p>
      <w:pPr>
        <w:adjustRightInd w:val="0"/>
        <w:snapToGrid w:val="0"/>
        <w:spacing w:line="300" w:lineRule="auto"/>
        <w:rPr>
          <w:rFonts w:ascii="宋体" w:hAnsi="宋体"/>
          <w:b/>
          <w:bCs/>
          <w:color w:val="auto"/>
          <w:sz w:val="24"/>
          <w:highlight w:val="none"/>
        </w:rPr>
      </w:pPr>
      <w:r>
        <w:rPr>
          <w:rFonts w:hint="eastAsia" w:ascii="宋体" w:hAnsi="宋体"/>
          <w:color w:val="auto"/>
          <w:sz w:val="24"/>
          <w:highlight w:val="none"/>
        </w:rPr>
        <w:br w:type="page"/>
      </w:r>
      <w:r>
        <w:rPr>
          <w:rFonts w:hint="eastAsia" w:ascii="宋体" w:hAnsi="宋体"/>
          <w:b/>
          <w:bCs/>
          <w:color w:val="auto"/>
          <w:sz w:val="24"/>
          <w:highlight w:val="none"/>
        </w:rPr>
        <w:t>5.3 中小企业声明函（如适用）</w:t>
      </w:r>
    </w:p>
    <w:p>
      <w:pPr>
        <w:spacing w:line="360" w:lineRule="auto"/>
        <w:jc w:val="left"/>
        <w:rPr>
          <w:rFonts w:ascii="宋体" w:hAnsi="宋体"/>
          <w:b/>
          <w:bCs/>
          <w:color w:val="auto"/>
          <w:sz w:val="24"/>
          <w:highlight w:val="none"/>
        </w:rPr>
      </w:pP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中小企业声明函（服务）</w:t>
      </w:r>
    </w:p>
    <w:p>
      <w:pPr>
        <w:autoSpaceDE w:val="0"/>
        <w:autoSpaceDN w:val="0"/>
        <w:adjustRightInd w:val="0"/>
        <w:spacing w:line="360" w:lineRule="auto"/>
        <w:ind w:firstLine="420" w:firstLineChars="200"/>
        <w:rPr>
          <w:rFonts w:ascii="宋体" w:hAnsi="宋体" w:cs="仿宋"/>
          <w:color w:val="auto"/>
          <w:kern w:val="0"/>
          <w:szCs w:val="21"/>
          <w:highlight w:val="none"/>
        </w:rPr>
      </w:pPr>
      <w:r>
        <w:rPr>
          <w:rFonts w:hint="eastAsia" w:ascii="宋体" w:hAnsi="宋体" w:cs="仿宋"/>
          <w:color w:val="auto"/>
          <w:kern w:val="0"/>
          <w:szCs w:val="21"/>
          <w:highlight w:val="none"/>
        </w:rPr>
        <w:t>本公司（联合体）郑重声明，根据《政府采购促进中小企业发展管理办法》（财库</w:t>
      </w:r>
      <w:r>
        <w:rPr>
          <w:rFonts w:hint="eastAsia" w:ascii="宋体" w:hAnsi="宋体" w:cs="宋体"/>
          <w:color w:val="auto"/>
          <w:kern w:val="0"/>
          <w:szCs w:val="21"/>
          <w:highlight w:val="none"/>
        </w:rPr>
        <w:t>﹝</w:t>
      </w:r>
      <w:r>
        <w:rPr>
          <w:rFonts w:ascii="宋体" w:hAnsi="宋体" w:cs="仿宋"/>
          <w:color w:val="auto"/>
          <w:kern w:val="0"/>
          <w:szCs w:val="21"/>
          <w:highlight w:val="none"/>
        </w:rPr>
        <w:t>2020</w:t>
      </w:r>
      <w:r>
        <w:rPr>
          <w:rFonts w:hint="eastAsia" w:ascii="宋体" w:hAnsi="宋体" w:cs="宋体"/>
          <w:color w:val="auto"/>
          <w:kern w:val="0"/>
          <w:szCs w:val="21"/>
          <w:highlight w:val="none"/>
        </w:rPr>
        <w:t>﹞</w:t>
      </w:r>
      <w:r>
        <w:rPr>
          <w:rFonts w:ascii="宋体" w:hAnsi="宋体" w:cs="仿宋"/>
          <w:color w:val="auto"/>
          <w:kern w:val="0"/>
          <w:szCs w:val="21"/>
          <w:highlight w:val="none"/>
        </w:rPr>
        <w:t>46</w:t>
      </w:r>
      <w:r>
        <w:rPr>
          <w:rFonts w:hint="eastAsia" w:ascii="宋体" w:hAnsi="宋体" w:cs="仿宋"/>
          <w:color w:val="auto"/>
          <w:kern w:val="0"/>
          <w:szCs w:val="21"/>
          <w:highlight w:val="none"/>
        </w:rPr>
        <w:t>号）的规定，本公司（联合体）参加</w:t>
      </w:r>
      <w:r>
        <w:rPr>
          <w:rFonts w:hint="eastAsia" w:ascii="宋体" w:hAnsi="宋体" w:cs="仿宋"/>
          <w:i/>
          <w:color w:val="auto"/>
          <w:kern w:val="0"/>
          <w:szCs w:val="21"/>
          <w:highlight w:val="none"/>
          <w:u w:val="single"/>
        </w:rPr>
        <w:t>（单位名称）</w:t>
      </w:r>
      <w:r>
        <w:rPr>
          <w:rFonts w:hint="eastAsia" w:ascii="宋体" w:hAnsi="宋体" w:cs="仿宋"/>
          <w:color w:val="auto"/>
          <w:kern w:val="0"/>
          <w:szCs w:val="21"/>
          <w:highlight w:val="none"/>
        </w:rPr>
        <w:t>的</w:t>
      </w:r>
      <w:r>
        <w:rPr>
          <w:rFonts w:hint="eastAsia" w:ascii="宋体" w:hAnsi="宋体" w:cs="仿宋"/>
          <w:i/>
          <w:color w:val="auto"/>
          <w:kern w:val="0"/>
          <w:szCs w:val="21"/>
          <w:highlight w:val="none"/>
          <w:u w:val="single"/>
        </w:rPr>
        <w:t>（项目名称）</w:t>
      </w:r>
      <w:r>
        <w:rPr>
          <w:rFonts w:hint="eastAsia" w:ascii="宋体" w:hAnsi="宋体" w:cs="仿宋"/>
          <w:color w:val="auto"/>
          <w:kern w:val="0"/>
          <w:szCs w:val="21"/>
          <w:highlight w:val="none"/>
        </w:rPr>
        <w:t>采购活动，服务全部由符合政策要求的中小企业承接。相关企业（含联合体中的中小企业、签订分包意向协议的中小企业）的具体情况如下：</w:t>
      </w:r>
    </w:p>
    <w:p>
      <w:pPr>
        <w:autoSpaceDE w:val="0"/>
        <w:autoSpaceDN w:val="0"/>
        <w:adjustRightInd w:val="0"/>
        <w:spacing w:line="360" w:lineRule="auto"/>
        <w:ind w:firstLine="420" w:firstLineChars="200"/>
        <w:rPr>
          <w:rFonts w:ascii="宋体" w:hAnsi="宋体" w:cs="仿宋"/>
          <w:color w:val="auto"/>
          <w:kern w:val="0"/>
          <w:szCs w:val="21"/>
          <w:highlight w:val="none"/>
        </w:rPr>
      </w:pPr>
      <w:r>
        <w:rPr>
          <w:rFonts w:ascii="宋体" w:hAnsi="宋体" w:cs="仿宋"/>
          <w:color w:val="auto"/>
          <w:kern w:val="0"/>
          <w:szCs w:val="21"/>
          <w:highlight w:val="none"/>
        </w:rPr>
        <w:t>1.</w:t>
      </w:r>
      <w:r>
        <w:rPr>
          <w:rFonts w:hint="eastAsia" w:ascii="宋体" w:hAnsi="宋体" w:cs="仿宋"/>
          <w:i/>
          <w:color w:val="auto"/>
          <w:kern w:val="0"/>
          <w:szCs w:val="21"/>
          <w:highlight w:val="none"/>
          <w:u w:val="single"/>
        </w:rPr>
        <w:t>（标的名称）</w:t>
      </w:r>
      <w:r>
        <w:rPr>
          <w:rFonts w:hint="eastAsia" w:ascii="宋体" w:hAnsi="宋体" w:cs="仿宋"/>
          <w:color w:val="auto"/>
          <w:kern w:val="0"/>
          <w:szCs w:val="21"/>
          <w:highlight w:val="none"/>
        </w:rPr>
        <w:t>，属于</w:t>
      </w:r>
      <w:r>
        <w:rPr>
          <w:rFonts w:hint="eastAsia" w:ascii="宋体" w:hAnsi="宋体" w:cs="仿宋"/>
          <w:i/>
          <w:color w:val="auto"/>
          <w:kern w:val="0"/>
          <w:szCs w:val="21"/>
          <w:highlight w:val="none"/>
          <w:u w:val="single"/>
        </w:rPr>
        <w:t>（采购文件中明确的所属行业）</w:t>
      </w:r>
      <w:r>
        <w:rPr>
          <w:rFonts w:hint="eastAsia" w:ascii="宋体" w:hAnsi="宋体" w:cs="仿宋"/>
          <w:color w:val="auto"/>
          <w:kern w:val="0"/>
          <w:szCs w:val="21"/>
          <w:highlight w:val="none"/>
        </w:rPr>
        <w:t>；承接企业为</w:t>
      </w:r>
      <w:r>
        <w:rPr>
          <w:rFonts w:hint="eastAsia" w:ascii="宋体" w:hAnsi="宋体" w:cs="仿宋"/>
          <w:i/>
          <w:color w:val="auto"/>
          <w:kern w:val="0"/>
          <w:szCs w:val="21"/>
          <w:highlight w:val="none"/>
          <w:u w:val="single"/>
        </w:rPr>
        <w:t>（企业名称）</w:t>
      </w:r>
      <w:r>
        <w:rPr>
          <w:rFonts w:hint="eastAsia" w:ascii="宋体" w:hAnsi="宋体" w:cs="仿宋"/>
          <w:color w:val="auto"/>
          <w:kern w:val="0"/>
          <w:szCs w:val="21"/>
          <w:highlight w:val="none"/>
        </w:rPr>
        <w:t>，从业人员</w:t>
      </w:r>
      <w:r>
        <w:rPr>
          <w:rFonts w:hint="eastAsia" w:ascii="宋体" w:hAnsi="宋体" w:cs="仿宋"/>
          <w:color w:val="auto"/>
          <w:kern w:val="0"/>
          <w:szCs w:val="21"/>
          <w:highlight w:val="none"/>
          <w:u w:val="single"/>
        </w:rPr>
        <w:t xml:space="preserve">     </w:t>
      </w:r>
      <w:r>
        <w:rPr>
          <w:rFonts w:hint="eastAsia" w:ascii="宋体" w:hAnsi="宋体" w:cs="仿宋"/>
          <w:color w:val="auto"/>
          <w:kern w:val="0"/>
          <w:szCs w:val="21"/>
          <w:highlight w:val="none"/>
        </w:rPr>
        <w:t>人，营业收入为</w:t>
      </w:r>
      <w:r>
        <w:rPr>
          <w:rFonts w:hint="eastAsia" w:ascii="宋体" w:hAnsi="宋体" w:cs="仿宋"/>
          <w:color w:val="auto"/>
          <w:kern w:val="0"/>
          <w:szCs w:val="21"/>
          <w:highlight w:val="none"/>
          <w:u w:val="single"/>
        </w:rPr>
        <w:t xml:space="preserve">     </w:t>
      </w:r>
      <w:r>
        <w:rPr>
          <w:rFonts w:hint="eastAsia" w:ascii="宋体" w:hAnsi="宋体" w:cs="仿宋"/>
          <w:color w:val="auto"/>
          <w:kern w:val="0"/>
          <w:szCs w:val="21"/>
          <w:highlight w:val="none"/>
        </w:rPr>
        <w:t>万元，资产总额为</w:t>
      </w:r>
      <w:r>
        <w:rPr>
          <w:rFonts w:hint="eastAsia" w:ascii="宋体" w:hAnsi="宋体" w:cs="仿宋"/>
          <w:color w:val="auto"/>
          <w:kern w:val="0"/>
          <w:szCs w:val="21"/>
          <w:highlight w:val="none"/>
          <w:u w:val="single"/>
        </w:rPr>
        <w:t xml:space="preserve">     </w:t>
      </w:r>
      <w:r>
        <w:rPr>
          <w:rFonts w:hint="eastAsia" w:ascii="宋体" w:hAnsi="宋体" w:cs="仿宋"/>
          <w:color w:val="auto"/>
          <w:kern w:val="0"/>
          <w:szCs w:val="21"/>
          <w:highlight w:val="none"/>
        </w:rPr>
        <w:t>万元，属于</w:t>
      </w:r>
      <w:r>
        <w:rPr>
          <w:rFonts w:hint="eastAsia" w:ascii="宋体" w:hAnsi="宋体" w:cs="仿宋"/>
          <w:i/>
          <w:color w:val="auto"/>
          <w:kern w:val="0"/>
          <w:szCs w:val="21"/>
          <w:highlight w:val="none"/>
          <w:u w:val="single"/>
        </w:rPr>
        <w:t>（中型企业、小型企业、微型企业）</w:t>
      </w:r>
      <w:r>
        <w:rPr>
          <w:rFonts w:hint="eastAsia" w:ascii="宋体" w:hAnsi="宋体" w:cs="仿宋"/>
          <w:color w:val="auto"/>
          <w:kern w:val="0"/>
          <w:szCs w:val="21"/>
          <w:highlight w:val="none"/>
        </w:rPr>
        <w:t>；</w:t>
      </w:r>
    </w:p>
    <w:p>
      <w:pPr>
        <w:autoSpaceDE w:val="0"/>
        <w:autoSpaceDN w:val="0"/>
        <w:adjustRightInd w:val="0"/>
        <w:spacing w:line="360" w:lineRule="auto"/>
        <w:ind w:firstLine="420" w:firstLineChars="200"/>
        <w:rPr>
          <w:rFonts w:ascii="宋体" w:hAnsi="宋体" w:cs="仿宋"/>
          <w:color w:val="auto"/>
          <w:kern w:val="0"/>
          <w:szCs w:val="21"/>
          <w:highlight w:val="none"/>
        </w:rPr>
      </w:pPr>
      <w:r>
        <w:rPr>
          <w:rFonts w:ascii="宋体" w:hAnsi="宋体" w:cs="仿宋"/>
          <w:color w:val="auto"/>
          <w:kern w:val="0"/>
          <w:szCs w:val="21"/>
          <w:highlight w:val="none"/>
        </w:rPr>
        <w:t>2.</w:t>
      </w:r>
      <w:r>
        <w:rPr>
          <w:rFonts w:hint="eastAsia" w:ascii="宋体" w:hAnsi="宋体" w:cs="仿宋"/>
          <w:i/>
          <w:color w:val="auto"/>
          <w:kern w:val="0"/>
          <w:szCs w:val="21"/>
          <w:highlight w:val="none"/>
          <w:u w:val="single"/>
        </w:rPr>
        <w:t>（标的名称）</w:t>
      </w:r>
      <w:r>
        <w:rPr>
          <w:rFonts w:hint="eastAsia" w:ascii="宋体" w:hAnsi="宋体" w:cs="仿宋"/>
          <w:color w:val="auto"/>
          <w:kern w:val="0"/>
          <w:szCs w:val="21"/>
          <w:highlight w:val="none"/>
        </w:rPr>
        <w:t>，属于</w:t>
      </w:r>
      <w:r>
        <w:rPr>
          <w:rFonts w:hint="eastAsia" w:ascii="宋体" w:hAnsi="宋体" w:cs="仿宋"/>
          <w:i/>
          <w:color w:val="auto"/>
          <w:kern w:val="0"/>
          <w:szCs w:val="21"/>
          <w:highlight w:val="none"/>
          <w:u w:val="single"/>
        </w:rPr>
        <w:t>（采购文件中明确的所属行业）</w:t>
      </w:r>
      <w:r>
        <w:rPr>
          <w:rFonts w:hint="eastAsia" w:ascii="宋体" w:hAnsi="宋体" w:cs="仿宋"/>
          <w:color w:val="auto"/>
          <w:kern w:val="0"/>
          <w:szCs w:val="21"/>
          <w:highlight w:val="none"/>
        </w:rPr>
        <w:t>；承接企业为</w:t>
      </w:r>
      <w:r>
        <w:rPr>
          <w:rFonts w:hint="eastAsia" w:ascii="宋体" w:hAnsi="宋体" w:cs="仿宋"/>
          <w:i/>
          <w:color w:val="auto"/>
          <w:kern w:val="0"/>
          <w:szCs w:val="21"/>
          <w:highlight w:val="none"/>
          <w:u w:val="single"/>
        </w:rPr>
        <w:t>（企业名称）</w:t>
      </w:r>
      <w:r>
        <w:rPr>
          <w:rFonts w:hint="eastAsia" w:ascii="宋体" w:hAnsi="宋体" w:cs="仿宋"/>
          <w:color w:val="auto"/>
          <w:kern w:val="0"/>
          <w:szCs w:val="21"/>
          <w:highlight w:val="none"/>
        </w:rPr>
        <w:t>，从业人员</w:t>
      </w:r>
      <w:r>
        <w:rPr>
          <w:rFonts w:hint="eastAsia" w:ascii="宋体" w:hAnsi="宋体" w:cs="仿宋"/>
          <w:color w:val="auto"/>
          <w:kern w:val="0"/>
          <w:szCs w:val="21"/>
          <w:highlight w:val="none"/>
          <w:u w:val="single"/>
        </w:rPr>
        <w:t xml:space="preserve">     </w:t>
      </w:r>
      <w:r>
        <w:rPr>
          <w:rFonts w:hint="eastAsia" w:ascii="宋体" w:hAnsi="宋体" w:cs="仿宋"/>
          <w:color w:val="auto"/>
          <w:kern w:val="0"/>
          <w:szCs w:val="21"/>
          <w:highlight w:val="none"/>
        </w:rPr>
        <w:t>人，营业收入为</w:t>
      </w:r>
      <w:r>
        <w:rPr>
          <w:rFonts w:hint="eastAsia" w:ascii="宋体" w:hAnsi="宋体" w:cs="仿宋"/>
          <w:color w:val="auto"/>
          <w:kern w:val="0"/>
          <w:szCs w:val="21"/>
          <w:highlight w:val="none"/>
          <w:u w:val="single"/>
        </w:rPr>
        <w:t xml:space="preserve">     </w:t>
      </w:r>
      <w:r>
        <w:rPr>
          <w:rFonts w:hint="eastAsia" w:ascii="宋体" w:hAnsi="宋体" w:cs="仿宋"/>
          <w:color w:val="auto"/>
          <w:kern w:val="0"/>
          <w:szCs w:val="21"/>
          <w:highlight w:val="none"/>
        </w:rPr>
        <w:t>万元，资产总额为</w:t>
      </w:r>
      <w:r>
        <w:rPr>
          <w:rFonts w:hint="eastAsia" w:ascii="宋体" w:hAnsi="宋体" w:cs="仿宋"/>
          <w:color w:val="auto"/>
          <w:kern w:val="0"/>
          <w:szCs w:val="21"/>
          <w:highlight w:val="none"/>
          <w:u w:val="single"/>
        </w:rPr>
        <w:t xml:space="preserve">     </w:t>
      </w:r>
      <w:r>
        <w:rPr>
          <w:rFonts w:hint="eastAsia" w:ascii="宋体" w:hAnsi="宋体" w:cs="仿宋"/>
          <w:color w:val="auto"/>
          <w:kern w:val="0"/>
          <w:szCs w:val="21"/>
          <w:highlight w:val="none"/>
        </w:rPr>
        <w:t>万元，属于</w:t>
      </w:r>
      <w:r>
        <w:rPr>
          <w:rFonts w:hint="eastAsia" w:ascii="宋体" w:hAnsi="宋体" w:cs="仿宋"/>
          <w:i/>
          <w:color w:val="auto"/>
          <w:kern w:val="0"/>
          <w:szCs w:val="21"/>
          <w:highlight w:val="none"/>
          <w:u w:val="single"/>
        </w:rPr>
        <w:t>（中型企业、小型企业、微型企业）</w:t>
      </w:r>
      <w:r>
        <w:rPr>
          <w:rFonts w:hint="eastAsia" w:ascii="宋体" w:hAnsi="宋体" w:cs="仿宋"/>
          <w:color w:val="auto"/>
          <w:kern w:val="0"/>
          <w:szCs w:val="21"/>
          <w:highlight w:val="none"/>
        </w:rPr>
        <w:t>；</w:t>
      </w:r>
    </w:p>
    <w:p>
      <w:pPr>
        <w:autoSpaceDE w:val="0"/>
        <w:autoSpaceDN w:val="0"/>
        <w:adjustRightInd w:val="0"/>
        <w:spacing w:line="360" w:lineRule="auto"/>
        <w:ind w:firstLine="420" w:firstLineChars="200"/>
        <w:rPr>
          <w:rFonts w:ascii="宋体" w:hAnsi="宋体" w:cs="仿宋"/>
          <w:color w:val="auto"/>
          <w:kern w:val="0"/>
          <w:szCs w:val="21"/>
          <w:highlight w:val="none"/>
        </w:rPr>
      </w:pPr>
      <w:r>
        <w:rPr>
          <w:rFonts w:hint="eastAsia" w:ascii="宋体" w:hAnsi="宋体" w:cs="仿宋"/>
          <w:color w:val="auto"/>
          <w:kern w:val="0"/>
          <w:szCs w:val="21"/>
          <w:highlight w:val="none"/>
        </w:rPr>
        <w:t>……</w:t>
      </w:r>
    </w:p>
    <w:p>
      <w:pPr>
        <w:autoSpaceDE w:val="0"/>
        <w:autoSpaceDN w:val="0"/>
        <w:adjustRightInd w:val="0"/>
        <w:spacing w:line="360" w:lineRule="auto"/>
        <w:ind w:firstLine="420" w:firstLineChars="200"/>
        <w:rPr>
          <w:rFonts w:ascii="宋体" w:hAnsi="宋体" w:cs="仿宋"/>
          <w:color w:val="auto"/>
          <w:kern w:val="0"/>
          <w:szCs w:val="21"/>
          <w:highlight w:val="none"/>
        </w:rPr>
      </w:pPr>
      <w:r>
        <w:rPr>
          <w:rFonts w:hint="eastAsia" w:ascii="宋体" w:hAnsi="宋体" w:cs="仿宋"/>
          <w:color w:val="auto"/>
          <w:kern w:val="0"/>
          <w:szCs w:val="21"/>
          <w:highlight w:val="none"/>
        </w:rPr>
        <w:t>以上企业，不属于大企业的分支机构，不存在控股股东为大企业的情形，也不存在与大企业的负责人为同一人的情形。</w:t>
      </w:r>
    </w:p>
    <w:p>
      <w:pPr>
        <w:autoSpaceDE w:val="0"/>
        <w:autoSpaceDN w:val="0"/>
        <w:adjustRightInd w:val="0"/>
        <w:spacing w:line="360" w:lineRule="auto"/>
        <w:ind w:firstLine="420" w:firstLineChars="200"/>
        <w:rPr>
          <w:rFonts w:ascii="宋体" w:hAnsi="宋体" w:cs="仿宋"/>
          <w:color w:val="auto"/>
          <w:kern w:val="0"/>
          <w:szCs w:val="21"/>
          <w:highlight w:val="none"/>
        </w:rPr>
      </w:pPr>
      <w:r>
        <w:rPr>
          <w:rFonts w:hint="eastAsia" w:ascii="宋体" w:hAnsi="宋体" w:cs="仿宋"/>
          <w:color w:val="auto"/>
          <w:kern w:val="0"/>
          <w:szCs w:val="21"/>
          <w:highlight w:val="none"/>
        </w:rPr>
        <w:t>本企业对上述声明内容的真实性负责。如有虚假，将依法承担相应责任。</w:t>
      </w:r>
    </w:p>
    <w:p>
      <w:pPr>
        <w:autoSpaceDE w:val="0"/>
        <w:autoSpaceDN w:val="0"/>
        <w:adjustRightInd w:val="0"/>
        <w:spacing w:line="360" w:lineRule="auto"/>
        <w:ind w:firstLine="3570" w:firstLineChars="1700"/>
        <w:rPr>
          <w:rFonts w:ascii="宋体" w:hAnsi="宋体" w:cs="仿宋"/>
          <w:color w:val="auto"/>
          <w:kern w:val="0"/>
          <w:szCs w:val="21"/>
          <w:highlight w:val="none"/>
        </w:rPr>
      </w:pPr>
      <w:r>
        <w:rPr>
          <w:rFonts w:hint="eastAsia" w:ascii="宋体" w:hAnsi="宋体" w:cs="仿宋"/>
          <w:color w:val="auto"/>
          <w:kern w:val="0"/>
          <w:szCs w:val="21"/>
          <w:highlight w:val="none"/>
        </w:rPr>
        <w:t>企业名称（盖章）：</w:t>
      </w:r>
      <w:r>
        <w:rPr>
          <w:rFonts w:hint="eastAsia" w:ascii="宋体" w:hAnsi="宋体" w:cs="仿宋"/>
          <w:i/>
          <w:color w:val="auto"/>
          <w:kern w:val="0"/>
          <w:szCs w:val="21"/>
          <w:highlight w:val="none"/>
          <w:u w:val="single"/>
        </w:rPr>
        <w:t>（报价供应商）</w:t>
      </w:r>
      <w:r>
        <w:rPr>
          <w:rFonts w:hint="eastAsia" w:ascii="宋体" w:hAnsi="宋体" w:cs="仿宋"/>
          <w:color w:val="auto"/>
          <w:kern w:val="0"/>
          <w:szCs w:val="21"/>
          <w:highlight w:val="none"/>
        </w:rPr>
        <w:t xml:space="preserve"> </w:t>
      </w:r>
    </w:p>
    <w:p>
      <w:pPr>
        <w:autoSpaceDE w:val="0"/>
        <w:autoSpaceDN w:val="0"/>
        <w:adjustRightInd w:val="0"/>
        <w:spacing w:line="360" w:lineRule="auto"/>
        <w:ind w:firstLine="3570" w:firstLineChars="1700"/>
        <w:rPr>
          <w:rFonts w:ascii="宋体" w:hAnsi="宋体" w:cs="仿宋"/>
          <w:color w:val="auto"/>
          <w:kern w:val="0"/>
          <w:szCs w:val="21"/>
          <w:highlight w:val="none"/>
        </w:rPr>
      </w:pPr>
      <w:r>
        <w:rPr>
          <w:rFonts w:hint="eastAsia" w:ascii="宋体" w:hAnsi="宋体" w:cs="仿宋"/>
          <w:color w:val="auto"/>
          <w:kern w:val="0"/>
          <w:szCs w:val="21"/>
          <w:highlight w:val="none"/>
        </w:rPr>
        <w:t>日期：</w:t>
      </w:r>
    </w:p>
    <w:p>
      <w:pPr>
        <w:autoSpaceDE w:val="0"/>
        <w:autoSpaceDN w:val="0"/>
        <w:adjustRightInd w:val="0"/>
        <w:spacing w:line="360" w:lineRule="auto"/>
        <w:ind w:left="420" w:hanging="420" w:hangingChars="200"/>
        <w:rPr>
          <w:rFonts w:ascii="宋体" w:hAnsi="宋体" w:cs="宋体"/>
          <w:color w:val="auto"/>
          <w:kern w:val="0"/>
          <w:szCs w:val="21"/>
          <w:highlight w:val="none"/>
        </w:rPr>
      </w:pPr>
      <w:r>
        <w:rPr>
          <w:rFonts w:hint="eastAsia" w:ascii="宋体" w:hAnsi="宋体" w:cs="宋体"/>
          <w:color w:val="auto"/>
          <w:kern w:val="0"/>
          <w:szCs w:val="21"/>
          <w:highlight w:val="none"/>
        </w:rPr>
        <w:t>备注：</w:t>
      </w:r>
    </w:p>
    <w:p>
      <w:pPr>
        <w:autoSpaceDE w:val="0"/>
        <w:autoSpaceDN w:val="0"/>
        <w:adjustRightInd w:val="0"/>
        <w:spacing w:line="360" w:lineRule="auto"/>
        <w:ind w:left="420" w:hanging="420" w:hangingChars="200"/>
        <w:rPr>
          <w:rFonts w:ascii="宋体" w:hAnsi="宋体" w:cs="宋体"/>
          <w:color w:val="auto"/>
          <w:kern w:val="0"/>
          <w:szCs w:val="21"/>
          <w:highlight w:val="none"/>
        </w:rPr>
      </w:pPr>
      <w:r>
        <w:rPr>
          <w:rFonts w:hint="eastAsia" w:ascii="宋体" w:hAnsi="宋体" w:cs="宋体"/>
          <w:color w:val="auto"/>
          <w:kern w:val="0"/>
          <w:szCs w:val="21"/>
          <w:highlight w:val="none"/>
        </w:rPr>
        <w:t>1.  从业人员、营业收入、资产总额填报上一年度数据，无上一年度数据的新成立企业可不填报。</w:t>
      </w:r>
    </w:p>
    <w:p>
      <w:pPr>
        <w:autoSpaceDE w:val="0"/>
        <w:autoSpaceDN w:val="0"/>
        <w:adjustRightInd w:val="0"/>
        <w:spacing w:line="360" w:lineRule="auto"/>
        <w:ind w:left="420" w:hanging="420" w:hangingChars="200"/>
        <w:rPr>
          <w:rFonts w:ascii="宋体" w:hAnsi="宋体" w:cs="宋体"/>
          <w:color w:val="auto"/>
          <w:kern w:val="0"/>
          <w:szCs w:val="21"/>
          <w:highlight w:val="none"/>
        </w:rPr>
      </w:pPr>
      <w:r>
        <w:rPr>
          <w:rFonts w:hint="eastAsia" w:ascii="宋体" w:hAnsi="宋体" w:cs="宋体"/>
          <w:color w:val="auto"/>
          <w:kern w:val="0"/>
          <w:szCs w:val="21"/>
          <w:highlight w:val="none"/>
        </w:rPr>
        <w:t>2. 《中小企业声明函》由参加本项目（采购包）政府采购活动的报价供应商出具。声明函的企业名称为报价供应商的名称，以联合体形式报价的，企业名称可表述为“成员1全称、成员2全称、……、成员……全称联合体”，并由《联合协议》约定的方式加盖公章及签署；以合同分包形式报价的，企业名称可表述为“报价供应商全称”，并由报价供应商加盖公章及签署。</w:t>
      </w:r>
    </w:p>
    <w:p>
      <w:pPr>
        <w:autoSpaceDE w:val="0"/>
        <w:autoSpaceDN w:val="0"/>
        <w:adjustRightInd w:val="0"/>
        <w:spacing w:line="360" w:lineRule="auto"/>
        <w:ind w:left="420" w:hanging="420" w:hangingChars="200"/>
        <w:rPr>
          <w:rFonts w:ascii="宋体" w:hAnsi="宋体" w:cs="宋体"/>
          <w:color w:val="auto"/>
          <w:kern w:val="0"/>
          <w:szCs w:val="21"/>
          <w:highlight w:val="none"/>
        </w:rPr>
      </w:pPr>
      <w:r>
        <w:rPr>
          <w:rFonts w:hint="eastAsia" w:ascii="宋体" w:hAnsi="宋体" w:cs="宋体"/>
          <w:color w:val="auto"/>
          <w:kern w:val="0"/>
          <w:szCs w:val="21"/>
          <w:highlight w:val="none"/>
        </w:rPr>
        <w:t>3.  要求以联合体形式（或合同分包形式）参加政府采购活动的，《中小企业声明函》中需填写联合体中的中小企业或签订分包意向协议的中小企业相关信息。对于联合体中由中小企业承担的部分，或者分包给中小企业的部分，必须全部由中小企业制造（货物类项目）【/承建（工程类项目）或者承接（服务类项目）】。供应商应当在声明函“（标的名称）”处标明联合体中中小企业承担的具体内容或者中小企业的具体分包内容。</w:t>
      </w:r>
    </w:p>
    <w:p>
      <w:pPr>
        <w:autoSpaceDE w:val="0"/>
        <w:autoSpaceDN w:val="0"/>
        <w:adjustRightInd w:val="0"/>
        <w:spacing w:line="360" w:lineRule="auto"/>
        <w:ind w:left="420" w:hanging="420" w:hangingChars="200"/>
        <w:rPr>
          <w:rFonts w:ascii="宋体" w:hAnsi="宋体" w:cs="宋体"/>
          <w:color w:val="auto"/>
          <w:kern w:val="0"/>
          <w:szCs w:val="21"/>
          <w:highlight w:val="none"/>
        </w:rPr>
      </w:pPr>
      <w:r>
        <w:rPr>
          <w:rFonts w:hint="eastAsia" w:ascii="宋体" w:hAnsi="宋体" w:cs="宋体"/>
          <w:color w:val="auto"/>
          <w:kern w:val="0"/>
          <w:szCs w:val="21"/>
          <w:highlight w:val="none"/>
        </w:rPr>
        <w:t>4.  新成立企业应参照国务院批准的中小企业划分标准，根据企业自身情况如实判断。认为该企业属于中小企业的，可按照《政府采购促进中小企业发展管理办法》（财库﹝</w:t>
      </w:r>
      <w:r>
        <w:rPr>
          <w:rFonts w:ascii="宋体" w:hAnsi="宋体" w:cs="宋体"/>
          <w:color w:val="auto"/>
          <w:kern w:val="0"/>
          <w:szCs w:val="21"/>
          <w:highlight w:val="none"/>
        </w:rPr>
        <w:t>2020</w:t>
      </w:r>
      <w:r>
        <w:rPr>
          <w:rFonts w:hint="eastAsia" w:ascii="宋体" w:hAnsi="宋体" w:cs="宋体"/>
          <w:color w:val="auto"/>
          <w:kern w:val="0"/>
          <w:szCs w:val="21"/>
          <w:highlight w:val="none"/>
        </w:rPr>
        <w:t>﹞</w:t>
      </w:r>
      <w:r>
        <w:rPr>
          <w:rFonts w:ascii="宋体" w:hAnsi="宋体" w:cs="宋体"/>
          <w:color w:val="auto"/>
          <w:kern w:val="0"/>
          <w:szCs w:val="21"/>
          <w:highlight w:val="none"/>
        </w:rPr>
        <w:t xml:space="preserve">46 </w:t>
      </w:r>
      <w:r>
        <w:rPr>
          <w:rFonts w:hint="eastAsia" w:ascii="宋体" w:hAnsi="宋体" w:cs="宋体"/>
          <w:color w:val="auto"/>
          <w:kern w:val="0"/>
          <w:szCs w:val="21"/>
          <w:highlight w:val="none"/>
        </w:rPr>
        <w:t>号）的规定出具《中小企业声明函》，享受相关扶持政策。</w:t>
      </w:r>
    </w:p>
    <w:p>
      <w:pPr>
        <w:autoSpaceDE w:val="0"/>
        <w:autoSpaceDN w:val="0"/>
        <w:adjustRightInd w:val="0"/>
        <w:spacing w:line="360" w:lineRule="auto"/>
        <w:ind w:left="420" w:hanging="420" w:hangingChars="200"/>
        <w:rPr>
          <w:rFonts w:ascii="宋体" w:hAnsi="宋体" w:cs="宋体"/>
          <w:color w:val="auto"/>
          <w:kern w:val="0"/>
          <w:szCs w:val="21"/>
          <w:highlight w:val="none"/>
        </w:rPr>
      </w:pPr>
      <w:r>
        <w:rPr>
          <w:rFonts w:hint="eastAsia" w:ascii="宋体" w:hAnsi="宋体" w:cs="宋体"/>
          <w:color w:val="auto"/>
          <w:kern w:val="0"/>
          <w:szCs w:val="21"/>
          <w:highlight w:val="none"/>
        </w:rPr>
        <w:t>5.  报价供应商应当对其出具的《中小企业声明函》真实性负责，报价供应商出具的《中小企业声明函》内容不实的，属于提供虚假材料谋取中标（成交）。报价供应商提供其他小微企业制造的货物（货物类项目）【/承建的工程（工程类项目）或者承接的服务（服务类项目）】，希望获得《办法》规定政策支持的，应从相关其他小微企业处获得充分、准确的信息，确保出具的《中小企业声明函》真实、准确。</w:t>
      </w:r>
    </w:p>
    <w:p>
      <w:pPr>
        <w:autoSpaceDE w:val="0"/>
        <w:autoSpaceDN w:val="0"/>
        <w:adjustRightInd w:val="0"/>
        <w:spacing w:line="360" w:lineRule="auto"/>
        <w:ind w:left="420" w:hanging="420" w:hangingChars="200"/>
        <w:rPr>
          <w:rFonts w:ascii="宋体" w:hAnsi="宋体"/>
          <w:b/>
          <w:color w:val="auto"/>
          <w:spacing w:val="6"/>
          <w:szCs w:val="21"/>
          <w:highlight w:val="none"/>
        </w:rPr>
      </w:pPr>
      <w:r>
        <w:rPr>
          <w:rFonts w:hint="eastAsia" w:ascii="宋体" w:hAnsi="宋体"/>
          <w:color w:val="auto"/>
          <w:szCs w:val="21"/>
          <w:highlight w:val="none"/>
        </w:rPr>
        <w:t>6.  说明：供应商应当认真填写声明函，若有虚假将追究其责任。供应商可通过“</w:t>
      </w:r>
      <w:r>
        <w:rPr>
          <w:rFonts w:hint="eastAsia" w:ascii="宋体" w:hAnsi="宋体" w:cs="宋体"/>
          <w:color w:val="auto"/>
          <w:kern w:val="0"/>
          <w:szCs w:val="21"/>
          <w:highlight w:val="none"/>
        </w:rPr>
        <w:t>国家企业信用信息公示系统</w:t>
      </w:r>
      <w:r>
        <w:rPr>
          <w:rFonts w:hint="eastAsia" w:ascii="宋体" w:hAnsi="宋体"/>
          <w:color w:val="auto"/>
          <w:szCs w:val="21"/>
          <w:highlight w:val="none"/>
        </w:rPr>
        <w:t>”（http://www.gsxt.gov.cn/index.html），点击“小微企业名录”（http://xwqy.gsxt.gov.cn/）进行搜索、查询，自行核实是否属于小微企业。</w:t>
      </w:r>
    </w:p>
    <w:p>
      <w:pPr>
        <w:ind w:firstLine="504" w:firstLineChars="200"/>
        <w:rPr>
          <w:rFonts w:ascii="宋体" w:hAnsi="宋体"/>
          <w:color w:val="auto"/>
          <w:spacing w:val="6"/>
          <w:sz w:val="24"/>
          <w:highlight w:val="none"/>
        </w:rPr>
      </w:pPr>
    </w:p>
    <w:p>
      <w:pPr>
        <w:spacing w:line="360" w:lineRule="auto"/>
        <w:jc w:val="left"/>
        <w:rPr>
          <w:rFonts w:ascii="宋体" w:hAnsi="宋体"/>
          <w:bCs/>
          <w:color w:val="auto"/>
          <w:highlight w:val="none"/>
        </w:rPr>
      </w:pPr>
      <w:r>
        <w:rPr>
          <w:rFonts w:hint="eastAsia" w:ascii="宋体" w:hAnsi="宋体" w:cs="宋体"/>
          <w:color w:val="auto"/>
          <w:szCs w:val="21"/>
          <w:highlight w:val="none"/>
        </w:rPr>
        <w:t>　　</w:t>
      </w:r>
    </w:p>
    <w:p>
      <w:pPr>
        <w:rPr>
          <w:rFonts w:ascii="宋体" w:hAnsi="宋体"/>
          <w:b/>
          <w:bCs/>
          <w:color w:val="auto"/>
          <w:sz w:val="16"/>
          <w:szCs w:val="16"/>
          <w:highlight w:val="none"/>
        </w:rPr>
      </w:pPr>
      <w:r>
        <w:rPr>
          <w:rFonts w:ascii="宋体" w:hAnsi="宋体"/>
          <w:b/>
          <w:bCs/>
          <w:color w:val="auto"/>
          <w:sz w:val="16"/>
          <w:szCs w:val="16"/>
          <w:highlight w:val="none"/>
        </w:rPr>
        <w:t>--</w:t>
      </w:r>
      <w:r>
        <w:rPr>
          <w:rFonts w:hint="eastAsia" w:ascii="宋体" w:hAnsi="宋体"/>
          <w:b/>
          <w:bCs/>
          <w:color w:val="auto"/>
          <w:sz w:val="16"/>
          <w:szCs w:val="16"/>
          <w:highlight w:val="none"/>
        </w:rPr>
        <w:t>备注</w:t>
      </w:r>
      <w:r>
        <w:rPr>
          <w:rFonts w:ascii="宋体" w:hAnsi="宋体"/>
          <w:b/>
          <w:bCs/>
          <w:color w:val="auto"/>
          <w:sz w:val="16"/>
          <w:szCs w:val="16"/>
          <w:highlight w:val="none"/>
        </w:rPr>
        <w:t>--</w:t>
      </w:r>
    </w:p>
    <w:p>
      <w:pPr>
        <w:pBdr>
          <w:top w:val="single" w:color="auto" w:sz="4" w:space="1"/>
          <w:left w:val="single" w:color="auto" w:sz="4" w:space="4"/>
          <w:bottom w:val="single" w:color="auto" w:sz="4" w:space="1"/>
          <w:right w:val="single" w:color="auto" w:sz="4" w:space="4"/>
        </w:pBdr>
        <w:tabs>
          <w:tab w:val="left" w:pos="6120"/>
        </w:tabs>
        <w:rPr>
          <w:rFonts w:ascii="宋体" w:hAnsi="宋体" w:cs="Arial"/>
          <w:i/>
          <w:color w:val="auto"/>
          <w:sz w:val="16"/>
          <w:szCs w:val="16"/>
          <w:highlight w:val="none"/>
        </w:rPr>
      </w:pPr>
      <w:r>
        <w:rPr>
          <w:rFonts w:hint="eastAsia" w:ascii="宋体" w:hAnsi="宋体" w:cs="Arial"/>
          <w:i/>
          <w:color w:val="auto"/>
          <w:sz w:val="16"/>
          <w:szCs w:val="16"/>
          <w:highlight w:val="none"/>
        </w:rPr>
        <w:t>1.《第六部分 投标文件格式》所有斜体字仅用于指导投标人编制投标文件，投标人应在最终提交的投标文件中将其删除；</w:t>
      </w:r>
    </w:p>
    <w:p>
      <w:pPr>
        <w:pBdr>
          <w:top w:val="single" w:color="auto" w:sz="4" w:space="1"/>
          <w:left w:val="single" w:color="auto" w:sz="4" w:space="4"/>
          <w:bottom w:val="single" w:color="auto" w:sz="4" w:space="1"/>
          <w:right w:val="single" w:color="auto" w:sz="4" w:space="4"/>
        </w:pBdr>
        <w:tabs>
          <w:tab w:val="left" w:pos="6120"/>
        </w:tabs>
        <w:rPr>
          <w:rFonts w:ascii="宋体" w:hAnsi="宋体" w:cs="Arial"/>
          <w:i/>
          <w:color w:val="auto"/>
          <w:sz w:val="16"/>
          <w:szCs w:val="16"/>
          <w:highlight w:val="none"/>
        </w:rPr>
      </w:pPr>
      <w:r>
        <w:rPr>
          <w:rFonts w:hint="eastAsia" w:ascii="宋体" w:hAnsi="宋体" w:cs="Arial"/>
          <w:i/>
          <w:color w:val="auto"/>
          <w:sz w:val="16"/>
          <w:szCs w:val="16"/>
          <w:highlight w:val="none"/>
        </w:rPr>
        <w:t>2.从业人员、营业收入、资产总额填报上一年度数据，无上一年度数据的新成立企业可不填报。</w:t>
      </w:r>
    </w:p>
    <w:p>
      <w:pPr>
        <w:spacing w:line="300" w:lineRule="auto"/>
        <w:rPr>
          <w:rFonts w:ascii="宋体" w:hAnsi="宋体"/>
          <w:b/>
          <w:color w:val="auto"/>
          <w:szCs w:val="21"/>
          <w:highlight w:val="none"/>
        </w:rPr>
      </w:pPr>
    </w:p>
    <w:p>
      <w:pPr>
        <w:spacing w:line="300" w:lineRule="auto"/>
        <w:rPr>
          <w:rFonts w:ascii="宋体" w:hAnsi="宋体"/>
          <w:b/>
          <w:color w:val="auto"/>
          <w:szCs w:val="21"/>
          <w:highlight w:val="none"/>
        </w:rPr>
      </w:pPr>
    </w:p>
    <w:p>
      <w:pPr>
        <w:spacing w:line="360" w:lineRule="auto"/>
        <w:jc w:val="left"/>
        <w:rPr>
          <w:rFonts w:ascii="宋体" w:hAnsi="宋体"/>
          <w:b/>
          <w:bCs/>
          <w:color w:val="auto"/>
          <w:sz w:val="24"/>
          <w:highlight w:val="none"/>
        </w:rPr>
      </w:pPr>
    </w:p>
    <w:p>
      <w:pPr>
        <w:spacing w:line="360" w:lineRule="auto"/>
        <w:jc w:val="left"/>
        <w:rPr>
          <w:rFonts w:ascii="宋体" w:hAnsi="宋体"/>
          <w:bCs/>
          <w:color w:val="auto"/>
          <w:highlight w:val="none"/>
        </w:rPr>
      </w:pPr>
      <w:r>
        <w:rPr>
          <w:rFonts w:hint="eastAsia" w:ascii="宋体" w:hAnsi="宋体" w:cs="宋体"/>
          <w:color w:val="auto"/>
          <w:szCs w:val="21"/>
          <w:highlight w:val="none"/>
        </w:rPr>
        <w:t>　　</w:t>
      </w:r>
    </w:p>
    <w:p>
      <w:pPr>
        <w:spacing w:line="360" w:lineRule="auto"/>
        <w:jc w:val="left"/>
        <w:rPr>
          <w:rFonts w:ascii="宋体" w:hAnsi="宋体"/>
          <w:b/>
          <w:bCs/>
          <w:color w:val="auto"/>
          <w:sz w:val="24"/>
          <w:highlight w:val="none"/>
        </w:rPr>
      </w:pPr>
      <w:r>
        <w:rPr>
          <w:rFonts w:hint="eastAsia" w:ascii="宋体" w:hAnsi="宋体"/>
          <w:b/>
          <w:bCs/>
          <w:color w:val="auto"/>
          <w:sz w:val="24"/>
          <w:highlight w:val="none"/>
        </w:rPr>
        <w:br w:type="page"/>
      </w:r>
      <w:r>
        <w:rPr>
          <w:rFonts w:hint="eastAsia" w:ascii="宋体" w:hAnsi="宋体"/>
          <w:b/>
          <w:bCs/>
          <w:color w:val="auto"/>
          <w:sz w:val="24"/>
          <w:highlight w:val="none"/>
        </w:rPr>
        <w:t>5.4 监狱企业的证明文件（如适用）</w:t>
      </w:r>
    </w:p>
    <w:p>
      <w:pPr>
        <w:spacing w:line="360" w:lineRule="auto"/>
        <w:jc w:val="left"/>
        <w:rPr>
          <w:rFonts w:ascii="宋体" w:hAnsi="宋体"/>
          <w:b/>
          <w:bCs/>
          <w:color w:val="auto"/>
          <w:sz w:val="24"/>
          <w:highlight w:val="none"/>
        </w:rPr>
      </w:pPr>
    </w:p>
    <w:p>
      <w:pPr>
        <w:adjustRightInd w:val="0"/>
        <w:snapToGrid w:val="0"/>
        <w:spacing w:beforeLines="50" w:line="360" w:lineRule="auto"/>
        <w:jc w:val="center"/>
        <w:rPr>
          <w:rFonts w:ascii="宋体" w:hAnsi="宋体" w:cs="Arial"/>
          <w:b/>
          <w:color w:val="auto"/>
          <w:sz w:val="28"/>
          <w:szCs w:val="28"/>
          <w:highlight w:val="none"/>
        </w:rPr>
      </w:pPr>
      <w:r>
        <w:rPr>
          <w:rFonts w:hint="eastAsia" w:ascii="宋体" w:hAnsi="宋体" w:cs="Arial"/>
          <w:b/>
          <w:color w:val="auto"/>
          <w:sz w:val="28"/>
          <w:szCs w:val="28"/>
          <w:highlight w:val="none"/>
        </w:rPr>
        <w:t>监狱企业的证明文件</w:t>
      </w:r>
    </w:p>
    <w:p>
      <w:pPr>
        <w:rPr>
          <w:rFonts w:ascii="宋体" w:hAnsi="宋体"/>
          <w:color w:val="auto"/>
          <w:highlight w:val="none"/>
        </w:rPr>
      </w:pPr>
    </w:p>
    <w:p>
      <w:pPr>
        <w:spacing w:line="440" w:lineRule="exact"/>
        <w:ind w:firstLine="308" w:firstLineChars="147"/>
        <w:rPr>
          <w:rFonts w:ascii="宋体" w:hAnsi="宋体"/>
          <w:color w:val="auto"/>
          <w:highlight w:val="none"/>
        </w:rPr>
      </w:pPr>
      <w:r>
        <w:rPr>
          <w:rFonts w:hint="eastAsia" w:ascii="宋体" w:hAnsi="宋体"/>
          <w:color w:val="auto"/>
          <w:highlight w:val="none"/>
        </w:rPr>
        <w:t>说明：监狱企业参加政府采购活动时，应当提供由省级以上监狱管理局、戒毒管理局（含新疆生产建设兵团）出具的属于监狱企业的证明文件复印件，并加盖投标单位公章。</w:t>
      </w:r>
    </w:p>
    <w:p>
      <w:pPr>
        <w:spacing w:line="440" w:lineRule="exact"/>
        <w:ind w:firstLine="310" w:firstLineChars="147"/>
        <w:rPr>
          <w:rFonts w:ascii="宋体" w:hAnsi="宋体"/>
          <w:b/>
          <w:color w:val="auto"/>
          <w:highlight w:val="none"/>
        </w:rPr>
      </w:pPr>
    </w:p>
    <w:p>
      <w:pPr>
        <w:spacing w:line="440" w:lineRule="exact"/>
        <w:ind w:firstLine="310" w:firstLineChars="147"/>
        <w:rPr>
          <w:rFonts w:ascii="宋体" w:hAnsi="宋体"/>
          <w:b/>
          <w:color w:val="auto"/>
          <w:highlight w:val="none"/>
        </w:rPr>
      </w:pPr>
    </w:p>
    <w:p>
      <w:pPr>
        <w:spacing w:line="440" w:lineRule="exact"/>
        <w:ind w:firstLine="310" w:firstLineChars="147"/>
        <w:rPr>
          <w:rFonts w:ascii="宋体" w:hAnsi="宋体"/>
          <w:b/>
          <w:color w:val="auto"/>
          <w:highlight w:val="none"/>
        </w:rPr>
      </w:pPr>
    </w:p>
    <w:p>
      <w:pPr>
        <w:spacing w:line="360" w:lineRule="auto"/>
        <w:jc w:val="left"/>
        <w:rPr>
          <w:rFonts w:ascii="宋体" w:hAnsi="宋体"/>
          <w:b/>
          <w:bCs/>
          <w:color w:val="auto"/>
          <w:sz w:val="24"/>
          <w:highlight w:val="none"/>
        </w:rPr>
      </w:pPr>
    </w:p>
    <w:p>
      <w:pPr>
        <w:spacing w:line="360" w:lineRule="auto"/>
        <w:jc w:val="left"/>
        <w:rPr>
          <w:rFonts w:ascii="宋体" w:hAnsi="宋体"/>
          <w:b/>
          <w:bCs/>
          <w:color w:val="auto"/>
          <w:sz w:val="24"/>
          <w:highlight w:val="none"/>
        </w:rPr>
      </w:pPr>
    </w:p>
    <w:p>
      <w:pPr>
        <w:spacing w:line="360" w:lineRule="auto"/>
        <w:jc w:val="left"/>
        <w:rPr>
          <w:rFonts w:ascii="宋体" w:hAnsi="宋体"/>
          <w:b/>
          <w:bCs/>
          <w:color w:val="auto"/>
          <w:sz w:val="24"/>
          <w:highlight w:val="none"/>
        </w:rPr>
      </w:pPr>
    </w:p>
    <w:p>
      <w:pPr>
        <w:spacing w:line="360" w:lineRule="auto"/>
        <w:jc w:val="left"/>
        <w:rPr>
          <w:rFonts w:ascii="宋体" w:hAnsi="宋体"/>
          <w:b/>
          <w:bCs/>
          <w:color w:val="auto"/>
          <w:sz w:val="24"/>
          <w:highlight w:val="none"/>
        </w:rPr>
      </w:pPr>
    </w:p>
    <w:p>
      <w:pPr>
        <w:spacing w:line="360" w:lineRule="auto"/>
        <w:jc w:val="left"/>
        <w:rPr>
          <w:rFonts w:ascii="宋体" w:hAnsi="宋体"/>
          <w:b/>
          <w:bCs/>
          <w:color w:val="auto"/>
          <w:sz w:val="24"/>
          <w:highlight w:val="none"/>
        </w:rPr>
      </w:pPr>
    </w:p>
    <w:p>
      <w:pPr>
        <w:spacing w:line="360" w:lineRule="auto"/>
        <w:jc w:val="left"/>
        <w:rPr>
          <w:rFonts w:ascii="宋体" w:hAnsi="宋体"/>
          <w:b/>
          <w:bCs/>
          <w:color w:val="auto"/>
          <w:sz w:val="24"/>
          <w:highlight w:val="none"/>
        </w:rPr>
      </w:pPr>
      <w:r>
        <w:rPr>
          <w:rFonts w:hint="eastAsia" w:ascii="宋体" w:hAnsi="宋体"/>
          <w:b/>
          <w:bCs/>
          <w:color w:val="auto"/>
          <w:sz w:val="24"/>
          <w:highlight w:val="none"/>
        </w:rPr>
        <w:t>5.5 残疾人福利性单位声明函（如适用）</w:t>
      </w:r>
    </w:p>
    <w:p>
      <w:pPr>
        <w:spacing w:line="360" w:lineRule="auto"/>
        <w:jc w:val="left"/>
        <w:rPr>
          <w:rFonts w:ascii="宋体" w:hAnsi="宋体"/>
          <w:b/>
          <w:bCs/>
          <w:color w:val="auto"/>
          <w:sz w:val="24"/>
          <w:highlight w:val="none"/>
        </w:rPr>
      </w:pPr>
    </w:p>
    <w:p>
      <w:pPr>
        <w:adjustRightInd w:val="0"/>
        <w:snapToGrid w:val="0"/>
        <w:spacing w:beforeLines="50" w:line="360" w:lineRule="auto"/>
        <w:jc w:val="center"/>
        <w:rPr>
          <w:rFonts w:ascii="宋体" w:hAnsi="宋体" w:cs="Arial"/>
          <w:b/>
          <w:color w:val="auto"/>
          <w:sz w:val="28"/>
          <w:szCs w:val="28"/>
          <w:highlight w:val="none"/>
        </w:rPr>
      </w:pPr>
      <w:r>
        <w:rPr>
          <w:rFonts w:hint="eastAsia" w:ascii="宋体" w:hAnsi="宋体" w:cs="Arial"/>
          <w:b/>
          <w:color w:val="auto"/>
          <w:sz w:val="28"/>
          <w:szCs w:val="28"/>
          <w:highlight w:val="none"/>
        </w:rPr>
        <w:t>残疾人福利性单位声明函</w:t>
      </w:r>
    </w:p>
    <w:p>
      <w:pPr>
        <w:rPr>
          <w:rFonts w:ascii="宋体" w:hAnsi="宋体"/>
          <w:color w:val="auto"/>
          <w:highlight w:val="none"/>
        </w:rPr>
      </w:pPr>
    </w:p>
    <w:p>
      <w:pPr>
        <w:adjustRightInd w:val="0"/>
        <w:snapToGrid w:val="0"/>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本单位郑重声明，根据《财政部 民政部 中国残疾人联合会关于促进残疾人就业政府采购政策的通知》（财库</w:t>
      </w:r>
      <w:r>
        <w:rPr>
          <w:rFonts w:hint="eastAsia" w:ascii="宋体" w:hAnsi="宋体"/>
          <w:color w:val="auto"/>
          <w:szCs w:val="21"/>
          <w:highlight w:val="none"/>
        </w:rPr>
        <w:t>〔2017〕 141</w:t>
      </w:r>
      <w:r>
        <w:rPr>
          <w:rFonts w:hint="eastAsia" w:ascii="宋体" w:hAnsi="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本单位对上述声明的真实性负责。如有虚假，将依法承担相应责任。</w:t>
      </w:r>
    </w:p>
    <w:p>
      <w:pPr>
        <w:adjustRightInd w:val="0"/>
        <w:snapToGrid w:val="0"/>
        <w:spacing w:line="360" w:lineRule="auto"/>
        <w:ind w:firstLine="444" w:firstLineChars="200"/>
        <w:rPr>
          <w:rFonts w:ascii="宋体" w:hAnsi="宋体"/>
          <w:color w:val="auto"/>
          <w:spacing w:val="6"/>
          <w:szCs w:val="21"/>
          <w:highlight w:val="none"/>
        </w:rPr>
      </w:pPr>
    </w:p>
    <w:p>
      <w:pPr>
        <w:adjustRightInd w:val="0"/>
        <w:snapToGrid w:val="0"/>
        <w:spacing w:line="360" w:lineRule="auto"/>
        <w:ind w:firstLine="444" w:firstLineChars="200"/>
        <w:rPr>
          <w:rFonts w:ascii="宋体" w:hAnsi="宋体"/>
          <w:color w:val="auto"/>
          <w:spacing w:val="6"/>
          <w:szCs w:val="21"/>
          <w:highlight w:val="none"/>
        </w:rPr>
      </w:pPr>
    </w:p>
    <w:p>
      <w:pPr>
        <w:adjustRightInd w:val="0"/>
        <w:snapToGrid w:val="0"/>
        <w:spacing w:line="300" w:lineRule="auto"/>
        <w:rPr>
          <w:rFonts w:ascii="宋体" w:hAnsi="宋体"/>
          <w:color w:val="auto"/>
          <w:szCs w:val="21"/>
          <w:highlight w:val="none"/>
          <w:u w:val="single"/>
        </w:rPr>
      </w:pPr>
      <w:r>
        <w:rPr>
          <w:rFonts w:hint="eastAsia" w:ascii="宋体" w:hAnsi="宋体"/>
          <w:color w:val="auto"/>
          <w:szCs w:val="21"/>
          <w:highlight w:val="none"/>
        </w:rPr>
        <w:t>投标人名称（单位盖公章）：</w:t>
      </w:r>
      <w:r>
        <w:rPr>
          <w:rFonts w:hint="eastAsia" w:ascii="宋体" w:hAnsi="宋体"/>
          <w:color w:val="auto"/>
          <w:szCs w:val="21"/>
          <w:highlight w:val="none"/>
          <w:u w:val="single"/>
        </w:rPr>
        <w:t xml:space="preserve">                        </w:t>
      </w:r>
    </w:p>
    <w:p>
      <w:pPr>
        <w:adjustRightInd w:val="0"/>
        <w:snapToGrid w:val="0"/>
        <w:spacing w:line="30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w:t>
      </w:r>
    </w:p>
    <w:p>
      <w:pPr>
        <w:pStyle w:val="6"/>
        <w:tabs>
          <w:tab w:val="left" w:pos="945"/>
        </w:tabs>
        <w:spacing w:before="0" w:after="0" w:line="360" w:lineRule="auto"/>
        <w:rPr>
          <w:rFonts w:ascii="宋体" w:hAnsi="宋体" w:eastAsia="宋体"/>
          <w:color w:val="auto"/>
          <w:sz w:val="24"/>
          <w:szCs w:val="24"/>
          <w:highlight w:val="none"/>
        </w:rPr>
      </w:pPr>
      <w:r>
        <w:rPr>
          <w:rFonts w:ascii="宋体" w:hAnsi="宋体" w:eastAsia="宋体"/>
          <w:b w:val="0"/>
          <w:bCs w:val="0"/>
          <w:color w:val="auto"/>
          <w:sz w:val="21"/>
          <w:szCs w:val="21"/>
          <w:highlight w:val="none"/>
        </w:rPr>
        <w:br w:type="page"/>
      </w:r>
      <w:bookmarkStart w:id="48" w:name="_Toc368513838"/>
      <w:bookmarkStart w:id="49" w:name="_Toc3812199"/>
      <w:bookmarkStart w:id="50" w:name="_Toc7627"/>
    </w:p>
    <w:p>
      <w:pPr>
        <w:pStyle w:val="4"/>
        <w:keepNext w:val="0"/>
        <w:keepLines w:val="0"/>
        <w:widowControl/>
        <w:spacing w:before="188" w:after="188" w:line="40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5.7招标代理服务费承诺书</w:t>
      </w:r>
      <w:bookmarkEnd w:id="48"/>
      <w:bookmarkEnd w:id="49"/>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致：</w:t>
      </w:r>
      <w:r>
        <w:rPr>
          <w:rFonts w:hint="eastAsia" w:ascii="宋体" w:hAnsi="宋体"/>
          <w:b/>
          <w:color w:val="auto"/>
          <w:szCs w:val="21"/>
          <w:highlight w:val="none"/>
        </w:rPr>
        <w:t>广东广招招标采购有限公司：</w:t>
      </w:r>
    </w:p>
    <w:p>
      <w:pPr>
        <w:spacing w:line="360" w:lineRule="auto"/>
        <w:rPr>
          <w:rFonts w:ascii="宋体" w:hAnsi="宋体"/>
          <w:color w:val="auto"/>
          <w:szCs w:val="21"/>
          <w:highlight w:val="none"/>
        </w:rPr>
      </w:pPr>
      <w:r>
        <w:rPr>
          <w:rFonts w:hint="eastAsia" w:ascii="宋体" w:hAnsi="宋体"/>
          <w:color w:val="auto"/>
          <w:szCs w:val="21"/>
          <w:highlight w:val="none"/>
        </w:rPr>
        <w:t xml:space="preserve">    如果我方在贵公司组织的</w:t>
      </w:r>
      <w:r>
        <w:rPr>
          <w:rFonts w:ascii="宋体" w:hAnsi="宋体"/>
          <w:color w:val="auto"/>
          <w:szCs w:val="21"/>
          <w:highlight w:val="none"/>
          <w:u w:val="single"/>
        </w:rPr>
        <w:t xml:space="preserve">     </w:t>
      </w:r>
      <w:r>
        <w:rPr>
          <w:rFonts w:hint="eastAsia" w:ascii="宋体" w:hAnsi="宋体"/>
          <w:color w:val="auto"/>
          <w:szCs w:val="21"/>
          <w:highlight w:val="none"/>
          <w:u w:val="single"/>
        </w:rPr>
        <w:t>（项目名称）</w:t>
      </w:r>
      <w:r>
        <w:rPr>
          <w:rFonts w:ascii="宋体" w:hAnsi="宋体"/>
          <w:color w:val="auto"/>
          <w:szCs w:val="21"/>
          <w:highlight w:val="none"/>
          <w:u w:val="single"/>
        </w:rPr>
        <w:t xml:space="preserve">             </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）招标中获中标，我方保证在收取《中标通知书》后，按招标文件规定向贵公司交纳招标代理服务费。</w:t>
      </w:r>
    </w:p>
    <w:p>
      <w:pPr>
        <w:spacing w:line="360" w:lineRule="auto"/>
        <w:ind w:firstLine="420"/>
        <w:rPr>
          <w:rFonts w:ascii="宋体" w:hAnsi="宋体"/>
          <w:color w:val="auto"/>
          <w:szCs w:val="21"/>
          <w:highlight w:val="none"/>
        </w:rPr>
      </w:pPr>
      <w:r>
        <w:rPr>
          <w:rFonts w:hint="eastAsia" w:ascii="宋体" w:hAnsi="宋体"/>
          <w:color w:val="auto"/>
          <w:szCs w:val="21"/>
          <w:highlight w:val="none"/>
        </w:rPr>
        <w:t>我方如违约，愿凭贵公司开出的违约通知，同意按招标代理服务费的200％接受处罚，从我方提交的投标保证金中支付；以银行保函（或《政府采购投标担保函》）方式提交投标保证金时，同意和要求投标保函开立银行（或开立《政府采购投标担保函》的担保机构）应广东广招招标采购有限公司的要求办理支付手续；不足部分由甲方在支付我方的中标合同款中代为扣付，并愿承担全部由此引起的法律责任。</w:t>
      </w:r>
    </w:p>
    <w:p>
      <w:pPr>
        <w:spacing w:line="360" w:lineRule="auto"/>
        <w:ind w:firstLine="405"/>
        <w:rPr>
          <w:rFonts w:ascii="宋体" w:hAnsi="宋体"/>
          <w:color w:val="auto"/>
          <w:szCs w:val="21"/>
          <w:highlight w:val="none"/>
        </w:rPr>
      </w:pPr>
      <w:r>
        <w:rPr>
          <w:rFonts w:hint="eastAsia" w:ascii="宋体" w:hAnsi="宋体"/>
          <w:color w:val="auto"/>
          <w:szCs w:val="21"/>
          <w:highlight w:val="none"/>
        </w:rPr>
        <w:t>特此承诺！</w:t>
      </w:r>
    </w:p>
    <w:p>
      <w:pPr>
        <w:spacing w:line="360" w:lineRule="auto"/>
        <w:ind w:firstLine="405"/>
        <w:rPr>
          <w:rFonts w:ascii="宋体" w:hAnsi="宋体"/>
          <w:color w:val="auto"/>
          <w:szCs w:val="21"/>
          <w:highlight w:val="none"/>
        </w:rPr>
      </w:pPr>
    </w:p>
    <w:p>
      <w:pPr>
        <w:spacing w:line="360" w:lineRule="auto"/>
        <w:ind w:firstLine="405"/>
        <w:rPr>
          <w:rFonts w:ascii="宋体" w:hAnsi="宋体"/>
          <w:color w:val="auto"/>
          <w:szCs w:val="21"/>
          <w:highlight w:val="none"/>
        </w:rPr>
      </w:pPr>
    </w:p>
    <w:p>
      <w:pPr>
        <w:spacing w:line="360" w:lineRule="auto"/>
        <w:ind w:left="4712" w:leftChars="2244"/>
        <w:jc w:val="left"/>
        <w:rPr>
          <w:rFonts w:ascii="宋体" w:hAnsi="宋体"/>
          <w:color w:val="auto"/>
          <w:szCs w:val="21"/>
          <w:highlight w:val="none"/>
        </w:rPr>
      </w:pPr>
      <w:r>
        <w:rPr>
          <w:rFonts w:hint="eastAsia" w:ascii="宋体" w:hAnsi="宋体"/>
          <w:color w:val="auto"/>
          <w:szCs w:val="21"/>
          <w:highlight w:val="none"/>
        </w:rPr>
        <w:t>投标人法定名称（公章）：</w:t>
      </w:r>
    </w:p>
    <w:p>
      <w:pPr>
        <w:spacing w:line="360" w:lineRule="auto"/>
        <w:ind w:left="4712" w:leftChars="2244"/>
        <w:jc w:val="left"/>
        <w:rPr>
          <w:rFonts w:ascii="宋体" w:hAnsi="宋体"/>
          <w:color w:val="auto"/>
          <w:szCs w:val="21"/>
          <w:highlight w:val="none"/>
        </w:rPr>
      </w:pPr>
    </w:p>
    <w:p>
      <w:pPr>
        <w:spacing w:line="360" w:lineRule="auto"/>
        <w:ind w:left="4712" w:leftChars="2244"/>
        <w:jc w:val="left"/>
        <w:rPr>
          <w:rFonts w:ascii="宋体" w:hAnsi="宋体"/>
          <w:color w:val="auto"/>
          <w:szCs w:val="21"/>
          <w:highlight w:val="none"/>
        </w:rPr>
      </w:pPr>
      <w:r>
        <w:rPr>
          <w:rFonts w:hint="eastAsia" w:ascii="宋体" w:hAnsi="宋体"/>
          <w:color w:val="auto"/>
          <w:szCs w:val="21"/>
          <w:highlight w:val="none"/>
        </w:rPr>
        <w:t>投标人法定地址：</w:t>
      </w:r>
    </w:p>
    <w:p>
      <w:pPr>
        <w:spacing w:line="360" w:lineRule="auto"/>
        <w:ind w:left="4712" w:leftChars="2244" w:right="420"/>
        <w:jc w:val="left"/>
        <w:rPr>
          <w:rFonts w:ascii="宋体" w:hAnsi="宋体"/>
          <w:color w:val="auto"/>
          <w:szCs w:val="21"/>
          <w:highlight w:val="none"/>
        </w:rPr>
      </w:pPr>
    </w:p>
    <w:p>
      <w:pPr>
        <w:spacing w:line="360" w:lineRule="auto"/>
        <w:ind w:left="4712" w:leftChars="2244" w:right="420"/>
        <w:jc w:val="left"/>
        <w:rPr>
          <w:rFonts w:ascii="宋体" w:hAnsi="宋体"/>
          <w:color w:val="auto"/>
          <w:szCs w:val="21"/>
          <w:highlight w:val="none"/>
        </w:rPr>
      </w:pPr>
      <w:r>
        <w:rPr>
          <w:rFonts w:hint="eastAsia" w:ascii="宋体" w:hAnsi="宋体"/>
          <w:color w:val="auto"/>
          <w:szCs w:val="21"/>
          <w:highlight w:val="none"/>
        </w:rPr>
        <w:t>投标人授权代表（签字或印鉴）：</w:t>
      </w:r>
    </w:p>
    <w:p>
      <w:pPr>
        <w:spacing w:line="360" w:lineRule="auto"/>
        <w:ind w:left="4712" w:leftChars="2244"/>
        <w:jc w:val="left"/>
        <w:rPr>
          <w:rFonts w:ascii="宋体" w:hAnsi="宋体"/>
          <w:color w:val="auto"/>
          <w:szCs w:val="21"/>
          <w:highlight w:val="none"/>
        </w:rPr>
      </w:pPr>
    </w:p>
    <w:p>
      <w:pPr>
        <w:spacing w:line="360" w:lineRule="auto"/>
        <w:ind w:left="4712" w:leftChars="2244"/>
        <w:jc w:val="left"/>
        <w:rPr>
          <w:rFonts w:ascii="宋体" w:hAnsi="宋体"/>
          <w:color w:val="auto"/>
          <w:szCs w:val="21"/>
          <w:highlight w:val="none"/>
        </w:rPr>
      </w:pPr>
      <w:r>
        <w:rPr>
          <w:rFonts w:hint="eastAsia" w:ascii="宋体" w:hAnsi="宋体"/>
          <w:color w:val="auto"/>
          <w:szCs w:val="21"/>
          <w:highlight w:val="none"/>
        </w:rPr>
        <w:t>电    话：</w:t>
      </w:r>
    </w:p>
    <w:p>
      <w:pPr>
        <w:spacing w:line="360" w:lineRule="auto"/>
        <w:ind w:left="4712" w:leftChars="2244"/>
        <w:jc w:val="left"/>
        <w:rPr>
          <w:rFonts w:ascii="宋体" w:hAnsi="宋体"/>
          <w:color w:val="auto"/>
          <w:szCs w:val="21"/>
          <w:highlight w:val="none"/>
        </w:rPr>
      </w:pPr>
    </w:p>
    <w:p>
      <w:pPr>
        <w:spacing w:line="360" w:lineRule="auto"/>
        <w:ind w:left="4712" w:leftChars="2244"/>
        <w:jc w:val="left"/>
        <w:rPr>
          <w:rFonts w:ascii="宋体" w:hAnsi="宋体"/>
          <w:color w:val="auto"/>
          <w:szCs w:val="21"/>
          <w:highlight w:val="none"/>
        </w:rPr>
      </w:pPr>
      <w:r>
        <w:rPr>
          <w:rFonts w:hint="eastAsia" w:ascii="宋体" w:hAnsi="宋体"/>
          <w:color w:val="auto"/>
          <w:szCs w:val="21"/>
          <w:highlight w:val="none"/>
        </w:rPr>
        <w:t>传    真：</w:t>
      </w:r>
    </w:p>
    <w:p>
      <w:pPr>
        <w:spacing w:line="360" w:lineRule="auto"/>
        <w:ind w:left="4712" w:leftChars="2244"/>
        <w:jc w:val="left"/>
        <w:rPr>
          <w:rFonts w:ascii="宋体" w:hAnsi="宋体"/>
          <w:color w:val="auto"/>
          <w:szCs w:val="21"/>
          <w:highlight w:val="none"/>
        </w:rPr>
      </w:pPr>
    </w:p>
    <w:p>
      <w:pPr>
        <w:spacing w:line="360" w:lineRule="auto"/>
        <w:ind w:left="4712" w:leftChars="2244"/>
        <w:jc w:val="left"/>
        <w:rPr>
          <w:rFonts w:ascii="宋体" w:hAnsi="宋体"/>
          <w:color w:val="auto"/>
          <w:szCs w:val="21"/>
          <w:highlight w:val="none"/>
        </w:rPr>
      </w:pPr>
      <w:r>
        <w:rPr>
          <w:rFonts w:hint="eastAsia" w:ascii="宋体" w:hAnsi="宋体"/>
          <w:color w:val="auto"/>
          <w:szCs w:val="21"/>
          <w:highlight w:val="none"/>
        </w:rPr>
        <w:t>承诺日期：</w:t>
      </w:r>
    </w:p>
    <w:p>
      <w:pPr>
        <w:spacing w:line="400" w:lineRule="exact"/>
        <w:ind w:left="315" w:leftChars="150"/>
        <w:rPr>
          <w:rFonts w:ascii="宋体" w:hAnsi="宋体"/>
          <w:color w:val="auto"/>
          <w:szCs w:val="21"/>
          <w:highlight w:val="none"/>
        </w:rPr>
      </w:pPr>
    </w:p>
    <w:p>
      <w:pPr>
        <w:pStyle w:val="4"/>
        <w:keepNext w:val="0"/>
        <w:keepLines w:val="0"/>
        <w:widowControl/>
        <w:spacing w:before="188" w:after="188" w:line="400" w:lineRule="exact"/>
        <w:rPr>
          <w:rFonts w:ascii="宋体" w:hAnsi="宋体" w:eastAsia="宋体"/>
          <w:color w:val="auto"/>
          <w:sz w:val="28"/>
          <w:szCs w:val="28"/>
          <w:highlight w:val="none"/>
        </w:rPr>
      </w:pPr>
    </w:p>
    <w:p>
      <w:pPr>
        <w:pStyle w:val="4"/>
        <w:spacing w:before="100" w:beforeAutospacing="1" w:after="100" w:afterAutospacing="1" w:line="240" w:lineRule="auto"/>
        <w:jc w:val="center"/>
        <w:rPr>
          <w:rFonts w:ascii="宋体" w:hAnsi="宋体" w:eastAsia="宋体"/>
          <w:color w:val="auto"/>
          <w:sz w:val="28"/>
          <w:szCs w:val="28"/>
          <w:highlight w:val="none"/>
        </w:rPr>
      </w:pPr>
      <w:r>
        <w:rPr>
          <w:rFonts w:ascii="宋体" w:hAnsi="宋体" w:eastAsia="宋体"/>
          <w:color w:val="auto"/>
          <w:sz w:val="28"/>
          <w:szCs w:val="28"/>
          <w:highlight w:val="none"/>
        </w:rPr>
        <w:br w:type="page"/>
      </w:r>
      <w:r>
        <w:rPr>
          <w:rFonts w:hint="eastAsia" w:ascii="宋体" w:hAnsi="宋体" w:eastAsia="宋体"/>
          <w:color w:val="auto"/>
          <w:sz w:val="28"/>
          <w:szCs w:val="28"/>
          <w:highlight w:val="none"/>
        </w:rPr>
        <w:t>六、唱标信封</w:t>
      </w:r>
      <w:bookmarkEnd w:id="50"/>
    </w:p>
    <w:p>
      <w:pPr>
        <w:spacing w:line="480" w:lineRule="auto"/>
        <w:rPr>
          <w:rFonts w:ascii="宋体" w:hAnsi="宋体"/>
          <w:color w:val="auto"/>
          <w:highlight w:val="none"/>
        </w:rPr>
      </w:pPr>
      <w:r>
        <w:rPr>
          <w:rFonts w:hint="eastAsia" w:ascii="宋体" w:hAnsi="宋体"/>
          <w:color w:val="auto"/>
          <w:highlight w:val="none"/>
        </w:rPr>
        <w:t>唱标信封单独封装，包含以下材料：</w:t>
      </w:r>
    </w:p>
    <w:p>
      <w:pPr>
        <w:spacing w:line="480" w:lineRule="auto"/>
        <w:rPr>
          <w:rFonts w:ascii="宋体" w:hAnsi="宋体"/>
          <w:color w:val="auto"/>
          <w:sz w:val="22"/>
          <w:szCs w:val="28"/>
          <w:highlight w:val="none"/>
        </w:rPr>
      </w:pPr>
      <w:r>
        <w:rPr>
          <w:rFonts w:hint="eastAsia" w:ascii="宋体" w:hAnsi="宋体"/>
          <w:color w:val="auto"/>
          <w:sz w:val="22"/>
          <w:szCs w:val="28"/>
          <w:highlight w:val="none"/>
        </w:rPr>
        <w:t>（1）开标一览表（见“5.1”）</w:t>
      </w:r>
    </w:p>
    <w:p>
      <w:pPr>
        <w:spacing w:line="480" w:lineRule="auto"/>
        <w:rPr>
          <w:rFonts w:ascii="宋体" w:hAnsi="宋体"/>
          <w:color w:val="auto"/>
          <w:sz w:val="22"/>
          <w:szCs w:val="28"/>
          <w:highlight w:val="none"/>
        </w:rPr>
      </w:pPr>
      <w:r>
        <w:rPr>
          <w:rFonts w:hint="eastAsia" w:ascii="宋体" w:hAnsi="宋体"/>
          <w:color w:val="auto"/>
          <w:sz w:val="22"/>
          <w:szCs w:val="28"/>
          <w:highlight w:val="none"/>
        </w:rPr>
        <w:t>（2）法定代表人资格证明书（见“2.2.1”）</w:t>
      </w:r>
    </w:p>
    <w:p>
      <w:pPr>
        <w:spacing w:line="480" w:lineRule="auto"/>
        <w:rPr>
          <w:rFonts w:ascii="宋体" w:hAnsi="宋体"/>
          <w:color w:val="auto"/>
          <w:sz w:val="22"/>
          <w:szCs w:val="28"/>
          <w:highlight w:val="none"/>
        </w:rPr>
      </w:pPr>
      <w:r>
        <w:rPr>
          <w:rFonts w:hint="eastAsia" w:ascii="宋体" w:hAnsi="宋体"/>
          <w:color w:val="auto"/>
          <w:sz w:val="22"/>
          <w:szCs w:val="28"/>
          <w:highlight w:val="none"/>
        </w:rPr>
        <w:t>（3）法定代表人授权委托书（见“2.2.2”）</w:t>
      </w:r>
    </w:p>
    <w:p>
      <w:pPr>
        <w:spacing w:line="480" w:lineRule="auto"/>
        <w:rPr>
          <w:rFonts w:ascii="宋体" w:hAnsi="宋体"/>
          <w:color w:val="auto"/>
          <w:sz w:val="22"/>
          <w:szCs w:val="28"/>
          <w:highlight w:val="none"/>
        </w:rPr>
      </w:pPr>
      <w:r>
        <w:rPr>
          <w:rFonts w:hint="eastAsia" w:ascii="宋体" w:hAnsi="宋体"/>
          <w:color w:val="auto"/>
          <w:sz w:val="22"/>
          <w:szCs w:val="28"/>
          <w:highlight w:val="none"/>
        </w:rPr>
        <w:t>（4）</w:t>
      </w:r>
      <w:r>
        <w:rPr>
          <w:rFonts w:hint="eastAsia" w:ascii="宋体" w:hAnsi="宋体"/>
          <w:color w:val="auto"/>
          <w:kern w:val="0"/>
          <w:szCs w:val="21"/>
          <w:highlight w:val="none"/>
        </w:rPr>
        <w:t>含有投标文件电子版的U盘1个，需贴以下标识：“【项目名称：         项目编号：    】-投标人单位名称”</w:t>
      </w:r>
    </w:p>
    <w:p>
      <w:pPr>
        <w:spacing w:line="300" w:lineRule="auto"/>
        <w:jc w:val="left"/>
        <w:rPr>
          <w:rFonts w:ascii="宋体" w:hAnsi="宋体"/>
          <w:color w:val="auto"/>
          <w:highlight w:val="none"/>
        </w:rPr>
      </w:pPr>
    </w:p>
    <w:p>
      <w:pPr>
        <w:tabs>
          <w:tab w:val="left" w:pos="4860"/>
          <w:tab w:val="left" w:pos="9230"/>
        </w:tabs>
        <w:autoSpaceDE w:val="0"/>
        <w:autoSpaceDN w:val="0"/>
        <w:adjustRightInd w:val="0"/>
        <w:spacing w:line="360" w:lineRule="auto"/>
        <w:outlineLvl w:val="1"/>
        <w:rPr>
          <w:rFonts w:ascii="宋体" w:hAnsi="宋体" w:cs="黑体"/>
          <w:b/>
          <w:bCs/>
          <w:color w:val="auto"/>
          <w:sz w:val="28"/>
          <w:szCs w:val="28"/>
          <w:highlight w:val="none"/>
        </w:rPr>
      </w:pPr>
      <w:r>
        <w:rPr>
          <w:rFonts w:hint="eastAsia" w:ascii="宋体" w:hAnsi="宋体"/>
          <w:color w:val="auto"/>
          <w:highlight w:val="none"/>
        </w:rPr>
        <w:br w:type="page"/>
      </w:r>
      <w:bookmarkStart w:id="51" w:name="_Toc15590"/>
      <w:r>
        <w:rPr>
          <w:rFonts w:hint="eastAsia" w:ascii="宋体" w:hAnsi="宋体"/>
          <w:b/>
          <w:bCs/>
          <w:color w:val="auto"/>
          <w:sz w:val="28"/>
          <w:szCs w:val="28"/>
          <w:highlight w:val="none"/>
        </w:rPr>
        <w:t>七、其他格式文件</w:t>
      </w:r>
      <w:bookmarkEnd w:id="51"/>
    </w:p>
    <w:p>
      <w:pPr>
        <w:tabs>
          <w:tab w:val="left" w:pos="4860"/>
          <w:tab w:val="left" w:pos="9230"/>
        </w:tabs>
        <w:autoSpaceDE w:val="0"/>
        <w:autoSpaceDN w:val="0"/>
        <w:adjustRightInd w:val="0"/>
        <w:spacing w:line="360" w:lineRule="auto"/>
        <w:jc w:val="center"/>
        <w:rPr>
          <w:rFonts w:ascii="宋体" w:hAnsi="宋体"/>
          <w:color w:val="auto"/>
          <w:sz w:val="28"/>
          <w:szCs w:val="28"/>
          <w:highlight w:val="none"/>
        </w:rPr>
      </w:pPr>
      <w:r>
        <w:rPr>
          <w:rFonts w:hint="eastAsia" w:ascii="宋体" w:hAnsi="宋体" w:cs="黑体"/>
          <w:b/>
          <w:bCs/>
          <w:color w:val="auto"/>
          <w:sz w:val="28"/>
          <w:szCs w:val="28"/>
          <w:highlight w:val="none"/>
        </w:rPr>
        <w:t>（本部分格式为投标人提交询问、质疑函时使用，不属于投标文件格式的组成部分。）</w:t>
      </w:r>
    </w:p>
    <w:p>
      <w:pPr>
        <w:spacing w:line="440" w:lineRule="exact"/>
        <w:rPr>
          <w:rFonts w:ascii="宋体" w:hAnsi="宋体"/>
          <w:b/>
          <w:bCs/>
          <w:color w:val="auto"/>
          <w:szCs w:val="21"/>
          <w:highlight w:val="none"/>
        </w:rPr>
      </w:pPr>
      <w:r>
        <w:rPr>
          <w:rFonts w:hint="eastAsia" w:ascii="宋体" w:hAnsi="宋体"/>
          <w:b/>
          <w:bCs/>
          <w:color w:val="auto"/>
          <w:highlight w:val="none"/>
        </w:rPr>
        <w:t>7.1 询问函格式</w:t>
      </w:r>
    </w:p>
    <w:p>
      <w:pPr>
        <w:jc w:val="center"/>
        <w:rPr>
          <w:rFonts w:ascii="宋体" w:hAnsi="宋体"/>
          <w:b/>
          <w:bCs/>
          <w:color w:val="auto"/>
          <w:sz w:val="28"/>
          <w:szCs w:val="28"/>
          <w:highlight w:val="none"/>
        </w:rPr>
      </w:pPr>
      <w:r>
        <w:rPr>
          <w:rFonts w:hint="eastAsia" w:ascii="宋体" w:hAnsi="宋体"/>
          <w:b/>
          <w:bCs/>
          <w:color w:val="auto"/>
          <w:sz w:val="28"/>
          <w:szCs w:val="28"/>
          <w:highlight w:val="none"/>
        </w:rPr>
        <w:t>询  问  函</w:t>
      </w:r>
    </w:p>
    <w:p>
      <w:pPr>
        <w:widowControl/>
        <w:snapToGrid w:val="0"/>
        <w:spacing w:line="360" w:lineRule="auto"/>
        <w:rPr>
          <w:rFonts w:ascii="宋体" w:hAnsi="宋体"/>
          <w:b/>
          <w:bCs/>
          <w:color w:val="auto"/>
          <w:szCs w:val="21"/>
          <w:highlight w:val="none"/>
        </w:rPr>
      </w:pPr>
      <w:r>
        <w:rPr>
          <w:rFonts w:hint="eastAsia" w:ascii="宋体" w:hAnsi="宋体"/>
          <w:b/>
          <w:bCs/>
          <w:color w:val="auto"/>
          <w:szCs w:val="21"/>
          <w:highlight w:val="none"/>
        </w:rPr>
        <w:t>一、询问供应商基本信息</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询问供应商：</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授权代表：</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 xml:space="preserve">地址：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二、询问项目基本情况</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询问项目的名称：</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询问项目的编号：</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包号：</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采购人名称：</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采购文件获取日期：</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三、</w:t>
      </w:r>
      <w:r>
        <w:rPr>
          <w:rFonts w:hint="eastAsia" w:ascii="宋体" w:hAnsi="宋体" w:cs="宋体"/>
          <w:b/>
          <w:color w:val="auto"/>
          <w:szCs w:val="21"/>
          <w:highlight w:val="none"/>
        </w:rPr>
        <w:t>询问事项具体内容</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询问事项1：</w:t>
      </w:r>
      <w:r>
        <w:rPr>
          <w:rFonts w:hint="eastAsia" w:ascii="宋体" w:hAnsi="宋体" w:cs="宋体"/>
          <w:color w:val="auto"/>
          <w:szCs w:val="21"/>
          <w:highlight w:val="none"/>
          <w:u w:val="dotted"/>
        </w:rPr>
        <w:t xml:space="preserve">                                                         </w:t>
      </w:r>
    </w:p>
    <w:p>
      <w:pPr>
        <w:widowControl/>
        <w:tabs>
          <w:tab w:val="center" w:pos="5019"/>
        </w:tabs>
        <w:snapToGrid w:val="0"/>
        <w:spacing w:line="360" w:lineRule="auto"/>
        <w:rPr>
          <w:rFonts w:ascii="宋体" w:hAnsi="宋体" w:cs="宋体"/>
          <w:color w:val="auto"/>
          <w:szCs w:val="21"/>
          <w:highlight w:val="none"/>
          <w:u w:val="dotted"/>
        </w:rPr>
      </w:pPr>
      <w:r>
        <w:rPr>
          <w:rFonts w:hint="eastAsia" w:ascii="宋体" w:hAnsi="宋体"/>
          <w:color w:val="auto"/>
          <w:szCs w:val="21"/>
          <w:highlight w:val="none"/>
        </w:rPr>
        <w:t>说明疑问或无法理解原因：</w:t>
      </w:r>
      <w:r>
        <w:rPr>
          <w:rFonts w:hint="eastAsia" w:ascii="宋体" w:hAnsi="宋体" w:cs="宋体"/>
          <w:color w:val="auto"/>
          <w:szCs w:val="21"/>
          <w:highlight w:val="none"/>
          <w:u w:val="dotted"/>
        </w:rPr>
        <w:t xml:space="preserve">                                             </w:t>
      </w:r>
    </w:p>
    <w:p>
      <w:pPr>
        <w:widowControl/>
        <w:tabs>
          <w:tab w:val="center" w:pos="5019"/>
        </w:tabs>
        <w:snapToGrid w:val="0"/>
        <w:spacing w:line="360" w:lineRule="auto"/>
        <w:rPr>
          <w:rFonts w:ascii="宋体" w:hAnsi="宋体"/>
          <w:color w:val="auto"/>
          <w:szCs w:val="21"/>
          <w:highlight w:val="none"/>
        </w:rPr>
      </w:pPr>
      <w:r>
        <w:rPr>
          <w:rFonts w:hint="eastAsia" w:ascii="宋体" w:hAnsi="宋体"/>
          <w:color w:val="auto"/>
          <w:szCs w:val="21"/>
          <w:highlight w:val="none"/>
        </w:rPr>
        <w:t>建议：</w:t>
      </w:r>
      <w:r>
        <w:rPr>
          <w:rFonts w:hint="eastAsia" w:ascii="宋体" w:hAnsi="宋体" w:cs="宋体"/>
          <w:color w:val="auto"/>
          <w:szCs w:val="21"/>
          <w:highlight w:val="none"/>
          <w:u w:val="dotted"/>
        </w:rPr>
        <w:t xml:space="preserve">                                                               </w:t>
      </w:r>
    </w:p>
    <w:p>
      <w:pPr>
        <w:snapToGrid w:val="0"/>
        <w:spacing w:line="360" w:lineRule="auto"/>
        <w:rPr>
          <w:rFonts w:ascii="宋体" w:hAnsi="宋体"/>
          <w:color w:val="auto"/>
          <w:szCs w:val="21"/>
          <w:highlight w:val="none"/>
        </w:rPr>
      </w:pPr>
      <w:r>
        <w:rPr>
          <w:rFonts w:hint="eastAsia" w:ascii="宋体" w:hAnsi="宋体" w:cs="宋体"/>
          <w:color w:val="auto"/>
          <w:szCs w:val="21"/>
          <w:highlight w:val="none"/>
        </w:rPr>
        <w:t>询问事项2：</w:t>
      </w:r>
    </w:p>
    <w:p>
      <w:pPr>
        <w:widowControl/>
        <w:tabs>
          <w:tab w:val="left" w:pos="6300"/>
        </w:tabs>
        <w:snapToGrid w:val="0"/>
        <w:spacing w:line="360" w:lineRule="auto"/>
        <w:rPr>
          <w:rFonts w:ascii="宋体" w:hAnsi="宋体"/>
          <w:color w:val="auto"/>
          <w:szCs w:val="21"/>
          <w:highlight w:val="none"/>
        </w:rPr>
      </w:pPr>
      <w:r>
        <w:rPr>
          <w:rFonts w:hint="eastAsia" w:ascii="宋体" w:hAnsi="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签字(签章)：</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公章：</w:t>
      </w:r>
      <w:r>
        <w:rPr>
          <w:rFonts w:hint="eastAsia" w:ascii="宋体" w:hAnsi="宋体" w:cs="宋体"/>
          <w:color w:val="auto"/>
          <w:szCs w:val="21"/>
          <w:highlight w:val="none"/>
          <w:u w:val="dotted"/>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dotted"/>
        </w:rPr>
        <w:t xml:space="preserve">                      </w:t>
      </w:r>
    </w:p>
    <w:p>
      <w:pPr>
        <w:spacing w:line="440" w:lineRule="exact"/>
        <w:rPr>
          <w:rFonts w:ascii="宋体" w:hAnsi="宋体"/>
          <w:color w:val="auto"/>
          <w:szCs w:val="21"/>
          <w:highlight w:val="none"/>
        </w:rPr>
      </w:pPr>
      <w:r>
        <w:rPr>
          <w:rFonts w:ascii="宋体" w:hAnsi="宋体"/>
          <w:color w:val="auto"/>
          <w:szCs w:val="21"/>
          <w:highlight w:val="none"/>
        </w:rPr>
        <w:br w:type="page"/>
      </w:r>
      <w:r>
        <w:rPr>
          <w:rFonts w:hint="eastAsia" w:ascii="宋体" w:hAnsi="宋体"/>
          <w:b/>
          <w:bCs/>
          <w:color w:val="auto"/>
          <w:highlight w:val="none"/>
        </w:rPr>
        <w:t>7.2 质疑函格式</w:t>
      </w:r>
    </w:p>
    <w:p>
      <w:pPr>
        <w:jc w:val="center"/>
        <w:rPr>
          <w:rFonts w:ascii="宋体" w:hAnsi="宋体"/>
          <w:b/>
          <w:bCs/>
          <w:color w:val="auto"/>
          <w:sz w:val="28"/>
          <w:szCs w:val="28"/>
          <w:highlight w:val="none"/>
        </w:rPr>
      </w:pPr>
      <w:r>
        <w:rPr>
          <w:rFonts w:ascii="宋体" w:hAnsi="宋体"/>
          <w:b/>
          <w:bCs/>
          <w:color w:val="auto"/>
          <w:sz w:val="28"/>
          <w:szCs w:val="28"/>
          <w:highlight w:val="none"/>
        </w:rPr>
        <w:t>质</w:t>
      </w:r>
      <w:r>
        <w:rPr>
          <w:rFonts w:hint="eastAsia" w:ascii="宋体" w:hAnsi="宋体"/>
          <w:b/>
          <w:bCs/>
          <w:color w:val="auto"/>
          <w:sz w:val="28"/>
          <w:szCs w:val="28"/>
          <w:highlight w:val="none"/>
        </w:rPr>
        <w:t xml:space="preserve">  </w:t>
      </w:r>
      <w:r>
        <w:rPr>
          <w:rFonts w:ascii="宋体" w:hAnsi="宋体"/>
          <w:b/>
          <w:bCs/>
          <w:color w:val="auto"/>
          <w:sz w:val="28"/>
          <w:szCs w:val="28"/>
          <w:highlight w:val="none"/>
        </w:rPr>
        <w:t>疑</w:t>
      </w:r>
      <w:r>
        <w:rPr>
          <w:rFonts w:hint="eastAsia" w:ascii="宋体" w:hAnsi="宋体"/>
          <w:b/>
          <w:bCs/>
          <w:color w:val="auto"/>
          <w:sz w:val="28"/>
          <w:szCs w:val="28"/>
          <w:highlight w:val="none"/>
        </w:rPr>
        <w:t xml:space="preserve">  函</w:t>
      </w:r>
    </w:p>
    <w:p>
      <w:pPr>
        <w:widowControl/>
        <w:snapToGrid w:val="0"/>
        <w:spacing w:line="360" w:lineRule="auto"/>
        <w:rPr>
          <w:rFonts w:ascii="宋体" w:hAnsi="宋体"/>
          <w:color w:val="auto"/>
          <w:szCs w:val="21"/>
          <w:highlight w:val="none"/>
        </w:rPr>
      </w:pPr>
    </w:p>
    <w:p>
      <w:pPr>
        <w:widowControl/>
        <w:snapToGrid w:val="0"/>
        <w:spacing w:line="360" w:lineRule="auto"/>
        <w:rPr>
          <w:rFonts w:ascii="宋体" w:hAnsi="宋体"/>
          <w:b/>
          <w:bCs/>
          <w:color w:val="auto"/>
          <w:szCs w:val="21"/>
          <w:highlight w:val="none"/>
        </w:rPr>
      </w:pPr>
      <w:r>
        <w:rPr>
          <w:rFonts w:hint="eastAsia" w:ascii="宋体" w:hAnsi="宋体"/>
          <w:b/>
          <w:bCs/>
          <w:color w:val="auto"/>
          <w:szCs w:val="21"/>
          <w:highlight w:val="none"/>
        </w:rPr>
        <w:t>一、质疑供应商基本信息</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质疑供应商：</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授权代表：</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地址：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二、质疑项目基本情况</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质疑项目的名称：</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质疑项目的编号：</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包号：</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采购人名称：</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采购文件获取日期：</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三、质疑事项具体内容</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质疑事项1：</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事实依据：</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法律依据：</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质疑事项2</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四、与质疑事项相关的质疑请求</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请求：</w:t>
      </w:r>
      <w:r>
        <w:rPr>
          <w:rFonts w:hint="eastAsia" w:ascii="宋体" w:hAnsi="宋体" w:cs="宋体"/>
          <w:color w:val="auto"/>
          <w:szCs w:val="21"/>
          <w:highlight w:val="none"/>
          <w:u w:val="dotted"/>
        </w:rPr>
        <w:t xml:space="preserve">                                                               </w:t>
      </w:r>
    </w:p>
    <w:p>
      <w:pPr>
        <w:rPr>
          <w:rFonts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签字(签章)：</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公章：</w:t>
      </w:r>
      <w:r>
        <w:rPr>
          <w:rFonts w:hint="eastAsia" w:ascii="宋体" w:hAnsi="宋体" w:cs="宋体"/>
          <w:color w:val="auto"/>
          <w:szCs w:val="21"/>
          <w:highlight w:val="none"/>
          <w:u w:val="dotted"/>
        </w:rPr>
        <w:t xml:space="preserve">                      </w:t>
      </w:r>
    </w:p>
    <w:p>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日期：</w:t>
      </w:r>
      <w:r>
        <w:rPr>
          <w:rFonts w:hint="eastAsia" w:ascii="宋体" w:hAnsi="宋体" w:cs="宋体"/>
          <w:color w:val="auto"/>
          <w:szCs w:val="21"/>
          <w:highlight w:val="none"/>
          <w:u w:val="dotted"/>
        </w:rPr>
        <w:t xml:space="preserve">                      </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附件：质疑供应商在提交的证明材料中对质疑点的内容作出相应的标识或以醒目的方式标明。</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7"/>
        <w:gridCol w:w="3026"/>
        <w:gridCol w:w="2285"/>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1557" w:type="dxa"/>
            <w:tcBorders>
              <w:top w:val="single" w:color="auto" w:sz="12" w:space="0"/>
              <w:left w:val="single" w:color="auto" w:sz="12" w:space="0"/>
            </w:tcBorders>
            <w:tcMar>
              <w:top w:w="72" w:type="dxa"/>
              <w:left w:w="144" w:type="dxa"/>
              <w:bottom w:w="72" w:type="dxa"/>
              <w:right w:w="144" w:type="dxa"/>
            </w:tcMar>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3026" w:type="dxa"/>
            <w:tcBorders>
              <w:top w:val="single" w:color="auto" w:sz="12" w:space="0"/>
            </w:tcBorders>
            <w:tcMar>
              <w:top w:w="72" w:type="dxa"/>
              <w:left w:w="144" w:type="dxa"/>
              <w:bottom w:w="72" w:type="dxa"/>
              <w:right w:w="144" w:type="dxa"/>
            </w:tcMar>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证明材料名称</w:t>
            </w:r>
          </w:p>
        </w:tc>
        <w:tc>
          <w:tcPr>
            <w:tcW w:w="2285" w:type="dxa"/>
            <w:tcBorders>
              <w:top w:val="single" w:color="auto" w:sz="12" w:space="0"/>
            </w:tcBorders>
            <w:tcMar>
              <w:top w:w="72" w:type="dxa"/>
              <w:left w:w="144" w:type="dxa"/>
              <w:bottom w:w="72" w:type="dxa"/>
              <w:right w:w="144" w:type="dxa"/>
            </w:tcMar>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证明材料来源</w:t>
            </w:r>
          </w:p>
        </w:tc>
        <w:tc>
          <w:tcPr>
            <w:tcW w:w="2285" w:type="dxa"/>
            <w:tcBorders>
              <w:top w:val="single" w:color="auto" w:sz="12" w:space="0"/>
              <w:right w:val="single" w:color="auto" w:sz="12" w:space="0"/>
            </w:tcBorders>
            <w:tcMar>
              <w:top w:w="72" w:type="dxa"/>
              <w:left w:w="144" w:type="dxa"/>
              <w:bottom w:w="72" w:type="dxa"/>
              <w:right w:w="144" w:type="dxa"/>
            </w:tcMar>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 w:hRule="atLeast"/>
        </w:trPr>
        <w:tc>
          <w:tcPr>
            <w:tcW w:w="1557" w:type="dxa"/>
            <w:tcBorders>
              <w:left w:val="single" w:color="auto" w:sz="12" w:space="0"/>
            </w:tcBorders>
            <w:tcMar>
              <w:top w:w="72" w:type="dxa"/>
              <w:left w:w="144" w:type="dxa"/>
              <w:bottom w:w="72" w:type="dxa"/>
              <w:right w:w="144" w:type="dxa"/>
            </w:tcMar>
          </w:tcPr>
          <w:p>
            <w:pPr>
              <w:spacing w:line="360" w:lineRule="auto"/>
              <w:jc w:val="center"/>
              <w:rPr>
                <w:rFonts w:ascii="宋体" w:hAnsi="宋体" w:cs="宋体"/>
                <w:color w:val="auto"/>
                <w:szCs w:val="21"/>
                <w:highlight w:val="none"/>
              </w:rPr>
            </w:pPr>
            <w:r>
              <w:rPr>
                <w:rFonts w:ascii="宋体" w:hAnsi="宋体" w:cs="宋体"/>
                <w:color w:val="auto"/>
                <w:szCs w:val="21"/>
                <w:highlight w:val="none"/>
              </w:rPr>
              <w:t>1</w:t>
            </w:r>
          </w:p>
        </w:tc>
        <w:tc>
          <w:tcPr>
            <w:tcW w:w="3026" w:type="dxa"/>
            <w:tcMar>
              <w:top w:w="72" w:type="dxa"/>
              <w:left w:w="144" w:type="dxa"/>
              <w:bottom w:w="72" w:type="dxa"/>
              <w:right w:w="144" w:type="dxa"/>
            </w:tcMar>
          </w:tcPr>
          <w:p>
            <w:pPr>
              <w:spacing w:line="360" w:lineRule="auto"/>
              <w:jc w:val="center"/>
              <w:rPr>
                <w:rFonts w:ascii="宋体" w:hAnsi="宋体" w:cs="宋体"/>
                <w:color w:val="auto"/>
                <w:szCs w:val="21"/>
                <w:highlight w:val="none"/>
              </w:rPr>
            </w:pPr>
          </w:p>
        </w:tc>
        <w:tc>
          <w:tcPr>
            <w:tcW w:w="2285" w:type="dxa"/>
            <w:tcMar>
              <w:top w:w="72" w:type="dxa"/>
              <w:left w:w="144" w:type="dxa"/>
              <w:bottom w:w="72" w:type="dxa"/>
              <w:right w:w="144" w:type="dxa"/>
            </w:tcMar>
          </w:tcPr>
          <w:p>
            <w:pPr>
              <w:spacing w:line="360" w:lineRule="auto"/>
              <w:jc w:val="center"/>
              <w:rPr>
                <w:rFonts w:ascii="宋体" w:hAnsi="宋体" w:cs="宋体"/>
                <w:color w:val="auto"/>
                <w:szCs w:val="21"/>
                <w:highlight w:val="none"/>
              </w:rPr>
            </w:pPr>
          </w:p>
        </w:tc>
        <w:tc>
          <w:tcPr>
            <w:tcW w:w="2285" w:type="dxa"/>
            <w:tcBorders>
              <w:right w:val="single" w:color="auto" w:sz="12" w:space="0"/>
            </w:tcBorders>
            <w:tcMar>
              <w:top w:w="72" w:type="dxa"/>
              <w:left w:w="144" w:type="dxa"/>
              <w:bottom w:w="72" w:type="dxa"/>
              <w:right w:w="144" w:type="dxa"/>
            </w:tcMa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 w:hRule="atLeast"/>
        </w:trPr>
        <w:tc>
          <w:tcPr>
            <w:tcW w:w="1557" w:type="dxa"/>
            <w:tcBorders>
              <w:left w:val="single" w:color="auto" w:sz="12" w:space="0"/>
            </w:tcBorders>
            <w:tcMar>
              <w:top w:w="72" w:type="dxa"/>
              <w:left w:w="144" w:type="dxa"/>
              <w:bottom w:w="72" w:type="dxa"/>
              <w:right w:w="144" w:type="dxa"/>
            </w:tcMar>
          </w:tcPr>
          <w:p>
            <w:pPr>
              <w:spacing w:line="360" w:lineRule="auto"/>
              <w:jc w:val="center"/>
              <w:rPr>
                <w:rFonts w:ascii="宋体" w:hAnsi="宋体" w:cs="宋体"/>
                <w:color w:val="auto"/>
                <w:szCs w:val="21"/>
                <w:highlight w:val="none"/>
              </w:rPr>
            </w:pPr>
            <w:r>
              <w:rPr>
                <w:rFonts w:ascii="宋体" w:hAnsi="宋体" w:cs="宋体"/>
                <w:color w:val="auto"/>
                <w:szCs w:val="21"/>
                <w:highlight w:val="none"/>
              </w:rPr>
              <w:t>2</w:t>
            </w:r>
          </w:p>
        </w:tc>
        <w:tc>
          <w:tcPr>
            <w:tcW w:w="3026" w:type="dxa"/>
            <w:tcMar>
              <w:top w:w="72" w:type="dxa"/>
              <w:left w:w="144" w:type="dxa"/>
              <w:bottom w:w="72" w:type="dxa"/>
              <w:right w:w="144" w:type="dxa"/>
            </w:tcMar>
          </w:tcPr>
          <w:p>
            <w:pPr>
              <w:spacing w:line="360" w:lineRule="auto"/>
              <w:jc w:val="center"/>
              <w:rPr>
                <w:rFonts w:ascii="宋体" w:hAnsi="宋体" w:cs="宋体"/>
                <w:color w:val="auto"/>
                <w:szCs w:val="21"/>
                <w:highlight w:val="none"/>
              </w:rPr>
            </w:pPr>
          </w:p>
        </w:tc>
        <w:tc>
          <w:tcPr>
            <w:tcW w:w="2285" w:type="dxa"/>
            <w:tcMar>
              <w:top w:w="72" w:type="dxa"/>
              <w:left w:w="144" w:type="dxa"/>
              <w:bottom w:w="72" w:type="dxa"/>
              <w:right w:w="144" w:type="dxa"/>
            </w:tcMar>
          </w:tcPr>
          <w:p>
            <w:pPr>
              <w:spacing w:line="360" w:lineRule="auto"/>
              <w:jc w:val="center"/>
              <w:rPr>
                <w:rFonts w:ascii="宋体" w:hAnsi="宋体" w:cs="宋体"/>
                <w:color w:val="auto"/>
                <w:szCs w:val="21"/>
                <w:highlight w:val="none"/>
              </w:rPr>
            </w:pPr>
          </w:p>
        </w:tc>
        <w:tc>
          <w:tcPr>
            <w:tcW w:w="2285" w:type="dxa"/>
            <w:tcBorders>
              <w:right w:val="single" w:color="auto" w:sz="12" w:space="0"/>
            </w:tcBorders>
            <w:tcMar>
              <w:top w:w="72" w:type="dxa"/>
              <w:left w:w="144" w:type="dxa"/>
              <w:bottom w:w="72" w:type="dxa"/>
              <w:right w:w="144" w:type="dxa"/>
            </w:tcMa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 w:hRule="atLeast"/>
        </w:trPr>
        <w:tc>
          <w:tcPr>
            <w:tcW w:w="1557" w:type="dxa"/>
            <w:tcBorders>
              <w:left w:val="single" w:color="auto" w:sz="12" w:space="0"/>
              <w:bottom w:val="single" w:color="auto" w:sz="12" w:space="0"/>
            </w:tcBorders>
            <w:tcMar>
              <w:top w:w="72" w:type="dxa"/>
              <w:left w:w="144" w:type="dxa"/>
              <w:bottom w:w="72" w:type="dxa"/>
              <w:right w:w="144" w:type="dxa"/>
            </w:tcMa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3026" w:type="dxa"/>
            <w:tcBorders>
              <w:bottom w:val="single" w:color="auto" w:sz="12" w:space="0"/>
            </w:tcBorders>
            <w:tcMar>
              <w:top w:w="72" w:type="dxa"/>
              <w:left w:w="144" w:type="dxa"/>
              <w:bottom w:w="72" w:type="dxa"/>
              <w:right w:w="144" w:type="dxa"/>
            </w:tcMar>
          </w:tcPr>
          <w:p>
            <w:pPr>
              <w:spacing w:line="360" w:lineRule="auto"/>
              <w:jc w:val="center"/>
              <w:rPr>
                <w:rFonts w:ascii="宋体" w:hAnsi="宋体" w:cs="宋体"/>
                <w:color w:val="auto"/>
                <w:szCs w:val="21"/>
                <w:highlight w:val="none"/>
              </w:rPr>
            </w:pPr>
          </w:p>
        </w:tc>
        <w:tc>
          <w:tcPr>
            <w:tcW w:w="2285" w:type="dxa"/>
            <w:tcBorders>
              <w:bottom w:val="single" w:color="auto" w:sz="12" w:space="0"/>
            </w:tcBorders>
            <w:tcMar>
              <w:top w:w="72" w:type="dxa"/>
              <w:left w:w="144" w:type="dxa"/>
              <w:bottom w:w="72" w:type="dxa"/>
              <w:right w:w="144" w:type="dxa"/>
            </w:tcMar>
          </w:tcPr>
          <w:p>
            <w:pPr>
              <w:spacing w:line="360" w:lineRule="auto"/>
              <w:jc w:val="center"/>
              <w:rPr>
                <w:rFonts w:ascii="宋体" w:hAnsi="宋体" w:cs="宋体"/>
                <w:color w:val="auto"/>
                <w:szCs w:val="21"/>
                <w:highlight w:val="none"/>
              </w:rPr>
            </w:pPr>
          </w:p>
        </w:tc>
        <w:tc>
          <w:tcPr>
            <w:tcW w:w="2285" w:type="dxa"/>
            <w:tcBorders>
              <w:bottom w:val="single" w:color="auto" w:sz="12" w:space="0"/>
              <w:right w:val="single" w:color="auto" w:sz="12" w:space="0"/>
            </w:tcBorders>
            <w:tcMar>
              <w:top w:w="72" w:type="dxa"/>
              <w:left w:w="144" w:type="dxa"/>
              <w:bottom w:w="72" w:type="dxa"/>
              <w:right w:w="144" w:type="dxa"/>
            </w:tcMar>
          </w:tcPr>
          <w:p>
            <w:pPr>
              <w:spacing w:line="360" w:lineRule="auto"/>
              <w:jc w:val="center"/>
              <w:rPr>
                <w:rFonts w:ascii="宋体" w:hAnsi="宋体" w:cs="宋体"/>
                <w:color w:val="auto"/>
                <w:szCs w:val="21"/>
                <w:highlight w:val="none"/>
              </w:rPr>
            </w:pPr>
          </w:p>
        </w:tc>
      </w:tr>
    </w:tbl>
    <w:p>
      <w:pPr>
        <w:widowControl/>
        <w:adjustRightInd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质疑函制作说明：</w:t>
      </w:r>
    </w:p>
    <w:p>
      <w:pPr>
        <w:widowControl/>
        <w:numPr>
          <w:ilvl w:val="0"/>
          <w:numId w:val="5"/>
        </w:num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供应商提出质疑时，应提交质疑函和必要的证明材料。</w:t>
      </w:r>
    </w:p>
    <w:p>
      <w:pPr>
        <w:widowControl/>
        <w:numPr>
          <w:ilvl w:val="0"/>
          <w:numId w:val="5"/>
        </w:num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质疑供应商若委托代理人进行质疑的，质疑函应按要求列明“授权代表”的有关内容，并在附件中提交由质疑</w:t>
      </w:r>
      <w:r>
        <w:rPr>
          <w:rFonts w:hint="eastAsia" w:ascii="宋体" w:hAnsi="宋体" w:cs="宋体"/>
          <w:color w:val="auto"/>
          <w:kern w:val="0"/>
          <w:szCs w:val="21"/>
          <w:highlight w:val="none"/>
        </w:rPr>
        <w:t>供应商签署的授权委托书。授权委托书应载明代理人的姓名或者名称、代理事项、具体权限、期限和相关事项。</w:t>
      </w:r>
    </w:p>
    <w:p>
      <w:pPr>
        <w:widowControl/>
        <w:numPr>
          <w:ilvl w:val="0"/>
          <w:numId w:val="5"/>
        </w:num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质疑供应商若对项目的某一分包进行质疑，质疑函中应列明具体包组号。</w:t>
      </w:r>
    </w:p>
    <w:p>
      <w:pPr>
        <w:widowControl/>
        <w:numPr>
          <w:ilvl w:val="0"/>
          <w:numId w:val="5"/>
        </w:num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质疑函的质疑事项应具体、明确，并有必要的事实依据和法律依据。</w:t>
      </w:r>
    </w:p>
    <w:p>
      <w:pPr>
        <w:widowControl/>
        <w:numPr>
          <w:ilvl w:val="0"/>
          <w:numId w:val="5"/>
        </w:num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质疑函的质疑请求应与质疑事项相关。</w:t>
      </w:r>
    </w:p>
    <w:p>
      <w:pPr>
        <w:widowControl/>
        <w:numPr>
          <w:ilvl w:val="0"/>
          <w:numId w:val="5"/>
        </w:num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质疑供应商为自然人的，质疑函应由本人签字；质疑供应商为法人或者其他组织的，质疑函应由法定代表人、主要负责人，或者其授权代表签字或者盖章，并加盖公章。</w:t>
      </w:r>
    </w:p>
    <w:p>
      <w:pPr>
        <w:tabs>
          <w:tab w:val="left" w:pos="4860"/>
          <w:tab w:val="left" w:pos="9230"/>
        </w:tabs>
        <w:autoSpaceDE w:val="0"/>
        <w:autoSpaceDN w:val="0"/>
        <w:adjustRightInd w:val="0"/>
        <w:spacing w:line="360" w:lineRule="auto"/>
        <w:jc w:val="left"/>
        <w:rPr>
          <w:rFonts w:ascii="宋体" w:hAnsi="宋体"/>
          <w:b/>
          <w:bCs/>
          <w:color w:val="auto"/>
          <w:szCs w:val="21"/>
          <w:highlight w:val="none"/>
        </w:rPr>
      </w:pPr>
    </w:p>
    <w:p>
      <w:pPr>
        <w:tabs>
          <w:tab w:val="left" w:pos="4860"/>
          <w:tab w:val="left" w:pos="9230"/>
        </w:tabs>
        <w:autoSpaceDE w:val="0"/>
        <w:autoSpaceDN w:val="0"/>
        <w:adjustRightInd w:val="0"/>
        <w:spacing w:line="360" w:lineRule="auto"/>
        <w:jc w:val="left"/>
        <w:rPr>
          <w:rFonts w:ascii="宋体" w:hAnsi="宋体"/>
          <w:b/>
          <w:bCs/>
          <w:color w:val="auto"/>
          <w:szCs w:val="21"/>
          <w:highlight w:val="none"/>
        </w:rPr>
      </w:pPr>
    </w:p>
    <w:p>
      <w:pPr>
        <w:tabs>
          <w:tab w:val="left" w:pos="4860"/>
          <w:tab w:val="left" w:pos="9230"/>
        </w:tabs>
        <w:autoSpaceDE w:val="0"/>
        <w:autoSpaceDN w:val="0"/>
        <w:adjustRightInd w:val="0"/>
        <w:spacing w:line="360" w:lineRule="auto"/>
        <w:jc w:val="left"/>
        <w:rPr>
          <w:rFonts w:ascii="宋体" w:hAnsi="宋体"/>
          <w:b/>
          <w:bCs/>
          <w:color w:val="auto"/>
          <w:szCs w:val="21"/>
          <w:highlight w:val="none"/>
        </w:rPr>
      </w:pPr>
    </w:p>
    <w:sectPr>
      <w:headerReference r:id="rId4" w:type="default"/>
      <w:footerReference r:id="rId5" w:type="default"/>
      <w:pgSz w:w="11906" w:h="16838"/>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2OcuAe">
    <w:altName w:val="MingLiU-ExtB"/>
    <w:panose1 w:val="00000000000000000000"/>
    <w:charset w:val="88"/>
    <w:family w:val="modern"/>
    <w:pitch w:val="default"/>
    <w:sig w:usb0="00000000" w:usb1="00000000" w:usb2="00000010" w:usb3="00000000" w:csb0="00100000" w:csb1="00000000"/>
  </w:font>
  <w:font w:name="华文中宋">
    <w:panose1 w:val="02010600040101010101"/>
    <w:charset w:val="86"/>
    <w:family w:val="auto"/>
    <w:pitch w:val="default"/>
    <w:sig w:usb0="00000287" w:usb1="080F0000" w:usb2="00000000" w:usb3="00000000" w:csb0="0004009F" w:csb1="DFD70000"/>
  </w:font>
  <w:font w:name="Garamond">
    <w:panose1 w:val="02020404030301010803"/>
    <w:charset w:val="00"/>
    <w:family w:val="roman"/>
    <w:pitch w:val="default"/>
    <w:sig w:usb0="00000287" w:usb1="00000000" w:usb2="00000000" w:usb3="00000000" w:csb0="0000009F" w:csb1="DFD70000"/>
  </w:font>
  <w:font w:name="仿宋体">
    <w:altName w:val="宋体"/>
    <w:panose1 w:val="00000000000000000000"/>
    <w:charset w:val="86"/>
    <w:family w:val="roma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Helvetica">
    <w:panose1 w:val="020B0504020202030204"/>
    <w:charset w:val="00"/>
    <w:family w:val="swiss"/>
    <w:pitch w:val="default"/>
    <w:sig w:usb0="00000007"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FangSong_GB2312,Bold">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w:fldChar w:fldCharType="begin"/>
    </w:r>
    <w:r>
      <w:instrText xml:space="preserve">PAGE   \* MERGEFORMAT</w:instrText>
    </w:r>
    <w:r>
      <w:fldChar w:fldCharType="separate"/>
    </w:r>
    <w:r>
      <w:rPr>
        <w:lang w:val="zh-CN"/>
      </w:rPr>
      <w:t>3</w:t>
    </w:r>
    <w:r>
      <w:fldChar w:fldCharType="end"/>
    </w:r>
  </w:p>
  <w:p>
    <w:pPr>
      <w:pStyle w:val="4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w:fldChar w:fldCharType="begin"/>
    </w:r>
    <w:r>
      <w:instrText xml:space="preserve">PAGE   \* MERGEFORMAT</w:instrText>
    </w:r>
    <w:r>
      <w:fldChar w:fldCharType="separate"/>
    </w:r>
    <w:r>
      <w:rPr>
        <w:lang w:val="zh-CN"/>
      </w:rPr>
      <w:t>83</w:t>
    </w:r>
    <w:r>
      <w:fldChar w:fldCharType="end"/>
    </w:r>
  </w:p>
  <w:p>
    <w:pPr>
      <w:pStyle w:val="4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9588F1"/>
    <w:multiLevelType w:val="singleLevel"/>
    <w:tmpl w:val="869588F1"/>
    <w:lvl w:ilvl="0" w:tentative="0">
      <w:start w:val="1"/>
      <w:numFmt w:val="decimal"/>
      <w:lvlText w:val="(%1)"/>
      <w:lvlJc w:val="left"/>
      <w:pPr>
        <w:ind w:left="425" w:hanging="425"/>
      </w:pPr>
      <w:rPr>
        <w:rFonts w:hint="default"/>
      </w:rPr>
    </w:lvl>
  </w:abstractNum>
  <w:abstractNum w:abstractNumId="1">
    <w:nsid w:val="917BB30C"/>
    <w:multiLevelType w:val="singleLevel"/>
    <w:tmpl w:val="917BB30C"/>
    <w:lvl w:ilvl="0" w:tentative="0">
      <w:start w:val="1"/>
      <w:numFmt w:val="decimal"/>
      <w:lvlText w:val="(%1)"/>
      <w:lvlJc w:val="left"/>
      <w:pPr>
        <w:ind w:left="425" w:hanging="425"/>
      </w:pPr>
      <w:rPr>
        <w:rFonts w:hint="default"/>
      </w:rPr>
    </w:lvl>
  </w:abstractNum>
  <w:abstractNum w:abstractNumId="2">
    <w:nsid w:val="B31D2DB2"/>
    <w:multiLevelType w:val="singleLevel"/>
    <w:tmpl w:val="B31D2DB2"/>
    <w:lvl w:ilvl="0" w:tentative="0">
      <w:start w:val="1"/>
      <w:numFmt w:val="decimal"/>
      <w:lvlText w:val="%1."/>
      <w:lvlJc w:val="left"/>
      <w:pPr>
        <w:tabs>
          <w:tab w:val="left" w:pos="312"/>
        </w:tabs>
      </w:pPr>
    </w:lvl>
  </w:abstractNum>
  <w:abstractNum w:abstractNumId="3">
    <w:nsid w:val="B4BCBDCD"/>
    <w:multiLevelType w:val="singleLevel"/>
    <w:tmpl w:val="B4BCBDCD"/>
    <w:lvl w:ilvl="0" w:tentative="0">
      <w:start w:val="1"/>
      <w:numFmt w:val="decimal"/>
      <w:lvlText w:val="(%1)"/>
      <w:lvlJc w:val="left"/>
      <w:pPr>
        <w:ind w:left="425" w:hanging="425"/>
      </w:pPr>
      <w:rPr>
        <w:rFonts w:hint="default"/>
      </w:rPr>
    </w:lvl>
  </w:abstractNum>
  <w:abstractNum w:abstractNumId="4">
    <w:nsid w:val="B7D08E9E"/>
    <w:multiLevelType w:val="singleLevel"/>
    <w:tmpl w:val="B7D08E9E"/>
    <w:lvl w:ilvl="0" w:tentative="0">
      <w:start w:val="14"/>
      <w:numFmt w:val="decimal"/>
      <w:pStyle w:val="111"/>
      <w:suff w:val="space"/>
      <w:lvlText w:val="%1."/>
      <w:lvlJc w:val="left"/>
    </w:lvl>
  </w:abstractNum>
  <w:abstractNum w:abstractNumId="5">
    <w:nsid w:val="BA026FF5"/>
    <w:multiLevelType w:val="singleLevel"/>
    <w:tmpl w:val="BA026FF5"/>
    <w:lvl w:ilvl="0" w:tentative="0">
      <w:start w:val="1"/>
      <w:numFmt w:val="decimal"/>
      <w:pStyle w:val="358"/>
      <w:lvlText w:val="(%1)"/>
      <w:lvlJc w:val="left"/>
      <w:pPr>
        <w:ind w:left="425" w:hanging="425"/>
      </w:pPr>
      <w:rPr>
        <w:rFonts w:hint="default"/>
      </w:rPr>
    </w:lvl>
  </w:abstractNum>
  <w:abstractNum w:abstractNumId="6">
    <w:nsid w:val="C83C6946"/>
    <w:multiLevelType w:val="singleLevel"/>
    <w:tmpl w:val="C83C6946"/>
    <w:lvl w:ilvl="0" w:tentative="0">
      <w:start w:val="1"/>
      <w:numFmt w:val="decimal"/>
      <w:lvlText w:val="(%1)"/>
      <w:lvlJc w:val="left"/>
      <w:pPr>
        <w:ind w:left="425" w:hanging="425"/>
      </w:pPr>
      <w:rPr>
        <w:rFonts w:hint="default"/>
      </w:rPr>
    </w:lvl>
  </w:abstractNum>
  <w:abstractNum w:abstractNumId="7">
    <w:nsid w:val="DAF4D647"/>
    <w:multiLevelType w:val="singleLevel"/>
    <w:tmpl w:val="DAF4D647"/>
    <w:lvl w:ilvl="0" w:tentative="0">
      <w:start w:val="1"/>
      <w:numFmt w:val="decimal"/>
      <w:pStyle w:val="622"/>
      <w:lvlText w:val="%1."/>
      <w:lvlJc w:val="left"/>
      <w:pPr>
        <w:tabs>
          <w:tab w:val="left" w:pos="312"/>
        </w:tabs>
      </w:pPr>
    </w:lvl>
  </w:abstractNum>
  <w:abstractNum w:abstractNumId="8">
    <w:nsid w:val="EEE78F77"/>
    <w:multiLevelType w:val="singleLevel"/>
    <w:tmpl w:val="EEE78F77"/>
    <w:lvl w:ilvl="0" w:tentative="0">
      <w:start w:val="1"/>
      <w:numFmt w:val="decimal"/>
      <w:pStyle w:val="434"/>
      <w:suff w:val="nothing"/>
      <w:lvlText w:val="%1、"/>
      <w:lvlJc w:val="left"/>
    </w:lvl>
  </w:abstractNum>
  <w:abstractNum w:abstractNumId="9">
    <w:nsid w:val="00000005"/>
    <w:multiLevelType w:val="multilevel"/>
    <w:tmpl w:val="00000005"/>
    <w:lvl w:ilvl="0" w:tentative="0">
      <w:start w:val="1"/>
      <w:numFmt w:val="decimal"/>
      <w:pStyle w:val="533"/>
      <w:lvlText w:val="2.%1"/>
      <w:lvlJc w:val="center"/>
      <w:pPr>
        <w:tabs>
          <w:tab w:val="left" w:pos="0"/>
        </w:tabs>
        <w:ind w:left="0" w:firstLine="227"/>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2.%3"/>
      <w:lvlJc w:val="center"/>
      <w:pPr>
        <w:tabs>
          <w:tab w:val="left" w:pos="613"/>
        </w:tabs>
        <w:ind w:left="613" w:firstLine="227"/>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4D"/>
    <w:multiLevelType w:val="multilevel"/>
    <w:tmpl w:val="0000004D"/>
    <w:lvl w:ilvl="0" w:tentative="0">
      <w:start w:val="2"/>
      <w:numFmt w:val="chineseCountingThousand"/>
      <w:pStyle w:val="523"/>
      <w:suff w:val="space"/>
      <w:lvlText w:val="第%1章"/>
      <w:lvlJc w:val="left"/>
      <w:pPr>
        <w:ind w:left="0" w:firstLine="0"/>
      </w:pPr>
      <w:rPr>
        <w:rFonts w:hint="eastAsia"/>
        <w:lang w:val="en-US"/>
      </w:rPr>
    </w:lvl>
    <w:lvl w:ilvl="1" w:tentative="0">
      <w:start w:val="1"/>
      <w:numFmt w:val="decimal"/>
      <w:isLgl/>
      <w:suff w:val="space"/>
      <w:lvlText w:val="%1.%2"/>
      <w:lvlJc w:val="left"/>
      <w:pPr>
        <w:ind w:left="1701" w:firstLine="0"/>
      </w:pPr>
      <w:rPr>
        <w:rFonts w:hint="eastAsia"/>
        <w:lang w:val="en-US" w:eastAsia="zh-CN"/>
      </w:rPr>
    </w:lvl>
    <w:lvl w:ilvl="2" w:tentative="0">
      <w:start w:val="1"/>
      <w:numFmt w:val="decimal"/>
      <w:isLgl/>
      <w:suff w:val="space"/>
      <w:lvlText w:val="%1.%2.%3"/>
      <w:lvlJc w:val="left"/>
      <w:pPr>
        <w:ind w:left="142" w:firstLine="0"/>
      </w:pPr>
      <w:rPr>
        <w:rFonts w:hint="default" w:ascii="宋体" w:hAnsi="宋体" w:eastAsia="宋体"/>
        <w:b/>
        <w:i w:val="0"/>
        <w:sz w:val="21"/>
        <w:szCs w:val="21"/>
        <w:lang w:val="en-US"/>
      </w:rPr>
    </w:lvl>
    <w:lvl w:ilvl="3" w:tentative="0">
      <w:start w:val="1"/>
      <w:numFmt w:val="decimal"/>
      <w:isLgl/>
      <w:suff w:val="space"/>
      <w:lvlText w:val="%1.%2.%3.%4"/>
      <w:lvlJc w:val="left"/>
      <w:pPr>
        <w:ind w:left="0" w:firstLine="0"/>
      </w:pPr>
      <w:rPr>
        <w:rFonts w:hint="default" w:ascii="宋体" w:hAnsi="宋体" w:eastAsia="宋体"/>
        <w:b/>
        <w:i w:val="0"/>
        <w:spacing w:val="0"/>
        <w:position w:val="0"/>
        <w:sz w:val="21"/>
        <w:szCs w:val="21"/>
      </w:rPr>
    </w:lvl>
    <w:lvl w:ilvl="4" w:tentative="0">
      <w:start w:val="1"/>
      <w:numFmt w:val="decimal"/>
      <w:isLgl/>
      <w:lvlText w:val="%1.%2.%3.%4.%5"/>
      <w:lvlJc w:val="left"/>
      <w:pPr>
        <w:tabs>
          <w:tab w:val="left" w:pos="420"/>
        </w:tabs>
        <w:ind w:left="420" w:hanging="420"/>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11">
    <w:nsid w:val="06F346B7"/>
    <w:multiLevelType w:val="multilevel"/>
    <w:tmpl w:val="06F346B7"/>
    <w:lvl w:ilvl="0" w:tentative="0">
      <w:start w:val="1"/>
      <w:numFmt w:val="decimal"/>
      <w:pStyle w:val="530"/>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093C6778"/>
    <w:multiLevelType w:val="multilevel"/>
    <w:tmpl w:val="093C6778"/>
    <w:lvl w:ilvl="0" w:tentative="0">
      <w:start w:val="1"/>
      <w:numFmt w:val="decimal"/>
      <w:suff w:val="nothing"/>
      <w:lvlText w:val="示例%1："/>
      <w:lvlJc w:val="left"/>
      <w:pPr>
        <w:ind w:left="0" w:firstLine="397"/>
      </w:pPr>
      <w:rPr>
        <w:rFonts w:hint="eastAsia" w:ascii="黑体" w:eastAsia="黑体"/>
        <w:sz w:val="18"/>
      </w:rPr>
    </w:lvl>
    <w:lvl w:ilvl="1" w:tentative="0">
      <w:start w:val="1"/>
      <w:numFmt w:val="lowerLetter"/>
      <w:pStyle w:val="560"/>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0D75EB00"/>
    <w:multiLevelType w:val="singleLevel"/>
    <w:tmpl w:val="0D75EB00"/>
    <w:lvl w:ilvl="0" w:tentative="0">
      <w:start w:val="1"/>
      <w:numFmt w:val="decimal"/>
      <w:lvlText w:val="(%1)"/>
      <w:lvlJc w:val="left"/>
      <w:pPr>
        <w:ind w:left="425" w:hanging="425"/>
      </w:pPr>
      <w:rPr>
        <w:rFonts w:hint="default"/>
      </w:rPr>
    </w:lvl>
  </w:abstractNum>
  <w:abstractNum w:abstractNumId="14">
    <w:nsid w:val="0E2D08C6"/>
    <w:multiLevelType w:val="multilevel"/>
    <w:tmpl w:val="0E2D08C6"/>
    <w:lvl w:ilvl="0" w:tentative="0">
      <w:start w:val="1"/>
      <w:numFmt w:val="decimal"/>
      <w:pStyle w:val="553"/>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5">
    <w:nsid w:val="0EE21A4A"/>
    <w:multiLevelType w:val="multilevel"/>
    <w:tmpl w:val="0EE21A4A"/>
    <w:lvl w:ilvl="0" w:tentative="0">
      <w:start w:val="1"/>
      <w:numFmt w:val="decimal"/>
      <w:pStyle w:val="531"/>
      <w:lvlText w:val="%1"/>
      <w:lvlJc w:val="center"/>
      <w:pPr>
        <w:tabs>
          <w:tab w:val="left" w:pos="142"/>
        </w:tabs>
        <w:ind w:left="142" w:firstLine="38"/>
      </w:pPr>
      <w:rPr>
        <w:rFonts w:hint="eastAsia"/>
      </w:rPr>
    </w:lvl>
    <w:lvl w:ilvl="1" w:tentative="0">
      <w:start w:val="1"/>
      <w:numFmt w:val="lowerLetter"/>
      <w:pStyle w:val="532"/>
      <w:lvlText w:val="%2)"/>
      <w:lvlJc w:val="left"/>
      <w:pPr>
        <w:tabs>
          <w:tab w:val="left" w:pos="840"/>
        </w:tabs>
        <w:ind w:left="840" w:hanging="420"/>
      </w:pPr>
    </w:lvl>
    <w:lvl w:ilvl="2" w:tentative="0">
      <w:start w:val="1"/>
      <w:numFmt w:val="lowerRoman"/>
      <w:pStyle w:val="638"/>
      <w:lvlText w:val="%3."/>
      <w:lvlJc w:val="right"/>
      <w:pPr>
        <w:tabs>
          <w:tab w:val="left" w:pos="1260"/>
        </w:tabs>
        <w:ind w:left="1260" w:hanging="420"/>
      </w:pPr>
    </w:lvl>
    <w:lvl w:ilvl="3" w:tentative="0">
      <w:start w:val="1"/>
      <w:numFmt w:val="decimal"/>
      <w:pStyle w:val="417"/>
      <w:lvlText w:val="%4."/>
      <w:lvlJc w:val="left"/>
      <w:pPr>
        <w:tabs>
          <w:tab w:val="left" w:pos="1680"/>
        </w:tabs>
        <w:ind w:left="1680" w:hanging="420"/>
      </w:pPr>
    </w:lvl>
    <w:lvl w:ilvl="4" w:tentative="0">
      <w:start w:val="1"/>
      <w:numFmt w:val="lowerLetter"/>
      <w:pStyle w:val="624"/>
      <w:lvlText w:val="%5)"/>
      <w:lvlJc w:val="left"/>
      <w:pPr>
        <w:tabs>
          <w:tab w:val="left" w:pos="2100"/>
        </w:tabs>
        <w:ind w:left="2100" w:hanging="420"/>
      </w:pPr>
    </w:lvl>
    <w:lvl w:ilvl="5" w:tentative="0">
      <w:start w:val="1"/>
      <w:numFmt w:val="lowerRoman"/>
      <w:pStyle w:val="526"/>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183C604A"/>
    <w:multiLevelType w:val="singleLevel"/>
    <w:tmpl w:val="183C604A"/>
    <w:lvl w:ilvl="0" w:tentative="0">
      <w:start w:val="1"/>
      <w:numFmt w:val="chineseCountingThousand"/>
      <w:pStyle w:val="440"/>
      <w:lvlText w:val="%1．"/>
      <w:lvlJc w:val="left"/>
      <w:pPr>
        <w:tabs>
          <w:tab w:val="left" w:pos="960"/>
        </w:tabs>
        <w:ind w:left="960" w:hanging="480"/>
      </w:pPr>
      <w:rPr>
        <w:rFonts w:hint="eastAsia"/>
      </w:rPr>
    </w:lvl>
  </w:abstractNum>
  <w:abstractNum w:abstractNumId="17">
    <w:nsid w:val="193C42F8"/>
    <w:multiLevelType w:val="multilevel"/>
    <w:tmpl w:val="193C42F8"/>
    <w:lvl w:ilvl="0" w:tentative="0">
      <w:start w:val="1"/>
      <w:numFmt w:val="decimal"/>
      <w:pStyle w:val="477"/>
      <w:lvlText w:val="%1）"/>
      <w:lvlJc w:val="left"/>
      <w:pPr>
        <w:ind w:left="1438" w:hanging="360"/>
      </w:pPr>
      <w:rPr>
        <w:rFonts w:hint="default"/>
      </w:rPr>
    </w:lvl>
    <w:lvl w:ilvl="1" w:tentative="0">
      <w:start w:val="1"/>
      <w:numFmt w:val="lowerLetter"/>
      <w:pStyle w:val="359"/>
      <w:lvlText w:val="%2)"/>
      <w:lvlJc w:val="left"/>
      <w:pPr>
        <w:ind w:left="1918" w:hanging="420"/>
      </w:pPr>
    </w:lvl>
    <w:lvl w:ilvl="2" w:tentative="0">
      <w:start w:val="1"/>
      <w:numFmt w:val="lowerRoman"/>
      <w:lvlText w:val="%3."/>
      <w:lvlJc w:val="right"/>
      <w:pPr>
        <w:ind w:left="2338" w:hanging="420"/>
      </w:pPr>
    </w:lvl>
    <w:lvl w:ilvl="3" w:tentative="0">
      <w:start w:val="1"/>
      <w:numFmt w:val="decimal"/>
      <w:pStyle w:val="645"/>
      <w:lvlText w:val="%4."/>
      <w:lvlJc w:val="left"/>
      <w:pPr>
        <w:ind w:left="2758" w:hanging="420"/>
      </w:pPr>
    </w:lvl>
    <w:lvl w:ilvl="4" w:tentative="0">
      <w:start w:val="1"/>
      <w:numFmt w:val="lowerLetter"/>
      <w:lvlText w:val="%5)"/>
      <w:lvlJc w:val="left"/>
      <w:pPr>
        <w:ind w:left="3178" w:hanging="420"/>
      </w:pPr>
    </w:lvl>
    <w:lvl w:ilvl="5" w:tentative="0">
      <w:start w:val="1"/>
      <w:numFmt w:val="lowerRoman"/>
      <w:pStyle w:val="639"/>
      <w:lvlText w:val="%6."/>
      <w:lvlJc w:val="right"/>
      <w:pPr>
        <w:ind w:left="3598" w:hanging="420"/>
      </w:pPr>
    </w:lvl>
    <w:lvl w:ilvl="6" w:tentative="0">
      <w:start w:val="1"/>
      <w:numFmt w:val="decimal"/>
      <w:lvlText w:val="%7."/>
      <w:lvlJc w:val="left"/>
      <w:pPr>
        <w:ind w:left="4018" w:hanging="420"/>
      </w:pPr>
    </w:lvl>
    <w:lvl w:ilvl="7" w:tentative="0">
      <w:start w:val="1"/>
      <w:numFmt w:val="lowerLetter"/>
      <w:lvlText w:val="%8)"/>
      <w:lvlJc w:val="left"/>
      <w:pPr>
        <w:ind w:left="4438" w:hanging="420"/>
      </w:pPr>
    </w:lvl>
    <w:lvl w:ilvl="8" w:tentative="0">
      <w:start w:val="1"/>
      <w:numFmt w:val="lowerRoman"/>
      <w:lvlText w:val="%9."/>
      <w:lvlJc w:val="right"/>
      <w:pPr>
        <w:ind w:left="4858" w:hanging="420"/>
      </w:pPr>
    </w:lvl>
  </w:abstractNum>
  <w:abstractNum w:abstractNumId="18">
    <w:nsid w:val="1CE11550"/>
    <w:multiLevelType w:val="multilevel"/>
    <w:tmpl w:val="1CE11550"/>
    <w:lvl w:ilvl="0" w:tentative="0">
      <w:start w:val="2"/>
      <w:numFmt w:val="decimal"/>
      <w:pStyle w:val="484"/>
      <w:lvlText w:val="%1．"/>
      <w:lvlJc w:val="left"/>
      <w:pPr>
        <w:tabs>
          <w:tab w:val="left" w:pos="480"/>
        </w:tabs>
        <w:ind w:left="480" w:hanging="360"/>
      </w:pPr>
      <w:rPr>
        <w:rFonts w:hint="default"/>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380"/>
        </w:tabs>
        <w:ind w:left="1380" w:hanging="420"/>
      </w:pPr>
    </w:lvl>
    <w:lvl w:ilvl="3" w:tentative="0">
      <w:start w:val="1"/>
      <w:numFmt w:val="decimal"/>
      <w:lvlText w:val="%4."/>
      <w:lvlJc w:val="left"/>
      <w:pPr>
        <w:tabs>
          <w:tab w:val="left" w:pos="1800"/>
        </w:tabs>
        <w:ind w:left="1800" w:hanging="420"/>
      </w:pPr>
    </w:lvl>
    <w:lvl w:ilvl="4" w:tentative="0">
      <w:start w:val="1"/>
      <w:numFmt w:val="lowerLetter"/>
      <w:lvlText w:val="%5)"/>
      <w:lvlJc w:val="left"/>
      <w:pPr>
        <w:tabs>
          <w:tab w:val="left" w:pos="2220"/>
        </w:tabs>
        <w:ind w:left="2220" w:hanging="420"/>
      </w:pPr>
    </w:lvl>
    <w:lvl w:ilvl="5" w:tentative="0">
      <w:start w:val="1"/>
      <w:numFmt w:val="lowerRoman"/>
      <w:lvlText w:val="%6."/>
      <w:lvlJc w:val="right"/>
      <w:pPr>
        <w:tabs>
          <w:tab w:val="left" w:pos="2640"/>
        </w:tabs>
        <w:ind w:left="2640" w:hanging="420"/>
      </w:pPr>
    </w:lvl>
    <w:lvl w:ilvl="6" w:tentative="0">
      <w:start w:val="1"/>
      <w:numFmt w:val="decimal"/>
      <w:lvlText w:val="%7."/>
      <w:lvlJc w:val="left"/>
      <w:pPr>
        <w:tabs>
          <w:tab w:val="left" w:pos="3060"/>
        </w:tabs>
        <w:ind w:left="3060" w:hanging="420"/>
      </w:pPr>
    </w:lvl>
    <w:lvl w:ilvl="7" w:tentative="0">
      <w:start w:val="1"/>
      <w:numFmt w:val="lowerLetter"/>
      <w:lvlText w:val="%8)"/>
      <w:lvlJc w:val="left"/>
      <w:pPr>
        <w:tabs>
          <w:tab w:val="left" w:pos="3480"/>
        </w:tabs>
        <w:ind w:left="3480" w:hanging="420"/>
      </w:pPr>
    </w:lvl>
    <w:lvl w:ilvl="8" w:tentative="0">
      <w:start w:val="1"/>
      <w:numFmt w:val="lowerRoman"/>
      <w:lvlText w:val="%9."/>
      <w:lvlJc w:val="right"/>
      <w:pPr>
        <w:tabs>
          <w:tab w:val="left" w:pos="3900"/>
        </w:tabs>
        <w:ind w:left="3900" w:hanging="420"/>
      </w:pPr>
    </w:lvl>
  </w:abstractNum>
  <w:abstractNum w:abstractNumId="19">
    <w:nsid w:val="22D6ECA1"/>
    <w:multiLevelType w:val="singleLevel"/>
    <w:tmpl w:val="22D6ECA1"/>
    <w:lvl w:ilvl="0" w:tentative="0">
      <w:start w:val="1"/>
      <w:numFmt w:val="decimal"/>
      <w:lvlText w:val="%1."/>
      <w:lvlJc w:val="left"/>
      <w:pPr>
        <w:ind w:left="425" w:hanging="425"/>
      </w:pPr>
      <w:rPr>
        <w:rFonts w:hint="default"/>
      </w:rPr>
    </w:lvl>
  </w:abstractNum>
  <w:abstractNum w:abstractNumId="20">
    <w:nsid w:val="277AEF1F"/>
    <w:multiLevelType w:val="singleLevel"/>
    <w:tmpl w:val="277AEF1F"/>
    <w:lvl w:ilvl="0" w:tentative="0">
      <w:start w:val="1"/>
      <w:numFmt w:val="decimal"/>
      <w:lvlText w:val="%1."/>
      <w:lvlJc w:val="left"/>
    </w:lvl>
  </w:abstractNum>
  <w:abstractNum w:abstractNumId="21">
    <w:nsid w:val="2C099FC3"/>
    <w:multiLevelType w:val="singleLevel"/>
    <w:tmpl w:val="2C099FC3"/>
    <w:lvl w:ilvl="0" w:tentative="0">
      <w:start w:val="1"/>
      <w:numFmt w:val="decimal"/>
      <w:lvlText w:val="(%1)"/>
      <w:lvlJc w:val="left"/>
      <w:pPr>
        <w:ind w:left="425" w:hanging="425"/>
      </w:pPr>
      <w:rPr>
        <w:rFonts w:hint="default"/>
      </w:rPr>
    </w:lvl>
  </w:abstractNum>
  <w:abstractNum w:abstractNumId="22">
    <w:nsid w:val="30ED4166"/>
    <w:multiLevelType w:val="multilevel"/>
    <w:tmpl w:val="30ED4166"/>
    <w:lvl w:ilvl="0" w:tentative="0">
      <w:start w:val="1"/>
      <w:numFmt w:val="decimal"/>
      <w:lvlText w:val="%1."/>
      <w:lvlJc w:val="left"/>
      <w:pPr>
        <w:tabs>
          <w:tab w:val="left" w:pos="420"/>
        </w:tabs>
        <w:ind w:left="420" w:hanging="420"/>
      </w:pPr>
      <w:rPr>
        <w:rFonts w:hint="eastAsia"/>
        <w:color w:val="auto"/>
      </w:rPr>
    </w:lvl>
    <w:lvl w:ilvl="1" w:tentative="0">
      <w:start w:val="1"/>
      <w:numFmt w:val="decimal"/>
      <w:lvlText w:val="%2、"/>
      <w:lvlJc w:val="left"/>
      <w:pPr>
        <w:tabs>
          <w:tab w:val="left" w:pos="510"/>
        </w:tabs>
        <w:ind w:left="510" w:hanging="510"/>
      </w:pPr>
      <w:rPr>
        <w:rFonts w:hint="default"/>
      </w:rPr>
    </w:lvl>
    <w:lvl w:ilvl="2" w:tentative="0">
      <w:start w:val="1"/>
      <w:numFmt w:val="decimal"/>
      <w:lvlText w:val="%3)"/>
      <w:lvlJc w:val="left"/>
      <w:pPr>
        <w:tabs>
          <w:tab w:val="left" w:pos="840"/>
        </w:tabs>
        <w:ind w:left="840" w:hanging="420"/>
      </w:pPr>
      <w:rPr>
        <w:rFonts w:hint="eastAsia"/>
        <w:color w:val="auto"/>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23">
    <w:nsid w:val="353DE79E"/>
    <w:multiLevelType w:val="singleLevel"/>
    <w:tmpl w:val="353DE79E"/>
    <w:lvl w:ilvl="0" w:tentative="0">
      <w:start w:val="1"/>
      <w:numFmt w:val="decimal"/>
      <w:lvlText w:val="(%1)"/>
      <w:lvlJc w:val="left"/>
      <w:pPr>
        <w:ind w:left="425" w:hanging="425"/>
      </w:pPr>
      <w:rPr>
        <w:rFonts w:hint="default"/>
      </w:rPr>
    </w:lvl>
  </w:abstractNum>
  <w:abstractNum w:abstractNumId="24">
    <w:nsid w:val="4501719F"/>
    <w:multiLevelType w:val="multilevel"/>
    <w:tmpl w:val="4501719F"/>
    <w:lvl w:ilvl="0" w:tentative="0">
      <w:start w:val="1"/>
      <w:numFmt w:val="decimal"/>
      <w:pStyle w:val="5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48800F0F"/>
    <w:multiLevelType w:val="multilevel"/>
    <w:tmpl w:val="48800F0F"/>
    <w:lvl w:ilvl="0" w:tentative="0">
      <w:start w:val="1"/>
      <w:numFmt w:val="decimal"/>
      <w:pStyle w:val="590"/>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pStyle w:val="339"/>
      <w:lvlText w:val="%1.%2.%3.%4"/>
      <w:lvlJc w:val="left"/>
      <w:pPr>
        <w:tabs>
          <w:tab w:val="left" w:pos="2328"/>
        </w:tabs>
        <w:ind w:left="2328"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52792A88"/>
    <w:multiLevelType w:val="multilevel"/>
    <w:tmpl w:val="52792A88"/>
    <w:lvl w:ilvl="0" w:tentative="0">
      <w:start w:val="1"/>
      <w:numFmt w:val="decimal"/>
      <w:pStyle w:val="546"/>
      <w:lvlText w:val="%1"/>
      <w:lvlJc w:val="center"/>
      <w:pPr>
        <w:tabs>
          <w:tab w:val="left" w:pos="142"/>
        </w:tabs>
        <w:ind w:left="142" w:firstLine="38"/>
      </w:pPr>
      <w:rPr>
        <w:rFonts w:hint="eastAsia"/>
      </w:rPr>
    </w:lvl>
    <w:lvl w:ilvl="1" w:tentative="0">
      <w:start w:val="1"/>
      <w:numFmt w:val="lowerLetter"/>
      <w:pStyle w:val="690"/>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7">
    <w:nsid w:val="56BB1B21"/>
    <w:multiLevelType w:val="multilevel"/>
    <w:tmpl w:val="56BB1B21"/>
    <w:lvl w:ilvl="0" w:tentative="0">
      <w:start w:val="1"/>
      <w:numFmt w:val="decimal"/>
      <w:pStyle w:val="660"/>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5AE3CC7D"/>
    <w:multiLevelType w:val="singleLevel"/>
    <w:tmpl w:val="5AE3CC7D"/>
    <w:lvl w:ilvl="0" w:tentative="0">
      <w:start w:val="1"/>
      <w:numFmt w:val="chineseCounting"/>
      <w:suff w:val="nothing"/>
      <w:lvlText w:val="%1、"/>
      <w:lvlJc w:val="left"/>
      <w:rPr>
        <w:rFonts w:hint="eastAsia"/>
      </w:rPr>
    </w:lvl>
  </w:abstractNum>
  <w:abstractNum w:abstractNumId="29">
    <w:nsid w:val="6360C531"/>
    <w:multiLevelType w:val="singleLevel"/>
    <w:tmpl w:val="6360C531"/>
    <w:lvl w:ilvl="0" w:tentative="0">
      <w:start w:val="1"/>
      <w:numFmt w:val="decimal"/>
      <w:suff w:val="nothing"/>
      <w:lvlText w:val="%1、"/>
      <w:lvlJc w:val="left"/>
    </w:lvl>
  </w:abstractNum>
  <w:abstractNum w:abstractNumId="30">
    <w:nsid w:val="6361E025"/>
    <w:multiLevelType w:val="singleLevel"/>
    <w:tmpl w:val="6361E025"/>
    <w:lvl w:ilvl="0" w:tentative="0">
      <w:start w:val="1"/>
      <w:numFmt w:val="decimal"/>
      <w:pStyle w:val="416"/>
      <w:suff w:val="nothing"/>
      <w:lvlText w:val="%1、"/>
      <w:lvlJc w:val="left"/>
    </w:lvl>
  </w:abstractNum>
  <w:abstractNum w:abstractNumId="31">
    <w:nsid w:val="636272A0"/>
    <w:multiLevelType w:val="singleLevel"/>
    <w:tmpl w:val="636272A0"/>
    <w:lvl w:ilvl="0" w:tentative="0">
      <w:start w:val="3"/>
      <w:numFmt w:val="decimal"/>
      <w:suff w:val="nothing"/>
      <w:lvlText w:val="(%1)"/>
      <w:lvlJc w:val="left"/>
    </w:lvl>
  </w:abstractNum>
  <w:abstractNum w:abstractNumId="32">
    <w:nsid w:val="64874A3C"/>
    <w:multiLevelType w:val="multilevel"/>
    <w:tmpl w:val="64874A3C"/>
    <w:lvl w:ilvl="0" w:tentative="0">
      <w:start w:val="1"/>
      <w:numFmt w:val="decimal"/>
      <w:pStyle w:val="430"/>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657D3FBC"/>
    <w:multiLevelType w:val="multilevel"/>
    <w:tmpl w:val="657D3FBC"/>
    <w:lvl w:ilvl="0" w:tentative="0">
      <w:start w:val="1"/>
      <w:numFmt w:val="upperLetter"/>
      <w:pStyle w:val="39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1055"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4">
    <w:nsid w:val="66785DDE"/>
    <w:multiLevelType w:val="multilevel"/>
    <w:tmpl w:val="66785DDE"/>
    <w:lvl w:ilvl="0" w:tentative="0">
      <w:start w:val="1"/>
      <w:numFmt w:val="decimal"/>
      <w:pStyle w:val="389"/>
      <w:lvlText w:val="%1."/>
      <w:lvlJc w:val="left"/>
      <w:pPr>
        <w:tabs>
          <w:tab w:val="left" w:pos="425"/>
        </w:tabs>
        <w:ind w:left="425" w:hanging="425"/>
      </w:pPr>
    </w:lvl>
    <w:lvl w:ilvl="1" w:tentative="0">
      <w:start w:val="7"/>
      <w:numFmt w:val="decimal"/>
      <w:pStyle w:val="597"/>
      <w:lvlText w:val="%1.%2."/>
      <w:lvlJc w:val="left"/>
      <w:pPr>
        <w:tabs>
          <w:tab w:val="left" w:pos="567"/>
        </w:tabs>
        <w:ind w:left="567" w:hanging="567"/>
      </w:pPr>
    </w:lvl>
    <w:lvl w:ilvl="2" w:tentative="0">
      <w:start w:val="1"/>
      <w:numFmt w:val="decimal"/>
      <w:pStyle w:val="675"/>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5">
    <w:nsid w:val="67BC6897"/>
    <w:multiLevelType w:val="multilevel"/>
    <w:tmpl w:val="67BC6897"/>
    <w:lvl w:ilvl="0" w:tentative="0">
      <w:start w:val="1"/>
      <w:numFmt w:val="chineseCountingThousand"/>
      <w:lvlText w:val="%1、"/>
      <w:lvlJc w:val="left"/>
      <w:pPr>
        <w:tabs>
          <w:tab w:val="left" w:pos="420"/>
        </w:tabs>
        <w:ind w:left="420" w:hanging="420"/>
      </w:pPr>
      <w:rPr>
        <w:rFonts w:cs="Times New Roman"/>
      </w:rPr>
    </w:lvl>
    <w:lvl w:ilvl="1" w:tentative="0">
      <w:start w:val="1"/>
      <w:numFmt w:val="lowerLetter"/>
      <w:pStyle w:val="534"/>
      <w:lvlText w:val="%2)"/>
      <w:lvlJc w:val="left"/>
      <w:pPr>
        <w:tabs>
          <w:tab w:val="left" w:pos="420"/>
        </w:tabs>
        <w:ind w:left="420" w:hanging="420"/>
      </w:pPr>
      <w:rPr>
        <w:rFonts w:cs="Times New Roman"/>
      </w:rPr>
    </w:lvl>
    <w:lvl w:ilvl="2" w:tentative="0">
      <w:start w:val="1"/>
      <w:numFmt w:val="lowerRoman"/>
      <w:lvlText w:val="%3."/>
      <w:lvlJc w:val="right"/>
      <w:pPr>
        <w:tabs>
          <w:tab w:val="left" w:pos="840"/>
        </w:tabs>
        <w:ind w:left="840" w:hanging="420"/>
      </w:pPr>
      <w:rPr>
        <w:rFonts w:cs="Times New Roman"/>
      </w:rPr>
    </w:lvl>
    <w:lvl w:ilvl="3" w:tentative="0">
      <w:start w:val="1"/>
      <w:numFmt w:val="decimal"/>
      <w:lvlText w:val="%4."/>
      <w:lvlJc w:val="left"/>
      <w:pPr>
        <w:tabs>
          <w:tab w:val="left" w:pos="1260"/>
        </w:tabs>
        <w:ind w:left="1260" w:hanging="420"/>
      </w:pPr>
      <w:rPr>
        <w:rFonts w:cs="Times New Roman"/>
      </w:rPr>
    </w:lvl>
    <w:lvl w:ilvl="4" w:tentative="0">
      <w:start w:val="1"/>
      <w:numFmt w:val="lowerLetter"/>
      <w:lvlText w:val="%5)"/>
      <w:lvlJc w:val="left"/>
      <w:pPr>
        <w:tabs>
          <w:tab w:val="left" w:pos="1680"/>
        </w:tabs>
        <w:ind w:left="1680" w:hanging="420"/>
      </w:pPr>
      <w:rPr>
        <w:rFonts w:cs="Times New Roman"/>
      </w:rPr>
    </w:lvl>
    <w:lvl w:ilvl="5" w:tentative="0">
      <w:start w:val="1"/>
      <w:numFmt w:val="lowerRoman"/>
      <w:lvlText w:val="%6."/>
      <w:lvlJc w:val="right"/>
      <w:pPr>
        <w:tabs>
          <w:tab w:val="left" w:pos="2100"/>
        </w:tabs>
        <w:ind w:left="2100" w:hanging="420"/>
      </w:pPr>
      <w:rPr>
        <w:rFonts w:cs="Times New Roman"/>
      </w:rPr>
    </w:lvl>
    <w:lvl w:ilvl="6" w:tentative="0">
      <w:start w:val="1"/>
      <w:numFmt w:val="decimal"/>
      <w:lvlText w:val="%7."/>
      <w:lvlJc w:val="left"/>
      <w:pPr>
        <w:tabs>
          <w:tab w:val="left" w:pos="2520"/>
        </w:tabs>
        <w:ind w:left="2520" w:hanging="420"/>
      </w:pPr>
      <w:rPr>
        <w:rFonts w:cs="Times New Roman"/>
      </w:rPr>
    </w:lvl>
    <w:lvl w:ilvl="7" w:tentative="0">
      <w:start w:val="1"/>
      <w:numFmt w:val="lowerLetter"/>
      <w:lvlText w:val="%8)"/>
      <w:lvlJc w:val="left"/>
      <w:pPr>
        <w:tabs>
          <w:tab w:val="left" w:pos="2940"/>
        </w:tabs>
        <w:ind w:left="2940" w:hanging="420"/>
      </w:pPr>
      <w:rPr>
        <w:rFonts w:cs="Times New Roman"/>
      </w:rPr>
    </w:lvl>
    <w:lvl w:ilvl="8" w:tentative="0">
      <w:start w:val="1"/>
      <w:numFmt w:val="lowerRoman"/>
      <w:lvlText w:val="%9."/>
      <w:lvlJc w:val="right"/>
      <w:pPr>
        <w:tabs>
          <w:tab w:val="left" w:pos="3360"/>
        </w:tabs>
        <w:ind w:left="3360" w:hanging="420"/>
      </w:pPr>
      <w:rPr>
        <w:rFonts w:cs="Times New Roman"/>
      </w:rPr>
    </w:lvl>
  </w:abstractNum>
  <w:abstractNum w:abstractNumId="36">
    <w:nsid w:val="72A91BB4"/>
    <w:multiLevelType w:val="multilevel"/>
    <w:tmpl w:val="72A91BB4"/>
    <w:lvl w:ilvl="0" w:tentative="0">
      <w:start w:val="1"/>
      <w:numFmt w:val="japaneseCounting"/>
      <w:pStyle w:val="51"/>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7A0E425D"/>
    <w:multiLevelType w:val="multilevel"/>
    <w:tmpl w:val="7A0E425D"/>
    <w:lvl w:ilvl="0" w:tentative="0">
      <w:start w:val="1"/>
      <w:numFmt w:val="decimal"/>
      <w:pStyle w:val="515"/>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7CC4046C"/>
    <w:multiLevelType w:val="singleLevel"/>
    <w:tmpl w:val="7CC4046C"/>
    <w:lvl w:ilvl="0" w:tentative="0">
      <w:start w:val="1"/>
      <w:numFmt w:val="decimal"/>
      <w:lvlText w:val="(%1)"/>
      <w:lvlJc w:val="left"/>
      <w:pPr>
        <w:ind w:left="425" w:hanging="425"/>
      </w:pPr>
      <w:rPr>
        <w:rFonts w:hint="default"/>
      </w:rPr>
    </w:lvl>
  </w:abstractNum>
  <w:abstractNum w:abstractNumId="39">
    <w:nsid w:val="7EC94742"/>
    <w:multiLevelType w:val="multilevel"/>
    <w:tmpl w:val="7EC9474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7ED16195"/>
    <w:multiLevelType w:val="multilevel"/>
    <w:tmpl w:val="7ED16195"/>
    <w:lvl w:ilvl="0" w:tentative="0">
      <w:start w:val="1"/>
      <w:numFmt w:val="decimal"/>
      <w:lvlText w:val="%1"/>
      <w:lvlJc w:val="left"/>
      <w:pPr>
        <w:tabs>
          <w:tab w:val="left" w:pos="432"/>
        </w:tabs>
        <w:ind w:left="432" w:hanging="432"/>
      </w:pPr>
      <w:rPr>
        <w:rFonts w:hint="eastAsia"/>
      </w:rPr>
    </w:lvl>
    <w:lvl w:ilvl="1" w:tentative="0">
      <w:start w:val="1"/>
      <w:numFmt w:val="decimal"/>
      <w:pStyle w:val="653"/>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36"/>
    <w:lvlOverride w:ilvl="0">
      <w:startOverride w:val="1"/>
    </w:lvlOverride>
  </w:num>
  <w:num w:numId="2">
    <w:abstractNumId w:val="24"/>
  </w:num>
  <w:num w:numId="3">
    <w:abstractNumId w:val="4"/>
  </w:num>
  <w:num w:numId="4">
    <w:abstractNumId w:val="2"/>
  </w:num>
  <w:num w:numId="5">
    <w:abstractNumId w:val="19"/>
  </w:num>
  <w:num w:numId="6">
    <w:abstractNumId w:val="31"/>
  </w:num>
  <w:num w:numId="7">
    <w:abstractNumId w:val="29"/>
  </w:num>
  <w:num w:numId="8">
    <w:abstractNumId w:val="25"/>
  </w:num>
  <w:num w:numId="9">
    <w:abstractNumId w:val="5"/>
  </w:num>
  <w:num w:numId="10">
    <w:abstractNumId w:val="17"/>
  </w:num>
  <w:num w:numId="11">
    <w:abstractNumId w:val="34"/>
  </w:num>
  <w:num w:numId="12">
    <w:abstractNumId w:val="33"/>
  </w:num>
  <w:num w:numId="13">
    <w:abstractNumId w:val="30"/>
  </w:num>
  <w:num w:numId="14">
    <w:abstractNumId w:val="15"/>
  </w:num>
  <w:num w:numId="15">
    <w:abstractNumId w:val="32"/>
  </w:num>
  <w:num w:numId="16">
    <w:abstractNumId w:val="8"/>
  </w:num>
  <w:num w:numId="17">
    <w:abstractNumId w:val="16"/>
  </w:num>
  <w:num w:numId="18">
    <w:abstractNumId w:val="18"/>
  </w:num>
  <w:num w:numId="19">
    <w:abstractNumId w:val="37"/>
  </w:num>
  <w:num w:numId="20">
    <w:abstractNumId w:val="10"/>
  </w:num>
  <w:num w:numId="21">
    <w:abstractNumId w:val="11"/>
  </w:num>
  <w:num w:numId="22">
    <w:abstractNumId w:val="9"/>
  </w:num>
  <w:num w:numId="23">
    <w:abstractNumId w:val="35"/>
    <w:lvlOverride w:ilvl="0">
      <w:startOverride w:val="1"/>
    </w:lvlOverride>
  </w:num>
  <w:num w:numId="24">
    <w:abstractNumId w:val="26"/>
  </w:num>
  <w:num w:numId="25">
    <w:abstractNumId w:val="14"/>
  </w:num>
  <w:num w:numId="26">
    <w:abstractNumId w:val="12"/>
  </w:num>
  <w:num w:numId="27">
    <w:abstractNumId w:val="7"/>
  </w:num>
  <w:num w:numId="28">
    <w:abstractNumId w:val="40"/>
  </w:num>
  <w:num w:numId="29">
    <w:abstractNumId w:val="27"/>
  </w:num>
  <w:num w:numId="30">
    <w:abstractNumId w:val="39"/>
  </w:num>
  <w:num w:numId="31">
    <w:abstractNumId w:val="28"/>
  </w:num>
  <w:num w:numId="32">
    <w:abstractNumId w:val="20"/>
  </w:num>
  <w:num w:numId="33">
    <w:abstractNumId w:val="23"/>
  </w:num>
  <w:num w:numId="34">
    <w:abstractNumId w:val="3"/>
  </w:num>
  <w:num w:numId="35">
    <w:abstractNumId w:val="13"/>
  </w:num>
  <w:num w:numId="36">
    <w:abstractNumId w:val="21"/>
  </w:num>
  <w:num w:numId="37">
    <w:abstractNumId w:val="0"/>
  </w:num>
  <w:num w:numId="38">
    <w:abstractNumId w:val="38"/>
  </w:num>
  <w:num w:numId="39">
    <w:abstractNumId w:val="6"/>
  </w:num>
  <w:num w:numId="40">
    <w:abstractNumId w:val="1"/>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xMjlmYTlhZjNjNGVhZTIyMWUzZmUwZjRjMjJjNWUifQ=="/>
  </w:docVars>
  <w:rsids>
    <w:rsidRoot w:val="00172A27"/>
    <w:rsid w:val="0000002A"/>
    <w:rsid w:val="000058C4"/>
    <w:rsid w:val="000073BA"/>
    <w:rsid w:val="0002202F"/>
    <w:rsid w:val="000271B7"/>
    <w:rsid w:val="00040E8E"/>
    <w:rsid w:val="00086FB2"/>
    <w:rsid w:val="000878DB"/>
    <w:rsid w:val="000A7773"/>
    <w:rsid w:val="000B232B"/>
    <w:rsid w:val="000C2B5A"/>
    <w:rsid w:val="000C534F"/>
    <w:rsid w:val="000C66C1"/>
    <w:rsid w:val="000D035E"/>
    <w:rsid w:val="000D65E4"/>
    <w:rsid w:val="000D7226"/>
    <w:rsid w:val="000E007D"/>
    <w:rsid w:val="000E6960"/>
    <w:rsid w:val="000F4F2D"/>
    <w:rsid w:val="001002CA"/>
    <w:rsid w:val="0011604E"/>
    <w:rsid w:val="00117938"/>
    <w:rsid w:val="00142A33"/>
    <w:rsid w:val="00142F22"/>
    <w:rsid w:val="00155005"/>
    <w:rsid w:val="00155652"/>
    <w:rsid w:val="00156DA7"/>
    <w:rsid w:val="00163EA2"/>
    <w:rsid w:val="00170E3E"/>
    <w:rsid w:val="00172A27"/>
    <w:rsid w:val="0017529F"/>
    <w:rsid w:val="00185B7E"/>
    <w:rsid w:val="001905C9"/>
    <w:rsid w:val="00191B21"/>
    <w:rsid w:val="001E091D"/>
    <w:rsid w:val="001E10AC"/>
    <w:rsid w:val="001E2B01"/>
    <w:rsid w:val="001E6176"/>
    <w:rsid w:val="00206C39"/>
    <w:rsid w:val="0020717B"/>
    <w:rsid w:val="00222362"/>
    <w:rsid w:val="00244F65"/>
    <w:rsid w:val="00250B0A"/>
    <w:rsid w:val="002578D1"/>
    <w:rsid w:val="00257FE7"/>
    <w:rsid w:val="002667C1"/>
    <w:rsid w:val="0027181D"/>
    <w:rsid w:val="00275656"/>
    <w:rsid w:val="002808DC"/>
    <w:rsid w:val="0028476C"/>
    <w:rsid w:val="00286E69"/>
    <w:rsid w:val="00295146"/>
    <w:rsid w:val="002A6F95"/>
    <w:rsid w:val="002B73BB"/>
    <w:rsid w:val="002C2683"/>
    <w:rsid w:val="002C49AA"/>
    <w:rsid w:val="002D78AB"/>
    <w:rsid w:val="002E1DA9"/>
    <w:rsid w:val="002E2127"/>
    <w:rsid w:val="00303D10"/>
    <w:rsid w:val="00306739"/>
    <w:rsid w:val="00307B8B"/>
    <w:rsid w:val="00320259"/>
    <w:rsid w:val="00321F18"/>
    <w:rsid w:val="00336CCC"/>
    <w:rsid w:val="00355FB3"/>
    <w:rsid w:val="00357F33"/>
    <w:rsid w:val="003827B0"/>
    <w:rsid w:val="003A304D"/>
    <w:rsid w:val="003B1111"/>
    <w:rsid w:val="003C04CA"/>
    <w:rsid w:val="003C5B0A"/>
    <w:rsid w:val="003E00CE"/>
    <w:rsid w:val="003F1CB0"/>
    <w:rsid w:val="003F46A1"/>
    <w:rsid w:val="00403A47"/>
    <w:rsid w:val="00416954"/>
    <w:rsid w:val="004278B4"/>
    <w:rsid w:val="00437E32"/>
    <w:rsid w:val="0044738C"/>
    <w:rsid w:val="00455E62"/>
    <w:rsid w:val="00457C61"/>
    <w:rsid w:val="00472C63"/>
    <w:rsid w:val="0048592E"/>
    <w:rsid w:val="00493040"/>
    <w:rsid w:val="00494CB1"/>
    <w:rsid w:val="00497DDD"/>
    <w:rsid w:val="004A4719"/>
    <w:rsid w:val="004D14CE"/>
    <w:rsid w:val="004D4B7B"/>
    <w:rsid w:val="004F09E3"/>
    <w:rsid w:val="005161F9"/>
    <w:rsid w:val="00531B57"/>
    <w:rsid w:val="0054301C"/>
    <w:rsid w:val="00555984"/>
    <w:rsid w:val="00555DB7"/>
    <w:rsid w:val="0055786E"/>
    <w:rsid w:val="00567430"/>
    <w:rsid w:val="00574781"/>
    <w:rsid w:val="0057645B"/>
    <w:rsid w:val="0058224A"/>
    <w:rsid w:val="005A3AB5"/>
    <w:rsid w:val="005B35EA"/>
    <w:rsid w:val="005B5B99"/>
    <w:rsid w:val="005B75FB"/>
    <w:rsid w:val="00603772"/>
    <w:rsid w:val="006142BD"/>
    <w:rsid w:val="00621358"/>
    <w:rsid w:val="00622D8D"/>
    <w:rsid w:val="00624FF0"/>
    <w:rsid w:val="00653FD0"/>
    <w:rsid w:val="00664B31"/>
    <w:rsid w:val="00664DA8"/>
    <w:rsid w:val="00665855"/>
    <w:rsid w:val="00667C1F"/>
    <w:rsid w:val="006706A6"/>
    <w:rsid w:val="00674AD7"/>
    <w:rsid w:val="00676D68"/>
    <w:rsid w:val="006A7244"/>
    <w:rsid w:val="006B1F0A"/>
    <w:rsid w:val="006B3A3B"/>
    <w:rsid w:val="006D517A"/>
    <w:rsid w:val="006D78D7"/>
    <w:rsid w:val="006E4977"/>
    <w:rsid w:val="006E7B04"/>
    <w:rsid w:val="006E7B35"/>
    <w:rsid w:val="00700D84"/>
    <w:rsid w:val="007133C0"/>
    <w:rsid w:val="0074191A"/>
    <w:rsid w:val="0075769F"/>
    <w:rsid w:val="00785FCC"/>
    <w:rsid w:val="00796156"/>
    <w:rsid w:val="007A48E1"/>
    <w:rsid w:val="007A6B0F"/>
    <w:rsid w:val="007C4862"/>
    <w:rsid w:val="007C7EA6"/>
    <w:rsid w:val="007D423B"/>
    <w:rsid w:val="007E2A22"/>
    <w:rsid w:val="007E6A6D"/>
    <w:rsid w:val="007E7442"/>
    <w:rsid w:val="007F45EA"/>
    <w:rsid w:val="008134EF"/>
    <w:rsid w:val="00823273"/>
    <w:rsid w:val="00827A57"/>
    <w:rsid w:val="008327A2"/>
    <w:rsid w:val="008409A0"/>
    <w:rsid w:val="00843DC9"/>
    <w:rsid w:val="0086218F"/>
    <w:rsid w:val="00864E5E"/>
    <w:rsid w:val="0088538C"/>
    <w:rsid w:val="00891E79"/>
    <w:rsid w:val="008932C5"/>
    <w:rsid w:val="0089392C"/>
    <w:rsid w:val="008B727E"/>
    <w:rsid w:val="008D0EFC"/>
    <w:rsid w:val="008E55FB"/>
    <w:rsid w:val="00906CF1"/>
    <w:rsid w:val="00910B33"/>
    <w:rsid w:val="00911EC8"/>
    <w:rsid w:val="00914E10"/>
    <w:rsid w:val="00930BFE"/>
    <w:rsid w:val="0094425F"/>
    <w:rsid w:val="00945295"/>
    <w:rsid w:val="00955472"/>
    <w:rsid w:val="00957F82"/>
    <w:rsid w:val="00961C16"/>
    <w:rsid w:val="00990E81"/>
    <w:rsid w:val="00996C51"/>
    <w:rsid w:val="009A2239"/>
    <w:rsid w:val="009D19AA"/>
    <w:rsid w:val="009D4731"/>
    <w:rsid w:val="009D7241"/>
    <w:rsid w:val="009D7E90"/>
    <w:rsid w:val="009E01A3"/>
    <w:rsid w:val="009E3CE5"/>
    <w:rsid w:val="00A015F4"/>
    <w:rsid w:val="00A02E05"/>
    <w:rsid w:val="00A035F3"/>
    <w:rsid w:val="00A06274"/>
    <w:rsid w:val="00A10360"/>
    <w:rsid w:val="00A14B71"/>
    <w:rsid w:val="00A17CF1"/>
    <w:rsid w:val="00A23022"/>
    <w:rsid w:val="00A2393E"/>
    <w:rsid w:val="00A328BE"/>
    <w:rsid w:val="00A51E96"/>
    <w:rsid w:val="00A74CA0"/>
    <w:rsid w:val="00AA1CBD"/>
    <w:rsid w:val="00AE2BA1"/>
    <w:rsid w:val="00B15917"/>
    <w:rsid w:val="00B20924"/>
    <w:rsid w:val="00B231BF"/>
    <w:rsid w:val="00B254F1"/>
    <w:rsid w:val="00B25566"/>
    <w:rsid w:val="00B411FE"/>
    <w:rsid w:val="00B546D6"/>
    <w:rsid w:val="00B64DCF"/>
    <w:rsid w:val="00B67106"/>
    <w:rsid w:val="00B77D11"/>
    <w:rsid w:val="00B926FF"/>
    <w:rsid w:val="00BA772C"/>
    <w:rsid w:val="00BB03E0"/>
    <w:rsid w:val="00BB2E9C"/>
    <w:rsid w:val="00BB630E"/>
    <w:rsid w:val="00BB6680"/>
    <w:rsid w:val="00BC3281"/>
    <w:rsid w:val="00BC773E"/>
    <w:rsid w:val="00BD3089"/>
    <w:rsid w:val="00BD3A96"/>
    <w:rsid w:val="00BE2FBE"/>
    <w:rsid w:val="00BE64D0"/>
    <w:rsid w:val="00C12042"/>
    <w:rsid w:val="00C308D1"/>
    <w:rsid w:val="00C35531"/>
    <w:rsid w:val="00C37D83"/>
    <w:rsid w:val="00C47329"/>
    <w:rsid w:val="00C66164"/>
    <w:rsid w:val="00C734F7"/>
    <w:rsid w:val="00C74073"/>
    <w:rsid w:val="00C8520F"/>
    <w:rsid w:val="00C86A6D"/>
    <w:rsid w:val="00CA2F3E"/>
    <w:rsid w:val="00CB0681"/>
    <w:rsid w:val="00CB25D6"/>
    <w:rsid w:val="00CB7352"/>
    <w:rsid w:val="00CD499D"/>
    <w:rsid w:val="00CF7BCE"/>
    <w:rsid w:val="00D166F1"/>
    <w:rsid w:val="00D242F2"/>
    <w:rsid w:val="00D268E6"/>
    <w:rsid w:val="00D30D6A"/>
    <w:rsid w:val="00D45E6D"/>
    <w:rsid w:val="00D52F85"/>
    <w:rsid w:val="00D74D15"/>
    <w:rsid w:val="00D91C65"/>
    <w:rsid w:val="00D955F4"/>
    <w:rsid w:val="00D965ED"/>
    <w:rsid w:val="00D96B04"/>
    <w:rsid w:val="00DA028D"/>
    <w:rsid w:val="00DA5BDD"/>
    <w:rsid w:val="00DA705A"/>
    <w:rsid w:val="00DC0F83"/>
    <w:rsid w:val="00DC176C"/>
    <w:rsid w:val="00DC6375"/>
    <w:rsid w:val="00DD067D"/>
    <w:rsid w:val="00DF2E01"/>
    <w:rsid w:val="00E059A6"/>
    <w:rsid w:val="00E116EB"/>
    <w:rsid w:val="00E124D9"/>
    <w:rsid w:val="00E13D07"/>
    <w:rsid w:val="00E1765E"/>
    <w:rsid w:val="00E35AAD"/>
    <w:rsid w:val="00E37E11"/>
    <w:rsid w:val="00E446D9"/>
    <w:rsid w:val="00E472A8"/>
    <w:rsid w:val="00E5439B"/>
    <w:rsid w:val="00E7443C"/>
    <w:rsid w:val="00E76AD7"/>
    <w:rsid w:val="00E92E5D"/>
    <w:rsid w:val="00EA1E61"/>
    <w:rsid w:val="00EA1F7C"/>
    <w:rsid w:val="00EB1BAF"/>
    <w:rsid w:val="00EE054E"/>
    <w:rsid w:val="00EE09E2"/>
    <w:rsid w:val="00EE734B"/>
    <w:rsid w:val="00EF2E35"/>
    <w:rsid w:val="00F03928"/>
    <w:rsid w:val="00F0516A"/>
    <w:rsid w:val="00F0554B"/>
    <w:rsid w:val="00F12B4D"/>
    <w:rsid w:val="00F177FB"/>
    <w:rsid w:val="00F25700"/>
    <w:rsid w:val="00F36D5B"/>
    <w:rsid w:val="00F423EC"/>
    <w:rsid w:val="00F44782"/>
    <w:rsid w:val="00F5089F"/>
    <w:rsid w:val="00F5115A"/>
    <w:rsid w:val="00F55B97"/>
    <w:rsid w:val="00F56C2F"/>
    <w:rsid w:val="00F64F94"/>
    <w:rsid w:val="00F70159"/>
    <w:rsid w:val="00F71A44"/>
    <w:rsid w:val="00F751A7"/>
    <w:rsid w:val="00F80C8C"/>
    <w:rsid w:val="00F8195A"/>
    <w:rsid w:val="00F86B7A"/>
    <w:rsid w:val="00F90738"/>
    <w:rsid w:val="00F955A0"/>
    <w:rsid w:val="00FA19BC"/>
    <w:rsid w:val="00FB607A"/>
    <w:rsid w:val="00FB6CC3"/>
    <w:rsid w:val="00FC7B7D"/>
    <w:rsid w:val="00FC7EF3"/>
    <w:rsid w:val="00FD110E"/>
    <w:rsid w:val="00FD190D"/>
    <w:rsid w:val="00FE5B0C"/>
    <w:rsid w:val="00FE6A61"/>
    <w:rsid w:val="00FE72F2"/>
    <w:rsid w:val="00FF4D5F"/>
    <w:rsid w:val="06684054"/>
    <w:rsid w:val="09674CAF"/>
    <w:rsid w:val="0E77289F"/>
    <w:rsid w:val="0EA75EFA"/>
    <w:rsid w:val="0EBA56EB"/>
    <w:rsid w:val="12E23B09"/>
    <w:rsid w:val="195972BA"/>
    <w:rsid w:val="1A253862"/>
    <w:rsid w:val="1A6C22A3"/>
    <w:rsid w:val="1E413B46"/>
    <w:rsid w:val="1EDC17E3"/>
    <w:rsid w:val="224606C8"/>
    <w:rsid w:val="225B1EDB"/>
    <w:rsid w:val="256E2E7B"/>
    <w:rsid w:val="26E76A20"/>
    <w:rsid w:val="2B680F8C"/>
    <w:rsid w:val="2D0A3153"/>
    <w:rsid w:val="2D9905F8"/>
    <w:rsid w:val="2DDA2C92"/>
    <w:rsid w:val="30CF0302"/>
    <w:rsid w:val="31ED10EB"/>
    <w:rsid w:val="35895A15"/>
    <w:rsid w:val="397462B6"/>
    <w:rsid w:val="3C7966F7"/>
    <w:rsid w:val="3C88336B"/>
    <w:rsid w:val="3D7055DC"/>
    <w:rsid w:val="3F4858AB"/>
    <w:rsid w:val="42942C2E"/>
    <w:rsid w:val="47A51755"/>
    <w:rsid w:val="48834C2A"/>
    <w:rsid w:val="4D1172D5"/>
    <w:rsid w:val="4F4F6D32"/>
    <w:rsid w:val="4FB75438"/>
    <w:rsid w:val="50F94E56"/>
    <w:rsid w:val="54A3063F"/>
    <w:rsid w:val="563632C5"/>
    <w:rsid w:val="5C6168FC"/>
    <w:rsid w:val="5DCE20E8"/>
    <w:rsid w:val="5DF15648"/>
    <w:rsid w:val="5FAB1A67"/>
    <w:rsid w:val="6CD7423E"/>
    <w:rsid w:val="6D9A687C"/>
    <w:rsid w:val="70395268"/>
    <w:rsid w:val="72E57193"/>
    <w:rsid w:val="74D50543"/>
    <w:rsid w:val="75DF3AFE"/>
    <w:rsid w:val="76FD8E8F"/>
    <w:rsid w:val="780A5372"/>
    <w:rsid w:val="784D3115"/>
    <w:rsid w:val="797B4DE7"/>
    <w:rsid w:val="7A346CBF"/>
    <w:rsid w:val="7D54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qFormat="1" w:uiPriority="99"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6"/>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7"/>
    <w:qFormat/>
    <w:uiPriority w:val="0"/>
    <w:pPr>
      <w:keepNext/>
      <w:keepLines/>
      <w:spacing w:before="260" w:after="260" w:line="416" w:lineRule="auto"/>
      <w:outlineLvl w:val="2"/>
    </w:pPr>
    <w:rPr>
      <w:b/>
      <w:bCs/>
      <w:sz w:val="32"/>
      <w:szCs w:val="32"/>
    </w:rPr>
  </w:style>
  <w:style w:type="paragraph" w:styleId="6">
    <w:name w:val="heading 4"/>
    <w:basedOn w:val="1"/>
    <w:next w:val="1"/>
    <w:link w:val="78"/>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79"/>
    <w:qFormat/>
    <w:uiPriority w:val="0"/>
    <w:pPr>
      <w:keepNext/>
      <w:keepLines/>
      <w:widowControl/>
      <w:spacing w:before="280" w:after="290" w:line="376" w:lineRule="auto"/>
      <w:jc w:val="left"/>
      <w:outlineLvl w:val="4"/>
    </w:pPr>
    <w:rPr>
      <w:b/>
      <w:bCs/>
      <w:kern w:val="0"/>
      <w:sz w:val="28"/>
      <w:szCs w:val="28"/>
    </w:rPr>
  </w:style>
  <w:style w:type="paragraph" w:styleId="8">
    <w:name w:val="heading 6"/>
    <w:basedOn w:val="1"/>
    <w:next w:val="1"/>
    <w:link w:val="80"/>
    <w:qFormat/>
    <w:uiPriority w:val="0"/>
    <w:pPr>
      <w:keepNext/>
      <w:keepLines/>
      <w:widowControl/>
      <w:spacing w:before="240" w:after="64" w:line="320" w:lineRule="auto"/>
      <w:jc w:val="left"/>
      <w:outlineLvl w:val="5"/>
    </w:pPr>
    <w:rPr>
      <w:rFonts w:ascii="Arial" w:hAnsi="Arial" w:eastAsia="黑体"/>
      <w:b/>
      <w:bCs/>
      <w:kern w:val="0"/>
      <w:sz w:val="24"/>
    </w:rPr>
  </w:style>
  <w:style w:type="paragraph" w:styleId="9">
    <w:name w:val="heading 7"/>
    <w:basedOn w:val="1"/>
    <w:next w:val="1"/>
    <w:link w:val="81"/>
    <w:qFormat/>
    <w:uiPriority w:val="0"/>
    <w:pPr>
      <w:keepNext/>
      <w:keepLines/>
      <w:widowControl/>
      <w:spacing w:before="240" w:after="64" w:line="320" w:lineRule="auto"/>
      <w:jc w:val="left"/>
      <w:outlineLvl w:val="6"/>
    </w:pPr>
    <w:rPr>
      <w:b/>
      <w:bCs/>
      <w:kern w:val="0"/>
      <w:sz w:val="24"/>
    </w:rPr>
  </w:style>
  <w:style w:type="paragraph" w:styleId="10">
    <w:name w:val="heading 8"/>
    <w:basedOn w:val="1"/>
    <w:next w:val="1"/>
    <w:link w:val="82"/>
    <w:qFormat/>
    <w:uiPriority w:val="0"/>
    <w:pPr>
      <w:keepNext/>
      <w:keepLines/>
      <w:widowControl/>
      <w:spacing w:before="240" w:after="64" w:line="320" w:lineRule="auto"/>
      <w:jc w:val="left"/>
      <w:outlineLvl w:val="7"/>
    </w:pPr>
    <w:rPr>
      <w:rFonts w:ascii="Arial" w:hAnsi="Arial" w:eastAsia="黑体"/>
      <w:kern w:val="0"/>
      <w:sz w:val="24"/>
    </w:rPr>
  </w:style>
  <w:style w:type="paragraph" w:styleId="11">
    <w:name w:val="heading 9"/>
    <w:basedOn w:val="1"/>
    <w:next w:val="1"/>
    <w:link w:val="83"/>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66">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Calibri" w:hAnsi="Calibri" w:eastAsia="宋体" w:cs="Times New Roman"/>
      <w:kern w:val="2"/>
      <w:sz w:val="21"/>
      <w:szCs w:val="22"/>
      <w:lang w:val="en-US" w:eastAsia="zh-CN" w:bidi="ar-SA"/>
    </w:rPr>
  </w:style>
  <w:style w:type="paragraph" w:styleId="12">
    <w:name w:val="toc 7"/>
    <w:basedOn w:val="1"/>
    <w:next w:val="1"/>
    <w:unhideWhenUsed/>
    <w:qFormat/>
    <w:uiPriority w:val="0"/>
    <w:pPr>
      <w:ind w:left="1260"/>
      <w:jc w:val="left"/>
    </w:pPr>
    <w:rPr>
      <w:sz w:val="18"/>
      <w:szCs w:val="18"/>
    </w:rPr>
  </w:style>
  <w:style w:type="paragraph" w:styleId="13">
    <w:name w:val="Note Heading"/>
    <w:basedOn w:val="1"/>
    <w:next w:val="1"/>
    <w:link w:val="84"/>
    <w:qFormat/>
    <w:uiPriority w:val="99"/>
    <w:pPr>
      <w:widowControl/>
      <w:spacing w:before="240" w:after="60"/>
      <w:jc w:val="left"/>
    </w:pPr>
    <w:rPr>
      <w:rFonts w:ascii="Calibri" w:hAnsi="Calibri"/>
      <w:kern w:val="0"/>
      <w:sz w:val="20"/>
      <w:szCs w:val="20"/>
    </w:rPr>
  </w:style>
  <w:style w:type="paragraph" w:styleId="14">
    <w:name w:val="index 8"/>
    <w:basedOn w:val="1"/>
    <w:next w:val="1"/>
    <w:qFormat/>
    <w:uiPriority w:val="0"/>
    <w:pPr>
      <w:ind w:left="1680" w:hanging="210"/>
      <w:jc w:val="left"/>
    </w:pPr>
    <w:rPr>
      <w:sz w:val="20"/>
      <w:szCs w:val="20"/>
    </w:rPr>
  </w:style>
  <w:style w:type="paragraph" w:styleId="15">
    <w:name w:val="Normal Indent"/>
    <w:basedOn w:val="1"/>
    <w:link w:val="85"/>
    <w:qFormat/>
    <w:uiPriority w:val="0"/>
    <w:pPr>
      <w:ind w:firstLine="420"/>
    </w:pPr>
    <w:rPr>
      <w:szCs w:val="20"/>
    </w:rPr>
  </w:style>
  <w:style w:type="paragraph" w:styleId="16">
    <w:name w:val="caption"/>
    <w:basedOn w:val="1"/>
    <w:next w:val="1"/>
    <w:link w:val="86"/>
    <w:qFormat/>
    <w:uiPriority w:val="0"/>
    <w:rPr>
      <w:rFonts w:ascii="Arial" w:hAnsi="Arial" w:eastAsia="黑体"/>
      <w:sz w:val="20"/>
      <w:szCs w:val="20"/>
    </w:rPr>
  </w:style>
  <w:style w:type="paragraph" w:styleId="17">
    <w:name w:val="index 5"/>
    <w:basedOn w:val="1"/>
    <w:next w:val="1"/>
    <w:qFormat/>
    <w:uiPriority w:val="0"/>
    <w:pPr>
      <w:ind w:left="1050" w:hanging="210"/>
      <w:jc w:val="left"/>
    </w:pPr>
    <w:rPr>
      <w:sz w:val="20"/>
      <w:szCs w:val="20"/>
    </w:rPr>
  </w:style>
  <w:style w:type="paragraph" w:styleId="18">
    <w:name w:val="List Bullet"/>
    <w:basedOn w:val="1"/>
    <w:qFormat/>
    <w:uiPriority w:val="0"/>
    <w:pPr>
      <w:tabs>
        <w:tab w:val="left" w:pos="555"/>
      </w:tabs>
      <w:autoSpaceDE w:val="0"/>
      <w:autoSpaceDN w:val="0"/>
      <w:adjustRightInd w:val="0"/>
      <w:snapToGrid w:val="0"/>
      <w:spacing w:line="360" w:lineRule="auto"/>
      <w:ind w:left="555"/>
      <w:textAlignment w:val="baseline"/>
    </w:pPr>
    <w:rPr>
      <w:rFonts w:ascii="宋体" w:hAnsi="Tms Rmn"/>
      <w:snapToGrid w:val="0"/>
      <w:color w:val="000000"/>
      <w:kern w:val="24"/>
      <w:sz w:val="28"/>
      <w:szCs w:val="20"/>
    </w:rPr>
  </w:style>
  <w:style w:type="paragraph" w:styleId="19">
    <w:name w:val="Document Map"/>
    <w:basedOn w:val="1"/>
    <w:link w:val="87"/>
    <w:qFormat/>
    <w:uiPriority w:val="0"/>
    <w:pPr>
      <w:shd w:val="clear" w:color="auto" w:fill="000080"/>
    </w:pPr>
    <w:rPr>
      <w:szCs w:val="20"/>
    </w:rPr>
  </w:style>
  <w:style w:type="paragraph" w:styleId="20">
    <w:name w:val="annotation text"/>
    <w:basedOn w:val="1"/>
    <w:link w:val="88"/>
    <w:qFormat/>
    <w:uiPriority w:val="99"/>
    <w:pPr>
      <w:jc w:val="left"/>
    </w:pPr>
  </w:style>
  <w:style w:type="paragraph" w:styleId="21">
    <w:name w:val="index 6"/>
    <w:basedOn w:val="1"/>
    <w:next w:val="1"/>
    <w:qFormat/>
    <w:uiPriority w:val="0"/>
    <w:pPr>
      <w:ind w:left="1260" w:hanging="210"/>
      <w:jc w:val="left"/>
    </w:pPr>
    <w:rPr>
      <w:sz w:val="20"/>
      <w:szCs w:val="20"/>
    </w:rPr>
  </w:style>
  <w:style w:type="paragraph" w:styleId="22">
    <w:name w:val="Body Text 3"/>
    <w:basedOn w:val="1"/>
    <w:link w:val="89"/>
    <w:qFormat/>
    <w:uiPriority w:val="0"/>
    <w:pPr>
      <w:spacing w:after="120"/>
    </w:pPr>
    <w:rPr>
      <w:sz w:val="16"/>
      <w:szCs w:val="16"/>
    </w:rPr>
  </w:style>
  <w:style w:type="paragraph" w:styleId="23">
    <w:name w:val="Closing"/>
    <w:basedOn w:val="1"/>
    <w:link w:val="90"/>
    <w:unhideWhenUsed/>
    <w:qFormat/>
    <w:uiPriority w:val="99"/>
    <w:pPr>
      <w:ind w:left="100" w:leftChars="2100"/>
    </w:pPr>
    <w:rPr>
      <w:rFonts w:ascii="Calibri" w:hAnsi="Calibri"/>
      <w:kern w:val="0"/>
      <w:sz w:val="20"/>
      <w:szCs w:val="20"/>
    </w:rPr>
  </w:style>
  <w:style w:type="paragraph" w:styleId="24">
    <w:name w:val="List Bullet 3"/>
    <w:basedOn w:val="1"/>
    <w:qFormat/>
    <w:uiPriority w:val="0"/>
    <w:pPr>
      <w:tabs>
        <w:tab w:val="left" w:pos="840"/>
        <w:tab w:val="left" w:pos="960"/>
      </w:tabs>
      <w:ind w:left="1260" w:leftChars="172" w:hanging="899" w:hangingChars="428"/>
    </w:pPr>
  </w:style>
  <w:style w:type="paragraph" w:styleId="25">
    <w:name w:val="Body Text"/>
    <w:basedOn w:val="1"/>
    <w:link w:val="91"/>
    <w:qFormat/>
    <w:uiPriority w:val="0"/>
    <w:pPr>
      <w:spacing w:line="360" w:lineRule="auto"/>
    </w:pPr>
    <w:rPr>
      <w:szCs w:val="20"/>
    </w:rPr>
  </w:style>
  <w:style w:type="paragraph" w:styleId="26">
    <w:name w:val="Body Text Indent"/>
    <w:basedOn w:val="1"/>
    <w:link w:val="92"/>
    <w:qFormat/>
    <w:uiPriority w:val="99"/>
    <w:pPr>
      <w:ind w:firstLine="830" w:firstLineChars="352"/>
    </w:pPr>
    <w:rPr>
      <w:rFonts w:ascii="仿宋_GB2312" w:eastAsia="仿宋_GB2312"/>
      <w:sz w:val="32"/>
      <w:szCs w:val="20"/>
    </w:rPr>
  </w:style>
  <w:style w:type="paragraph" w:styleId="27">
    <w:name w:val="List 2"/>
    <w:basedOn w:val="1"/>
    <w:qFormat/>
    <w:uiPriority w:val="0"/>
    <w:pPr>
      <w:ind w:left="840" w:hanging="420"/>
    </w:pPr>
  </w:style>
  <w:style w:type="paragraph" w:styleId="28">
    <w:name w:val="Block Text"/>
    <w:basedOn w:val="1"/>
    <w:qFormat/>
    <w:uiPriority w:val="0"/>
    <w:pPr>
      <w:ind w:left="848" w:leftChars="404" w:right="-420" w:rightChars="-200"/>
    </w:pPr>
    <w:rPr>
      <w:rFonts w:eastAsia="楷体_GB2312"/>
      <w:b/>
      <w:bCs/>
      <w:sz w:val="28"/>
      <w:szCs w:val="20"/>
    </w:rPr>
  </w:style>
  <w:style w:type="paragraph" w:styleId="29">
    <w:name w:val="index 4"/>
    <w:basedOn w:val="1"/>
    <w:next w:val="1"/>
    <w:qFormat/>
    <w:uiPriority w:val="0"/>
    <w:pPr>
      <w:ind w:left="840" w:hanging="210"/>
      <w:jc w:val="left"/>
    </w:pPr>
    <w:rPr>
      <w:sz w:val="20"/>
      <w:szCs w:val="20"/>
    </w:rPr>
  </w:style>
  <w:style w:type="paragraph" w:styleId="30">
    <w:name w:val="toc 5"/>
    <w:basedOn w:val="1"/>
    <w:next w:val="1"/>
    <w:unhideWhenUsed/>
    <w:qFormat/>
    <w:uiPriority w:val="0"/>
    <w:pPr>
      <w:ind w:left="840"/>
      <w:jc w:val="left"/>
    </w:pPr>
    <w:rPr>
      <w:sz w:val="18"/>
      <w:szCs w:val="18"/>
    </w:rPr>
  </w:style>
  <w:style w:type="paragraph" w:styleId="31">
    <w:name w:val="toc 3"/>
    <w:basedOn w:val="1"/>
    <w:next w:val="1"/>
    <w:qFormat/>
    <w:uiPriority w:val="0"/>
    <w:pPr>
      <w:spacing w:line="300" w:lineRule="auto"/>
      <w:ind w:left="420"/>
      <w:jc w:val="left"/>
    </w:pPr>
    <w:rPr>
      <w:i/>
      <w:iCs/>
      <w:szCs w:val="20"/>
    </w:rPr>
  </w:style>
  <w:style w:type="paragraph" w:styleId="32">
    <w:name w:val="Plain Text"/>
    <w:basedOn w:val="1"/>
    <w:link w:val="93"/>
    <w:qFormat/>
    <w:uiPriority w:val="0"/>
    <w:rPr>
      <w:rFonts w:ascii="宋体" w:hAnsi="Courier New" w:cs="Courier New"/>
      <w:szCs w:val="21"/>
    </w:rPr>
  </w:style>
  <w:style w:type="paragraph" w:styleId="33">
    <w:name w:val="List Number 4"/>
    <w:basedOn w:val="1"/>
    <w:qFormat/>
    <w:uiPriority w:val="0"/>
    <w:pPr>
      <w:widowControl/>
      <w:tabs>
        <w:tab w:val="left" w:pos="1209"/>
      </w:tabs>
      <w:spacing w:before="240" w:after="60"/>
      <w:ind w:left="1209" w:hanging="360"/>
      <w:jc w:val="left"/>
    </w:pPr>
    <w:rPr>
      <w:rFonts w:ascii="宋体" w:hAnsi="宋体"/>
      <w:kern w:val="0"/>
      <w:szCs w:val="21"/>
      <w:lang w:val="en-GB" w:eastAsia="en-GB"/>
    </w:rPr>
  </w:style>
  <w:style w:type="paragraph" w:styleId="34">
    <w:name w:val="toc 8"/>
    <w:basedOn w:val="1"/>
    <w:next w:val="1"/>
    <w:qFormat/>
    <w:uiPriority w:val="0"/>
    <w:pPr>
      <w:ind w:left="1470"/>
      <w:jc w:val="left"/>
    </w:pPr>
    <w:rPr>
      <w:sz w:val="18"/>
      <w:szCs w:val="18"/>
    </w:rPr>
  </w:style>
  <w:style w:type="paragraph" w:styleId="35">
    <w:name w:val="index 3"/>
    <w:basedOn w:val="1"/>
    <w:next w:val="1"/>
    <w:qFormat/>
    <w:uiPriority w:val="0"/>
    <w:pPr>
      <w:ind w:left="630" w:hanging="210"/>
      <w:jc w:val="left"/>
    </w:pPr>
    <w:rPr>
      <w:sz w:val="20"/>
      <w:szCs w:val="20"/>
    </w:rPr>
  </w:style>
  <w:style w:type="paragraph" w:styleId="36">
    <w:name w:val="Date"/>
    <w:basedOn w:val="1"/>
    <w:next w:val="1"/>
    <w:link w:val="94"/>
    <w:qFormat/>
    <w:uiPriority w:val="0"/>
    <w:rPr>
      <w:szCs w:val="20"/>
    </w:rPr>
  </w:style>
  <w:style w:type="paragraph" w:styleId="37">
    <w:name w:val="Body Text Indent 2"/>
    <w:basedOn w:val="1"/>
    <w:link w:val="95"/>
    <w:qFormat/>
    <w:uiPriority w:val="0"/>
    <w:pPr>
      <w:spacing w:line="540" w:lineRule="exact"/>
      <w:ind w:left="462" w:leftChars="220"/>
    </w:pPr>
    <w:rPr>
      <w:sz w:val="24"/>
    </w:rPr>
  </w:style>
  <w:style w:type="paragraph" w:styleId="38">
    <w:name w:val="endnote text"/>
    <w:basedOn w:val="1"/>
    <w:link w:val="96"/>
    <w:qFormat/>
    <w:uiPriority w:val="99"/>
    <w:pPr>
      <w:snapToGrid w:val="0"/>
      <w:spacing w:line="360" w:lineRule="auto"/>
      <w:ind w:firstLine="200" w:firstLineChars="200"/>
      <w:jc w:val="left"/>
    </w:pPr>
    <w:rPr>
      <w:rFonts w:ascii="Calibri" w:hAnsi="Calibri"/>
      <w:kern w:val="0"/>
      <w:sz w:val="20"/>
      <w:szCs w:val="20"/>
    </w:rPr>
  </w:style>
  <w:style w:type="paragraph" w:styleId="39">
    <w:name w:val="Balloon Text"/>
    <w:basedOn w:val="1"/>
    <w:link w:val="97"/>
    <w:qFormat/>
    <w:uiPriority w:val="99"/>
    <w:rPr>
      <w:sz w:val="18"/>
      <w:szCs w:val="18"/>
    </w:rPr>
  </w:style>
  <w:style w:type="paragraph" w:styleId="40">
    <w:name w:val="footer"/>
    <w:basedOn w:val="1"/>
    <w:link w:val="98"/>
    <w:qFormat/>
    <w:uiPriority w:val="0"/>
    <w:pPr>
      <w:tabs>
        <w:tab w:val="center" w:pos="4153"/>
        <w:tab w:val="right" w:pos="8306"/>
      </w:tabs>
      <w:snapToGrid w:val="0"/>
      <w:jc w:val="left"/>
    </w:pPr>
    <w:rPr>
      <w:sz w:val="18"/>
      <w:szCs w:val="18"/>
    </w:rPr>
  </w:style>
  <w:style w:type="paragraph" w:styleId="41">
    <w:name w:val="header"/>
    <w:basedOn w:val="1"/>
    <w:link w:val="99"/>
    <w:qFormat/>
    <w:uiPriority w:val="0"/>
    <w:pPr>
      <w:tabs>
        <w:tab w:val="center" w:pos="4153"/>
        <w:tab w:val="right" w:pos="8306"/>
      </w:tabs>
      <w:snapToGrid w:val="0"/>
      <w:jc w:val="center"/>
    </w:pPr>
    <w:rPr>
      <w:sz w:val="18"/>
      <w:szCs w:val="18"/>
    </w:rPr>
  </w:style>
  <w:style w:type="paragraph" w:styleId="42">
    <w:name w:val="toc 1"/>
    <w:basedOn w:val="1"/>
    <w:next w:val="1"/>
    <w:qFormat/>
    <w:uiPriority w:val="0"/>
    <w:pPr>
      <w:spacing w:before="120" w:after="120" w:line="360" w:lineRule="auto"/>
      <w:jc w:val="left"/>
    </w:pPr>
    <w:rPr>
      <w:b/>
      <w:bCs/>
      <w:caps/>
      <w:sz w:val="24"/>
      <w:szCs w:val="20"/>
    </w:rPr>
  </w:style>
  <w:style w:type="paragraph" w:styleId="43">
    <w:name w:val="toc 4"/>
    <w:basedOn w:val="1"/>
    <w:next w:val="1"/>
    <w:unhideWhenUsed/>
    <w:qFormat/>
    <w:uiPriority w:val="0"/>
    <w:pPr>
      <w:ind w:left="630"/>
      <w:jc w:val="left"/>
    </w:pPr>
    <w:rPr>
      <w:sz w:val="18"/>
      <w:szCs w:val="18"/>
    </w:rPr>
  </w:style>
  <w:style w:type="paragraph" w:styleId="44">
    <w:name w:val="index heading"/>
    <w:basedOn w:val="1"/>
    <w:next w:val="45"/>
    <w:qFormat/>
    <w:uiPriority w:val="0"/>
    <w:rPr>
      <w:szCs w:val="20"/>
    </w:rPr>
  </w:style>
  <w:style w:type="paragraph" w:styleId="45">
    <w:name w:val="index 1"/>
    <w:basedOn w:val="1"/>
    <w:next w:val="1"/>
    <w:qFormat/>
    <w:uiPriority w:val="0"/>
    <w:pPr>
      <w:tabs>
        <w:tab w:val="left" w:pos="7740"/>
      </w:tabs>
      <w:jc w:val="center"/>
    </w:pPr>
    <w:rPr>
      <w:rFonts w:ascii="仿宋" w:hAnsi="仿宋" w:eastAsia="仿宋"/>
      <w:b/>
      <w:sz w:val="28"/>
      <w:szCs w:val="28"/>
    </w:rPr>
  </w:style>
  <w:style w:type="paragraph" w:styleId="46">
    <w:name w:val="Subtitle"/>
    <w:basedOn w:val="1"/>
    <w:link w:val="100"/>
    <w:qFormat/>
    <w:uiPriority w:val="11"/>
    <w:pPr>
      <w:spacing w:before="240" w:after="60" w:line="312" w:lineRule="auto"/>
      <w:jc w:val="center"/>
      <w:outlineLvl w:val="1"/>
    </w:pPr>
    <w:rPr>
      <w:rFonts w:ascii="Cambria" w:hAnsi="Cambria"/>
      <w:b/>
      <w:bCs/>
      <w:kern w:val="28"/>
      <w:sz w:val="32"/>
      <w:szCs w:val="32"/>
    </w:rPr>
  </w:style>
  <w:style w:type="paragraph" w:styleId="47">
    <w:name w:val="List"/>
    <w:basedOn w:val="1"/>
    <w:qFormat/>
    <w:uiPriority w:val="0"/>
    <w:pPr>
      <w:tabs>
        <w:tab w:val="left" w:pos="360"/>
        <w:tab w:val="left" w:pos="709"/>
      </w:tabs>
      <w:spacing w:line="300" w:lineRule="auto"/>
      <w:ind w:left="363" w:hanging="170"/>
    </w:pPr>
    <w:rPr>
      <w:spacing w:val="20"/>
      <w:szCs w:val="20"/>
    </w:rPr>
  </w:style>
  <w:style w:type="paragraph" w:styleId="48">
    <w:name w:val="footnote text"/>
    <w:basedOn w:val="1"/>
    <w:link w:val="101"/>
    <w:qFormat/>
    <w:uiPriority w:val="99"/>
    <w:pPr>
      <w:tabs>
        <w:tab w:val="left" w:pos="0"/>
        <w:tab w:val="left" w:pos="648"/>
      </w:tabs>
      <w:snapToGrid w:val="0"/>
      <w:ind w:left="720" w:hanging="357"/>
      <w:jc w:val="left"/>
    </w:pPr>
    <w:rPr>
      <w:rFonts w:ascii="Calibri" w:hAnsi="Calibri"/>
      <w:kern w:val="0"/>
      <w:sz w:val="18"/>
      <w:szCs w:val="18"/>
    </w:rPr>
  </w:style>
  <w:style w:type="paragraph" w:styleId="49">
    <w:name w:val="toc 6"/>
    <w:basedOn w:val="1"/>
    <w:next w:val="1"/>
    <w:unhideWhenUsed/>
    <w:qFormat/>
    <w:uiPriority w:val="0"/>
    <w:pPr>
      <w:ind w:left="1050"/>
      <w:jc w:val="left"/>
    </w:pPr>
    <w:rPr>
      <w:sz w:val="18"/>
      <w:szCs w:val="18"/>
    </w:rPr>
  </w:style>
  <w:style w:type="paragraph" w:styleId="50">
    <w:name w:val="Body Text Indent 3"/>
    <w:basedOn w:val="1"/>
    <w:link w:val="102"/>
    <w:qFormat/>
    <w:uiPriority w:val="99"/>
    <w:pPr>
      <w:spacing w:line="360" w:lineRule="auto"/>
      <w:ind w:firstLine="420" w:firstLineChars="200"/>
    </w:pPr>
    <w:rPr>
      <w:szCs w:val="20"/>
    </w:rPr>
  </w:style>
  <w:style w:type="paragraph" w:styleId="51">
    <w:name w:val="index 7"/>
    <w:basedOn w:val="1"/>
    <w:next w:val="1"/>
    <w:qFormat/>
    <w:uiPriority w:val="0"/>
    <w:pPr>
      <w:numPr>
        <w:ilvl w:val="0"/>
        <w:numId w:val="1"/>
      </w:numPr>
      <w:ind w:left="1470" w:hanging="210"/>
      <w:jc w:val="left"/>
    </w:pPr>
    <w:rPr>
      <w:sz w:val="20"/>
      <w:szCs w:val="20"/>
    </w:rPr>
  </w:style>
  <w:style w:type="paragraph" w:styleId="52">
    <w:name w:val="index 9"/>
    <w:basedOn w:val="1"/>
    <w:next w:val="1"/>
    <w:qFormat/>
    <w:uiPriority w:val="0"/>
    <w:pPr>
      <w:numPr>
        <w:ilvl w:val="0"/>
        <w:numId w:val="2"/>
      </w:numPr>
      <w:tabs>
        <w:tab w:val="left" w:pos="480"/>
      </w:tabs>
      <w:ind w:left="1890" w:hanging="210"/>
      <w:jc w:val="left"/>
    </w:pPr>
    <w:rPr>
      <w:sz w:val="20"/>
      <w:szCs w:val="20"/>
    </w:rPr>
  </w:style>
  <w:style w:type="paragraph" w:styleId="53">
    <w:name w:val="toc 2"/>
    <w:basedOn w:val="1"/>
    <w:next w:val="1"/>
    <w:qFormat/>
    <w:uiPriority w:val="0"/>
    <w:pPr>
      <w:spacing w:line="360" w:lineRule="auto"/>
      <w:ind w:left="210"/>
      <w:jc w:val="left"/>
    </w:pPr>
    <w:rPr>
      <w:smallCaps/>
      <w:szCs w:val="20"/>
    </w:rPr>
  </w:style>
  <w:style w:type="paragraph" w:styleId="54">
    <w:name w:val="toc 9"/>
    <w:basedOn w:val="1"/>
    <w:next w:val="1"/>
    <w:unhideWhenUsed/>
    <w:qFormat/>
    <w:uiPriority w:val="0"/>
    <w:pPr>
      <w:ind w:left="1680"/>
      <w:jc w:val="left"/>
    </w:pPr>
    <w:rPr>
      <w:sz w:val="18"/>
      <w:szCs w:val="18"/>
    </w:rPr>
  </w:style>
  <w:style w:type="paragraph" w:styleId="55">
    <w:name w:val="Body Text 2"/>
    <w:basedOn w:val="1"/>
    <w:link w:val="103"/>
    <w:qFormat/>
    <w:uiPriority w:val="0"/>
    <w:rPr>
      <w:rFonts w:ascii="Calibri" w:hAnsi="Calibri"/>
      <w:kern w:val="0"/>
      <w:sz w:val="20"/>
      <w:szCs w:val="20"/>
    </w:rPr>
  </w:style>
  <w:style w:type="paragraph" w:styleId="56">
    <w:name w:val="Message Header"/>
    <w:basedOn w:val="1"/>
    <w:link w:val="104"/>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2"/>
    </w:rPr>
  </w:style>
  <w:style w:type="paragraph" w:styleId="57">
    <w:name w:val="HTML Preformatted"/>
    <w:basedOn w:val="1"/>
    <w:link w:val="1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58">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59">
    <w:name w:val="index 2"/>
    <w:basedOn w:val="1"/>
    <w:next w:val="1"/>
    <w:qFormat/>
    <w:uiPriority w:val="0"/>
    <w:pPr>
      <w:ind w:left="420" w:hanging="210"/>
      <w:jc w:val="left"/>
    </w:pPr>
    <w:rPr>
      <w:sz w:val="20"/>
      <w:szCs w:val="20"/>
    </w:rPr>
  </w:style>
  <w:style w:type="paragraph" w:styleId="60">
    <w:name w:val="Title"/>
    <w:basedOn w:val="1"/>
    <w:link w:val="106"/>
    <w:qFormat/>
    <w:uiPriority w:val="0"/>
    <w:pPr>
      <w:spacing w:before="240" w:after="60"/>
      <w:jc w:val="center"/>
      <w:outlineLvl w:val="0"/>
    </w:pPr>
    <w:rPr>
      <w:rFonts w:ascii="Arial" w:hAnsi="Arial"/>
      <w:b/>
      <w:bCs/>
      <w:sz w:val="32"/>
      <w:szCs w:val="32"/>
    </w:rPr>
  </w:style>
  <w:style w:type="paragraph" w:styleId="61">
    <w:name w:val="annotation subject"/>
    <w:basedOn w:val="20"/>
    <w:next w:val="20"/>
    <w:link w:val="107"/>
    <w:qFormat/>
    <w:uiPriority w:val="0"/>
    <w:rPr>
      <w:b/>
      <w:bCs/>
    </w:rPr>
  </w:style>
  <w:style w:type="paragraph" w:styleId="62">
    <w:name w:val="Body Text First Indent"/>
    <w:basedOn w:val="25"/>
    <w:link w:val="108"/>
    <w:qFormat/>
    <w:uiPriority w:val="99"/>
    <w:pPr>
      <w:spacing w:after="120" w:line="240" w:lineRule="auto"/>
      <w:ind w:firstLine="420" w:firstLineChars="100"/>
    </w:pPr>
    <w:rPr>
      <w:szCs w:val="24"/>
    </w:rPr>
  </w:style>
  <w:style w:type="paragraph" w:styleId="63">
    <w:name w:val="Body Text First Indent 2"/>
    <w:basedOn w:val="26"/>
    <w:link w:val="109"/>
    <w:qFormat/>
    <w:uiPriority w:val="99"/>
    <w:pPr>
      <w:spacing w:after="120"/>
      <w:ind w:left="420" w:leftChars="200" w:firstLine="420" w:firstLineChars="200"/>
    </w:pPr>
    <w:rPr>
      <w:rFonts w:ascii="Calibri" w:hAnsi="Calibri" w:eastAsia="宋体"/>
      <w:kern w:val="0"/>
      <w:sz w:val="2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7">
    <w:name w:val="Strong"/>
    <w:qFormat/>
    <w:uiPriority w:val="0"/>
    <w:rPr>
      <w:rFonts w:ascii="Tahoma" w:hAnsi="Tahoma" w:eastAsia="宋体"/>
      <w:b/>
      <w:bCs/>
      <w:spacing w:val="10"/>
      <w:sz w:val="24"/>
      <w:lang w:val="en-US" w:eastAsia="zh-CN" w:bidi="ar-SA"/>
    </w:rPr>
  </w:style>
  <w:style w:type="character" w:styleId="68">
    <w:name w:val="endnote reference"/>
    <w:qFormat/>
    <w:uiPriority w:val="0"/>
    <w:rPr>
      <w:vertAlign w:val="superscript"/>
    </w:rPr>
  </w:style>
  <w:style w:type="character" w:styleId="69">
    <w:name w:val="page number"/>
    <w:qFormat/>
    <w:uiPriority w:val="0"/>
  </w:style>
  <w:style w:type="character" w:styleId="70">
    <w:name w:val="FollowedHyperlink"/>
    <w:qFormat/>
    <w:uiPriority w:val="0"/>
    <w:rPr>
      <w:color w:val="800080"/>
      <w:u w:val="single"/>
    </w:rPr>
  </w:style>
  <w:style w:type="character" w:styleId="71">
    <w:name w:val="Emphasis"/>
    <w:qFormat/>
    <w:uiPriority w:val="0"/>
    <w:rPr>
      <w:color w:val="CC0033"/>
    </w:rPr>
  </w:style>
  <w:style w:type="character" w:styleId="72">
    <w:name w:val="Hyperlink"/>
    <w:qFormat/>
    <w:uiPriority w:val="0"/>
    <w:rPr>
      <w:color w:val="0000FF"/>
      <w:u w:val="single"/>
    </w:rPr>
  </w:style>
  <w:style w:type="character" w:styleId="73">
    <w:name w:val="annotation reference"/>
    <w:qFormat/>
    <w:uiPriority w:val="0"/>
    <w:rPr>
      <w:sz w:val="21"/>
      <w:szCs w:val="21"/>
    </w:rPr>
  </w:style>
  <w:style w:type="character" w:styleId="74">
    <w:name w:val="footnote reference"/>
    <w:qFormat/>
    <w:uiPriority w:val="0"/>
    <w:rPr>
      <w:vertAlign w:val="superscript"/>
    </w:rPr>
  </w:style>
  <w:style w:type="character" w:customStyle="1" w:styleId="75">
    <w:name w:val="标题 1 Char1"/>
    <w:link w:val="3"/>
    <w:qFormat/>
    <w:uiPriority w:val="0"/>
    <w:rPr>
      <w:b/>
      <w:bCs/>
      <w:kern w:val="44"/>
      <w:sz w:val="44"/>
      <w:szCs w:val="44"/>
    </w:rPr>
  </w:style>
  <w:style w:type="character" w:customStyle="1" w:styleId="76">
    <w:name w:val="标题 2 Char1"/>
    <w:link w:val="4"/>
    <w:qFormat/>
    <w:uiPriority w:val="0"/>
    <w:rPr>
      <w:rFonts w:ascii="Arial" w:hAnsi="Arial" w:eastAsia="黑体"/>
      <w:b/>
      <w:bCs/>
      <w:kern w:val="2"/>
      <w:sz w:val="32"/>
      <w:szCs w:val="32"/>
    </w:rPr>
  </w:style>
  <w:style w:type="character" w:customStyle="1" w:styleId="77">
    <w:name w:val="标题 3 Char3"/>
    <w:link w:val="5"/>
    <w:qFormat/>
    <w:uiPriority w:val="0"/>
    <w:rPr>
      <w:rFonts w:eastAsia="宋体"/>
      <w:b/>
      <w:bCs/>
      <w:kern w:val="2"/>
      <w:sz w:val="32"/>
      <w:szCs w:val="32"/>
      <w:lang w:val="en-US" w:eastAsia="zh-CN" w:bidi="ar-SA"/>
    </w:rPr>
  </w:style>
  <w:style w:type="character" w:customStyle="1" w:styleId="78">
    <w:name w:val="标题 4 Char2"/>
    <w:link w:val="6"/>
    <w:qFormat/>
    <w:uiPriority w:val="0"/>
    <w:rPr>
      <w:rFonts w:ascii="Arial" w:hAnsi="Arial" w:eastAsia="黑体"/>
      <w:b/>
      <w:bCs/>
      <w:kern w:val="2"/>
      <w:sz w:val="28"/>
      <w:szCs w:val="28"/>
    </w:rPr>
  </w:style>
  <w:style w:type="character" w:customStyle="1" w:styleId="79">
    <w:name w:val="标题 5 Char"/>
    <w:link w:val="7"/>
    <w:qFormat/>
    <w:uiPriority w:val="0"/>
    <w:rPr>
      <w:b/>
      <w:bCs/>
      <w:sz w:val="28"/>
      <w:szCs w:val="28"/>
    </w:rPr>
  </w:style>
  <w:style w:type="character" w:customStyle="1" w:styleId="80">
    <w:name w:val="标题 6 Char1"/>
    <w:link w:val="8"/>
    <w:qFormat/>
    <w:uiPriority w:val="0"/>
    <w:rPr>
      <w:rFonts w:ascii="Arial" w:hAnsi="Arial" w:eastAsia="黑体"/>
      <w:b/>
      <w:bCs/>
      <w:sz w:val="24"/>
      <w:szCs w:val="24"/>
    </w:rPr>
  </w:style>
  <w:style w:type="character" w:customStyle="1" w:styleId="81">
    <w:name w:val="标题 7 Char"/>
    <w:link w:val="9"/>
    <w:qFormat/>
    <w:uiPriority w:val="0"/>
    <w:rPr>
      <w:b/>
      <w:bCs/>
      <w:sz w:val="24"/>
      <w:szCs w:val="24"/>
    </w:rPr>
  </w:style>
  <w:style w:type="character" w:customStyle="1" w:styleId="82">
    <w:name w:val="标题 8 Char"/>
    <w:link w:val="10"/>
    <w:qFormat/>
    <w:uiPriority w:val="0"/>
    <w:rPr>
      <w:rFonts w:ascii="Arial" w:hAnsi="Arial" w:eastAsia="黑体"/>
      <w:sz w:val="24"/>
      <w:szCs w:val="24"/>
    </w:rPr>
  </w:style>
  <w:style w:type="character" w:customStyle="1" w:styleId="83">
    <w:name w:val="标题 9 Char"/>
    <w:link w:val="11"/>
    <w:qFormat/>
    <w:uiPriority w:val="0"/>
    <w:rPr>
      <w:rFonts w:ascii="Arial" w:hAnsi="Arial" w:eastAsia="黑体"/>
      <w:sz w:val="21"/>
      <w:szCs w:val="21"/>
    </w:rPr>
  </w:style>
  <w:style w:type="character" w:customStyle="1" w:styleId="84">
    <w:name w:val="注释标题 Char2"/>
    <w:link w:val="13"/>
    <w:qFormat/>
    <w:uiPriority w:val="99"/>
    <w:rPr>
      <w:rFonts w:ascii="Calibri" w:hAnsi="Calibri"/>
    </w:rPr>
  </w:style>
  <w:style w:type="character" w:customStyle="1" w:styleId="85">
    <w:name w:val="正文缩进 Char3"/>
    <w:link w:val="15"/>
    <w:qFormat/>
    <w:uiPriority w:val="0"/>
    <w:rPr>
      <w:rFonts w:eastAsia="宋体"/>
      <w:kern w:val="2"/>
      <w:sz w:val="21"/>
      <w:lang w:val="en-US" w:eastAsia="zh-CN" w:bidi="ar-SA"/>
    </w:rPr>
  </w:style>
  <w:style w:type="character" w:customStyle="1" w:styleId="86">
    <w:name w:val="题注 Char"/>
    <w:link w:val="16"/>
    <w:qFormat/>
    <w:uiPriority w:val="0"/>
    <w:rPr>
      <w:rFonts w:ascii="Arial" w:hAnsi="Arial" w:eastAsia="黑体" w:cs="Arial"/>
      <w:kern w:val="2"/>
    </w:rPr>
  </w:style>
  <w:style w:type="character" w:customStyle="1" w:styleId="87">
    <w:name w:val="文档结构图 Char2"/>
    <w:link w:val="19"/>
    <w:qFormat/>
    <w:uiPriority w:val="0"/>
    <w:rPr>
      <w:kern w:val="2"/>
      <w:sz w:val="21"/>
      <w:shd w:val="clear" w:color="auto" w:fill="000080"/>
    </w:rPr>
  </w:style>
  <w:style w:type="character" w:customStyle="1" w:styleId="88">
    <w:name w:val="批注文字 Char3"/>
    <w:link w:val="20"/>
    <w:qFormat/>
    <w:uiPriority w:val="99"/>
    <w:rPr>
      <w:kern w:val="2"/>
      <w:sz w:val="21"/>
      <w:szCs w:val="24"/>
    </w:rPr>
  </w:style>
  <w:style w:type="character" w:customStyle="1" w:styleId="89">
    <w:name w:val="正文文本 3 Char2"/>
    <w:link w:val="22"/>
    <w:qFormat/>
    <w:uiPriority w:val="0"/>
    <w:rPr>
      <w:kern w:val="2"/>
      <w:sz w:val="16"/>
      <w:szCs w:val="16"/>
    </w:rPr>
  </w:style>
  <w:style w:type="character" w:customStyle="1" w:styleId="90">
    <w:name w:val="结束语 Char1"/>
    <w:link w:val="23"/>
    <w:qFormat/>
    <w:uiPriority w:val="99"/>
    <w:rPr>
      <w:rFonts w:ascii="Calibri" w:hAnsi="Calibri"/>
    </w:rPr>
  </w:style>
  <w:style w:type="character" w:customStyle="1" w:styleId="91">
    <w:name w:val="正文文本 Char2"/>
    <w:link w:val="25"/>
    <w:qFormat/>
    <w:uiPriority w:val="0"/>
    <w:rPr>
      <w:kern w:val="2"/>
      <w:sz w:val="21"/>
    </w:rPr>
  </w:style>
  <w:style w:type="character" w:customStyle="1" w:styleId="92">
    <w:name w:val="正文文本缩进 Char"/>
    <w:link w:val="26"/>
    <w:qFormat/>
    <w:uiPriority w:val="99"/>
    <w:rPr>
      <w:rFonts w:ascii="仿宋_GB2312" w:eastAsia="仿宋_GB2312"/>
      <w:kern w:val="2"/>
      <w:sz w:val="32"/>
    </w:rPr>
  </w:style>
  <w:style w:type="character" w:customStyle="1" w:styleId="93">
    <w:name w:val="纯文本 Char3"/>
    <w:link w:val="32"/>
    <w:qFormat/>
    <w:uiPriority w:val="0"/>
    <w:rPr>
      <w:rFonts w:ascii="宋体" w:hAnsi="Courier New" w:eastAsia="宋体" w:cs="Courier New"/>
      <w:kern w:val="2"/>
      <w:sz w:val="21"/>
      <w:szCs w:val="21"/>
      <w:lang w:val="en-US" w:eastAsia="zh-CN" w:bidi="ar-SA"/>
    </w:rPr>
  </w:style>
  <w:style w:type="character" w:customStyle="1" w:styleId="94">
    <w:name w:val="日期 Char2"/>
    <w:link w:val="36"/>
    <w:qFormat/>
    <w:uiPriority w:val="0"/>
    <w:rPr>
      <w:kern w:val="2"/>
      <w:sz w:val="21"/>
    </w:rPr>
  </w:style>
  <w:style w:type="character" w:customStyle="1" w:styleId="95">
    <w:name w:val="正文文本缩进 2 Char2"/>
    <w:link w:val="37"/>
    <w:qFormat/>
    <w:uiPriority w:val="0"/>
    <w:rPr>
      <w:kern w:val="2"/>
      <w:sz w:val="24"/>
      <w:szCs w:val="24"/>
    </w:rPr>
  </w:style>
  <w:style w:type="character" w:customStyle="1" w:styleId="96">
    <w:name w:val="尾注文本 Char3"/>
    <w:link w:val="38"/>
    <w:qFormat/>
    <w:uiPriority w:val="99"/>
    <w:rPr>
      <w:rFonts w:ascii="Calibri" w:hAnsi="Calibri"/>
    </w:rPr>
  </w:style>
  <w:style w:type="character" w:customStyle="1" w:styleId="97">
    <w:name w:val="批注框文本 Char1"/>
    <w:link w:val="39"/>
    <w:qFormat/>
    <w:uiPriority w:val="99"/>
    <w:rPr>
      <w:kern w:val="2"/>
      <w:sz w:val="18"/>
      <w:szCs w:val="18"/>
    </w:rPr>
  </w:style>
  <w:style w:type="character" w:customStyle="1" w:styleId="98">
    <w:name w:val="页脚 Char2"/>
    <w:link w:val="40"/>
    <w:qFormat/>
    <w:uiPriority w:val="0"/>
    <w:rPr>
      <w:rFonts w:eastAsia="宋体"/>
      <w:kern w:val="2"/>
      <w:sz w:val="18"/>
      <w:szCs w:val="18"/>
      <w:lang w:val="en-US" w:eastAsia="zh-CN" w:bidi="ar-SA"/>
    </w:rPr>
  </w:style>
  <w:style w:type="character" w:customStyle="1" w:styleId="99">
    <w:name w:val="页眉 Char2"/>
    <w:link w:val="41"/>
    <w:qFormat/>
    <w:uiPriority w:val="0"/>
    <w:rPr>
      <w:kern w:val="2"/>
      <w:sz w:val="18"/>
      <w:szCs w:val="18"/>
    </w:rPr>
  </w:style>
  <w:style w:type="character" w:customStyle="1" w:styleId="100">
    <w:name w:val="副标题 Char1"/>
    <w:link w:val="46"/>
    <w:qFormat/>
    <w:uiPriority w:val="11"/>
    <w:rPr>
      <w:rFonts w:ascii="Cambria" w:hAnsi="Cambria"/>
      <w:b/>
      <w:bCs/>
      <w:kern w:val="28"/>
      <w:sz w:val="32"/>
      <w:szCs w:val="32"/>
    </w:rPr>
  </w:style>
  <w:style w:type="character" w:customStyle="1" w:styleId="101">
    <w:name w:val="脚注文本 Char2"/>
    <w:link w:val="48"/>
    <w:qFormat/>
    <w:uiPriority w:val="99"/>
    <w:rPr>
      <w:rFonts w:ascii="Calibri" w:hAnsi="Calibri"/>
      <w:sz w:val="18"/>
      <w:szCs w:val="18"/>
    </w:rPr>
  </w:style>
  <w:style w:type="character" w:customStyle="1" w:styleId="102">
    <w:name w:val="正文文本缩进 3 Char2"/>
    <w:link w:val="50"/>
    <w:qFormat/>
    <w:uiPriority w:val="99"/>
    <w:rPr>
      <w:kern w:val="2"/>
      <w:sz w:val="21"/>
    </w:rPr>
  </w:style>
  <w:style w:type="character" w:customStyle="1" w:styleId="103">
    <w:name w:val="正文文本 2 Char2"/>
    <w:link w:val="55"/>
    <w:qFormat/>
    <w:uiPriority w:val="0"/>
    <w:rPr>
      <w:rFonts w:ascii="Calibri" w:hAnsi="Calibri"/>
    </w:rPr>
  </w:style>
  <w:style w:type="character" w:customStyle="1" w:styleId="104">
    <w:name w:val="信息标题 Char"/>
    <w:link w:val="56"/>
    <w:qFormat/>
    <w:uiPriority w:val="99"/>
    <w:rPr>
      <w:rFonts w:ascii="Cambria" w:hAnsi="Cambria"/>
      <w:kern w:val="2"/>
      <w:sz w:val="24"/>
      <w:szCs w:val="22"/>
      <w:shd w:val="pct20" w:color="auto" w:fill="auto"/>
    </w:rPr>
  </w:style>
  <w:style w:type="character" w:customStyle="1" w:styleId="105">
    <w:name w:val="HTML 预设格式 Char2"/>
    <w:link w:val="57"/>
    <w:qFormat/>
    <w:uiPriority w:val="0"/>
    <w:rPr>
      <w:rFonts w:ascii="黑体" w:hAnsi="Courier New" w:eastAsia="黑体" w:cs="Courier New"/>
    </w:rPr>
  </w:style>
  <w:style w:type="character" w:customStyle="1" w:styleId="106">
    <w:name w:val="标题 Char1"/>
    <w:link w:val="60"/>
    <w:qFormat/>
    <w:uiPriority w:val="0"/>
    <w:rPr>
      <w:rFonts w:ascii="Arial" w:hAnsi="Arial" w:cs="Arial"/>
      <w:b/>
      <w:bCs/>
      <w:kern w:val="2"/>
      <w:sz w:val="32"/>
      <w:szCs w:val="32"/>
    </w:rPr>
  </w:style>
  <w:style w:type="character" w:customStyle="1" w:styleId="107">
    <w:name w:val="批注主题 Char2"/>
    <w:link w:val="61"/>
    <w:qFormat/>
    <w:uiPriority w:val="0"/>
    <w:rPr>
      <w:b/>
      <w:bCs/>
      <w:kern w:val="2"/>
      <w:sz w:val="21"/>
      <w:szCs w:val="24"/>
    </w:rPr>
  </w:style>
  <w:style w:type="character" w:customStyle="1" w:styleId="108">
    <w:name w:val="正文首行缩进 Char2"/>
    <w:link w:val="62"/>
    <w:qFormat/>
    <w:uiPriority w:val="99"/>
    <w:rPr>
      <w:kern w:val="2"/>
      <w:sz w:val="21"/>
      <w:szCs w:val="24"/>
    </w:rPr>
  </w:style>
  <w:style w:type="character" w:customStyle="1" w:styleId="109">
    <w:name w:val="正文首行缩进 2 Char2"/>
    <w:link w:val="63"/>
    <w:qFormat/>
    <w:uiPriority w:val="99"/>
    <w:rPr>
      <w:rFonts w:ascii="Calibri" w:hAnsi="Calibri"/>
    </w:rPr>
  </w:style>
  <w:style w:type="character" w:customStyle="1" w:styleId="110">
    <w:name w:val="附录公式 Char"/>
    <w:link w:val="111"/>
    <w:qFormat/>
    <w:uiPriority w:val="0"/>
    <w:rPr>
      <w:kern w:val="2"/>
      <w:szCs w:val="22"/>
    </w:rPr>
  </w:style>
  <w:style w:type="paragraph" w:customStyle="1" w:styleId="111">
    <w:name w:val="附录公式"/>
    <w:basedOn w:val="112"/>
    <w:next w:val="112"/>
    <w:link w:val="110"/>
    <w:qFormat/>
    <w:uiPriority w:val="0"/>
    <w:pPr>
      <w:numPr>
        <w:ilvl w:val="0"/>
        <w:numId w:val="3"/>
      </w:numPr>
      <w:tabs>
        <w:tab w:val="center" w:pos="4201"/>
        <w:tab w:val="right" w:leader="dot" w:pos="9298"/>
      </w:tabs>
    </w:pPr>
    <w:rPr>
      <w:rFonts w:ascii="Times New Roman"/>
      <w:kern w:val="2"/>
      <w:szCs w:val="22"/>
    </w:rPr>
  </w:style>
  <w:style w:type="paragraph" w:customStyle="1" w:styleId="112">
    <w:name w:val="段"/>
    <w:link w:val="11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113">
    <w:name w:val="段 Char"/>
    <w:link w:val="112"/>
    <w:qFormat/>
    <w:uiPriority w:val="0"/>
    <w:rPr>
      <w:rFonts w:ascii="宋体"/>
      <w:lang w:val="en-US" w:eastAsia="zh-CN" w:bidi="ar-SA"/>
    </w:rPr>
  </w:style>
  <w:style w:type="character" w:customStyle="1" w:styleId="114">
    <w:name w:val="Font Style17"/>
    <w:qFormat/>
    <w:uiPriority w:val="0"/>
    <w:rPr>
      <w:rFonts w:ascii="黑体" w:eastAsia="黑体" w:cs="黑体"/>
      <w:sz w:val="28"/>
      <w:szCs w:val="28"/>
    </w:rPr>
  </w:style>
  <w:style w:type="character" w:customStyle="1" w:styleId="115">
    <w:name w:val="正文文本缩进 3 字符"/>
    <w:qFormat/>
    <w:uiPriority w:val="0"/>
    <w:rPr>
      <w:rFonts w:ascii="宋体" w:hAnsi="Times New Roman" w:eastAsia="宋体" w:cs="Times New Roman"/>
      <w:sz w:val="28"/>
      <w:szCs w:val="20"/>
    </w:rPr>
  </w:style>
  <w:style w:type="character" w:customStyle="1" w:styleId="116">
    <w:name w:val="注释标题 Char"/>
    <w:qFormat/>
    <w:uiPriority w:val="0"/>
    <w:rPr>
      <w:kern w:val="2"/>
      <w:sz w:val="21"/>
      <w:szCs w:val="24"/>
    </w:rPr>
  </w:style>
  <w:style w:type="character" w:customStyle="1" w:styleId="117">
    <w:name w:val="正文缩进 Char1"/>
    <w:qFormat/>
    <w:uiPriority w:val="0"/>
    <w:rPr>
      <w:rFonts w:ascii="Calibri" w:hAnsi="Calibri" w:eastAsia="宋体" w:cs="Times New Roman"/>
    </w:rPr>
  </w:style>
  <w:style w:type="character" w:customStyle="1" w:styleId="118">
    <w:name w:val="正文文本 Char1"/>
    <w:qFormat/>
    <w:uiPriority w:val="99"/>
    <w:rPr>
      <w:kern w:val="2"/>
      <w:sz w:val="21"/>
    </w:rPr>
  </w:style>
  <w:style w:type="character" w:customStyle="1" w:styleId="119">
    <w:name w:val="标题 6 Char"/>
    <w:semiHidden/>
    <w:qFormat/>
    <w:uiPriority w:val="9"/>
    <w:rPr>
      <w:rFonts w:ascii="Cambria" w:hAnsi="Cambria" w:eastAsia="宋体" w:cs="Times New Roman"/>
      <w:b/>
      <w:bCs/>
      <w:sz w:val="24"/>
      <w:szCs w:val="24"/>
    </w:rPr>
  </w:style>
  <w:style w:type="character" w:customStyle="1" w:styleId="120">
    <w:name w:val="MSG_EN_FONT_STYLE_NAME_TEMPLATE_ROLE_NUMBER MSG_EN_FONT_STYLE_NAME_BY_ROLE_TEXT 7 + MSG_EN_FONT_STYLE_MODIFER_NAME SimSun"/>
    <w:qFormat/>
    <w:uiPriority w:val="99"/>
    <w:rPr>
      <w:rFonts w:ascii="宋体" w:hAnsi="宋体" w:eastAsia="宋体" w:cs="宋体"/>
      <w:color w:val="000000"/>
      <w:spacing w:val="0"/>
      <w:w w:val="100"/>
      <w:position w:val="0"/>
      <w:sz w:val="21"/>
      <w:szCs w:val="21"/>
      <w:u w:val="none"/>
      <w:shd w:val="clear" w:color="auto" w:fill="FFFFFF"/>
      <w:lang w:val="zh-CN"/>
    </w:rPr>
  </w:style>
  <w:style w:type="character" w:customStyle="1" w:styleId="121">
    <w:name w:val="样式 宋体 小四"/>
    <w:qFormat/>
    <w:uiPriority w:val="0"/>
    <w:rPr>
      <w:rFonts w:ascii="Times New Roman" w:hAnsi="Times New Roman" w:eastAsia="宋体"/>
      <w:sz w:val="24"/>
      <w:szCs w:val="24"/>
      <w:vertAlign w:val="baseline"/>
    </w:rPr>
  </w:style>
  <w:style w:type="character" w:customStyle="1" w:styleId="122">
    <w:name w:val="脚注文本 Char"/>
    <w:qFormat/>
    <w:uiPriority w:val="0"/>
    <w:rPr>
      <w:kern w:val="2"/>
      <w:sz w:val="18"/>
      <w:szCs w:val="18"/>
    </w:rPr>
  </w:style>
  <w:style w:type="character" w:customStyle="1" w:styleId="123">
    <w:name w:val="meuncn1"/>
    <w:qFormat/>
    <w:uiPriority w:val="0"/>
    <w:rPr>
      <w:rFonts w:hint="eastAsia" w:ascii="宋体" w:hAnsi="宋体" w:eastAsia="宋体"/>
      <w:color w:val="666666"/>
      <w:sz w:val="18"/>
      <w:szCs w:val="18"/>
      <w:u w:val="none"/>
    </w:rPr>
  </w:style>
  <w:style w:type="character" w:customStyle="1" w:styleId="124">
    <w:name w:val="页脚 Char1"/>
    <w:qFormat/>
    <w:uiPriority w:val="0"/>
    <w:rPr>
      <w:rFonts w:ascii="Calibri" w:hAnsi="Calibri" w:eastAsia="宋体" w:cs="Times New Roman"/>
      <w:sz w:val="18"/>
      <w:szCs w:val="18"/>
    </w:rPr>
  </w:style>
  <w:style w:type="character" w:customStyle="1" w:styleId="125">
    <w:name w:val="s10pv000000"/>
    <w:qFormat/>
    <w:uiPriority w:val="0"/>
  </w:style>
  <w:style w:type="character" w:customStyle="1" w:styleId="126">
    <w:name w:val="列出段落 Char1"/>
    <w:link w:val="127"/>
    <w:qFormat/>
    <w:uiPriority w:val="0"/>
    <w:rPr>
      <w:rFonts w:ascii="Calibri" w:hAnsi="Calibri"/>
      <w:kern w:val="1"/>
      <w:sz w:val="21"/>
      <w:szCs w:val="22"/>
      <w:lang w:eastAsia="ar-SA"/>
    </w:rPr>
  </w:style>
  <w:style w:type="paragraph" w:styleId="127">
    <w:name w:val="List Paragraph"/>
    <w:basedOn w:val="1"/>
    <w:link w:val="126"/>
    <w:qFormat/>
    <w:uiPriority w:val="0"/>
    <w:pPr>
      <w:suppressAutoHyphens/>
      <w:ind w:firstLine="420"/>
    </w:pPr>
    <w:rPr>
      <w:rFonts w:ascii="Calibri" w:hAnsi="Calibri"/>
      <w:kern w:val="1"/>
      <w:szCs w:val="22"/>
      <w:lang w:eastAsia="ar-SA"/>
    </w:rPr>
  </w:style>
  <w:style w:type="character" w:customStyle="1" w:styleId="128">
    <w:name w:val="普通文字 Char"/>
    <w:qFormat/>
    <w:uiPriority w:val="0"/>
    <w:rPr>
      <w:rFonts w:ascii="宋体" w:hAnsi="Courier New" w:eastAsia="宋体"/>
      <w:kern w:val="2"/>
      <w:sz w:val="21"/>
      <w:lang w:val="en-US" w:eastAsia="zh-CN" w:bidi="ar-SA"/>
    </w:rPr>
  </w:style>
  <w:style w:type="character" w:customStyle="1" w:styleId="129">
    <w:name w:val="已访问超链接"/>
    <w:qFormat/>
    <w:uiPriority w:val="0"/>
    <w:rPr>
      <w:color w:val="800080"/>
      <w:u w:val="single" w:color="800080"/>
    </w:rPr>
  </w:style>
  <w:style w:type="character" w:customStyle="1" w:styleId="130">
    <w:name w:val="apple-converted-space"/>
    <w:qFormat/>
    <w:uiPriority w:val="0"/>
  </w:style>
  <w:style w:type="character" w:customStyle="1" w:styleId="131">
    <w:name w:val="H6 Char"/>
    <w:qFormat/>
    <w:uiPriority w:val="0"/>
    <w:rPr>
      <w:rFonts w:ascii="Arial" w:hAnsi="Arial" w:eastAsia="黑体"/>
      <w:b/>
      <w:bCs/>
      <w:kern w:val="2"/>
      <w:sz w:val="24"/>
      <w:szCs w:val="24"/>
    </w:rPr>
  </w:style>
  <w:style w:type="character" w:customStyle="1" w:styleId="132">
    <w:name w:val="正文文本缩进 2 字符"/>
    <w:qFormat/>
    <w:uiPriority w:val="0"/>
    <w:rPr>
      <w:rFonts w:eastAsia="宋体"/>
      <w:szCs w:val="24"/>
    </w:rPr>
  </w:style>
  <w:style w:type="character" w:customStyle="1" w:styleId="133">
    <w:name w:val="无间隔 Char"/>
    <w:link w:val="134"/>
    <w:qFormat/>
    <w:uiPriority w:val="0"/>
    <w:rPr>
      <w:kern w:val="2"/>
      <w:sz w:val="22"/>
      <w:szCs w:val="22"/>
      <w:lang w:val="en-US" w:eastAsia="zh-CN" w:bidi="ar-SA"/>
    </w:rPr>
  </w:style>
  <w:style w:type="paragraph" w:customStyle="1" w:styleId="134">
    <w:name w:val="无间隔1"/>
    <w:link w:val="133"/>
    <w:qFormat/>
    <w:uiPriority w:val="0"/>
    <w:rPr>
      <w:rFonts w:ascii="Times New Roman" w:hAnsi="Times New Roman" w:eastAsia="宋体" w:cs="Times New Roman"/>
      <w:kern w:val="2"/>
      <w:sz w:val="22"/>
      <w:szCs w:val="22"/>
      <w:lang w:val="en-US" w:eastAsia="zh-CN" w:bidi="ar-SA"/>
    </w:rPr>
  </w:style>
  <w:style w:type="character" w:customStyle="1" w:styleId="135">
    <w:name w:val="纯文本 Char2"/>
    <w:qFormat/>
    <w:uiPriority w:val="99"/>
    <w:rPr>
      <w:rFonts w:ascii="宋体" w:hAnsi="Courier New" w:eastAsia="宋体" w:cs="Courier New"/>
      <w:szCs w:val="21"/>
    </w:rPr>
  </w:style>
  <w:style w:type="character" w:customStyle="1" w:styleId="136">
    <w:name w:val="font71"/>
    <w:qFormat/>
    <w:uiPriority w:val="99"/>
    <w:rPr>
      <w:rFonts w:ascii="宋体" w:hAnsi="宋体" w:eastAsia="宋体" w:cs="宋体"/>
      <w:color w:val="000000"/>
      <w:sz w:val="20"/>
      <w:szCs w:val="20"/>
      <w:u w:val="none"/>
    </w:rPr>
  </w:style>
  <w:style w:type="character" w:customStyle="1" w:styleId="137">
    <w:name w:val="批注主题 Char"/>
    <w:qFormat/>
    <w:uiPriority w:val="0"/>
    <w:rPr>
      <w:b/>
      <w:bCs/>
      <w:kern w:val="2"/>
      <w:sz w:val="21"/>
      <w:szCs w:val="24"/>
    </w:rPr>
  </w:style>
  <w:style w:type="character" w:customStyle="1" w:styleId="138">
    <w:name w:val="Char Char21"/>
    <w:qFormat/>
    <w:uiPriority w:val="0"/>
    <w:rPr>
      <w:rFonts w:hint="eastAsia" w:ascii="宋体" w:hAnsi="宋体" w:eastAsia="宋体"/>
      <w:kern w:val="2"/>
      <w:sz w:val="18"/>
      <w:szCs w:val="18"/>
      <w:lang w:val="en-US" w:eastAsia="zh-CN" w:bidi="ar-SA"/>
    </w:rPr>
  </w:style>
  <w:style w:type="character" w:customStyle="1" w:styleId="139">
    <w:name w:val="unnamed21"/>
    <w:qFormat/>
    <w:uiPriority w:val="0"/>
    <w:rPr>
      <w:sz w:val="21"/>
    </w:rPr>
  </w:style>
  <w:style w:type="character" w:customStyle="1" w:styleId="140">
    <w:name w:val="标题 4 Char1"/>
    <w:qFormat/>
    <w:uiPriority w:val="0"/>
    <w:rPr>
      <w:rFonts w:ascii="Arial" w:hAnsi="Arial" w:eastAsia="黑体"/>
      <w:b/>
      <w:bCs/>
      <w:kern w:val="2"/>
      <w:sz w:val="28"/>
      <w:szCs w:val="28"/>
    </w:rPr>
  </w:style>
  <w:style w:type="character" w:customStyle="1" w:styleId="141">
    <w:name w:val="h8 Char"/>
    <w:qFormat/>
    <w:uiPriority w:val="0"/>
    <w:rPr>
      <w:rFonts w:ascii="Arial" w:hAnsi="Arial" w:eastAsia="黑体"/>
      <w:kern w:val="2"/>
      <w:sz w:val="24"/>
      <w:szCs w:val="24"/>
      <w:lang w:val="en-US" w:eastAsia="zh-CN" w:bidi="ar-SA"/>
    </w:rPr>
  </w:style>
  <w:style w:type="character" w:customStyle="1" w:styleId="142">
    <w:name w:val="标题 2 Char"/>
    <w:qFormat/>
    <w:uiPriority w:val="9"/>
    <w:rPr>
      <w:rFonts w:ascii="Arial" w:hAnsi="Arial" w:eastAsia="黑体"/>
      <w:b/>
      <w:bCs/>
      <w:kern w:val="2"/>
      <w:sz w:val="32"/>
      <w:szCs w:val="32"/>
      <w:lang w:val="en-US" w:eastAsia="zh-CN" w:bidi="ar-SA"/>
    </w:rPr>
  </w:style>
  <w:style w:type="character" w:customStyle="1" w:styleId="143">
    <w:name w:val="批注文字 字符"/>
    <w:semiHidden/>
    <w:qFormat/>
    <w:uiPriority w:val="99"/>
    <w:rPr>
      <w:rFonts w:ascii="Times New Roman" w:hAnsi="Times New Roman" w:eastAsia="宋体" w:cs="Times New Roman"/>
      <w:szCs w:val="24"/>
    </w:rPr>
  </w:style>
  <w:style w:type="character" w:customStyle="1" w:styleId="144">
    <w:name w:val="脚注文本 Char1"/>
    <w:qFormat/>
    <w:uiPriority w:val="0"/>
    <w:rPr>
      <w:rFonts w:ascii="宋体"/>
      <w:sz w:val="18"/>
      <w:szCs w:val="18"/>
    </w:rPr>
  </w:style>
  <w:style w:type="character" w:customStyle="1" w:styleId="145">
    <w:name w:val="样式 标题 4四级标题H4PIM 4h4H41H42H43H44H45H46H47H48H49H41... Char"/>
    <w:link w:val="146"/>
    <w:qFormat/>
    <w:uiPriority w:val="0"/>
    <w:rPr>
      <w:rFonts w:ascii="Arial" w:hAnsi="Arial" w:eastAsia="黑体"/>
      <w:b/>
      <w:bCs/>
      <w:color w:val="000000"/>
      <w:sz w:val="28"/>
      <w:szCs w:val="24"/>
    </w:rPr>
  </w:style>
  <w:style w:type="paragraph" w:customStyle="1" w:styleId="146">
    <w:name w:val="样式 标题 4四级标题H4PIM 4h4H41H42H43H44H45H46H47H48H49H41..."/>
    <w:basedOn w:val="6"/>
    <w:link w:val="145"/>
    <w:qFormat/>
    <w:uiPriority w:val="0"/>
    <w:pPr>
      <w:tabs>
        <w:tab w:val="left" w:pos="0"/>
        <w:tab w:val="left" w:pos="425"/>
      </w:tabs>
      <w:spacing w:afterLines="100"/>
    </w:pPr>
    <w:rPr>
      <w:color w:val="000000"/>
      <w:kern w:val="0"/>
      <w:szCs w:val="24"/>
    </w:rPr>
  </w:style>
  <w:style w:type="character" w:customStyle="1" w:styleId="147">
    <w:name w:val="文档结构图 Char1"/>
    <w:qFormat/>
    <w:uiPriority w:val="99"/>
    <w:rPr>
      <w:shd w:val="clear" w:color="auto" w:fill="000080"/>
    </w:rPr>
  </w:style>
  <w:style w:type="character" w:customStyle="1" w:styleId="148">
    <w:name w:val="font31"/>
    <w:qFormat/>
    <w:uiPriority w:val="0"/>
    <w:rPr>
      <w:rFonts w:hint="eastAsia" w:ascii="宋体" w:hAnsi="宋体" w:eastAsia="宋体" w:cs="宋体"/>
      <w:color w:val="000000"/>
      <w:sz w:val="24"/>
      <w:szCs w:val="24"/>
      <w:u w:val="single"/>
    </w:rPr>
  </w:style>
  <w:style w:type="character" w:customStyle="1" w:styleId="149">
    <w:name w:val="本文正文 Char1 Char Char Char Char Char Char Char Char Char Char Char Char Char Char Char Char Char Char Char Char Char Char Char Char Char Char"/>
    <w:link w:val="150"/>
    <w:qFormat/>
    <w:uiPriority w:val="0"/>
    <w:rPr>
      <w:rFonts w:ascii="宋体" w:hAnsi="宋体"/>
      <w:sz w:val="24"/>
      <w:szCs w:val="24"/>
    </w:rPr>
  </w:style>
  <w:style w:type="paragraph" w:customStyle="1" w:styleId="150">
    <w:name w:val="本文正文 Char1 Char Char Char Char Char Char Char Char Char Char Char Char Char Char Char Char Char Char Char Char Char Char Char Char"/>
    <w:basedOn w:val="1"/>
    <w:link w:val="149"/>
    <w:qFormat/>
    <w:uiPriority w:val="0"/>
    <w:pPr>
      <w:widowControl/>
      <w:spacing w:line="480" w:lineRule="exact"/>
      <w:ind w:firstLine="200" w:firstLineChars="200"/>
      <w:jc w:val="left"/>
    </w:pPr>
    <w:rPr>
      <w:rFonts w:ascii="宋体" w:hAnsi="宋体"/>
      <w:kern w:val="0"/>
      <w:sz w:val="24"/>
    </w:rPr>
  </w:style>
  <w:style w:type="character" w:customStyle="1" w:styleId="151">
    <w:name w:val="批注文字 Char2"/>
    <w:qFormat/>
    <w:uiPriority w:val="0"/>
    <w:rPr>
      <w:rFonts w:ascii="Calibri" w:hAnsi="Calibri" w:eastAsia="宋体" w:cs="Times New Roman"/>
    </w:rPr>
  </w:style>
  <w:style w:type="character" w:customStyle="1" w:styleId="152">
    <w:name w:val="正文缩进 Char"/>
    <w:qFormat/>
    <w:uiPriority w:val="0"/>
    <w:rPr>
      <w:rFonts w:eastAsia="宋体"/>
      <w:kern w:val="2"/>
      <w:sz w:val="21"/>
      <w:lang w:val="en-US" w:eastAsia="zh-CN" w:bidi="ar-SA"/>
    </w:rPr>
  </w:style>
  <w:style w:type="character" w:customStyle="1" w:styleId="153">
    <w:name w:val="PIM 9 Char"/>
    <w:qFormat/>
    <w:uiPriority w:val="0"/>
    <w:rPr>
      <w:rFonts w:ascii="Arial" w:hAnsi="Arial" w:eastAsia="黑体"/>
      <w:sz w:val="21"/>
      <w:szCs w:val="21"/>
      <w:lang w:val="en-US" w:eastAsia="zh-CN" w:bidi="ar-SA"/>
    </w:rPr>
  </w:style>
  <w:style w:type="character" w:customStyle="1" w:styleId="154">
    <w:name w:val="结束语 Char"/>
    <w:qFormat/>
    <w:uiPriority w:val="0"/>
    <w:rPr>
      <w:kern w:val="2"/>
      <w:sz w:val="21"/>
      <w:szCs w:val="24"/>
    </w:rPr>
  </w:style>
  <w:style w:type="character" w:customStyle="1" w:styleId="155">
    <w:name w:val="批注主题 字符1"/>
    <w:semiHidden/>
    <w:qFormat/>
    <w:uiPriority w:val="99"/>
    <w:rPr>
      <w:b/>
      <w:bCs/>
      <w:kern w:val="2"/>
      <w:sz w:val="21"/>
      <w:szCs w:val="24"/>
    </w:rPr>
  </w:style>
  <w:style w:type="character" w:customStyle="1" w:styleId="156">
    <w:name w:val="副标题 Char"/>
    <w:qFormat/>
    <w:uiPriority w:val="0"/>
    <w:rPr>
      <w:rFonts w:ascii="Cambria" w:hAnsi="Cambria" w:cs="Times New Roman"/>
      <w:b/>
      <w:bCs/>
      <w:kern w:val="28"/>
      <w:sz w:val="32"/>
      <w:szCs w:val="32"/>
    </w:rPr>
  </w:style>
  <w:style w:type="character" w:customStyle="1" w:styleId="157">
    <w:name w:val="文档结构图 Char"/>
    <w:qFormat/>
    <w:uiPriority w:val="0"/>
    <w:rPr>
      <w:kern w:val="2"/>
      <w:sz w:val="21"/>
      <w:shd w:val="clear" w:color="auto" w:fill="000080"/>
    </w:rPr>
  </w:style>
  <w:style w:type="character" w:customStyle="1" w:styleId="158">
    <w:name w:val="日期 字符"/>
    <w:qFormat/>
    <w:uiPriority w:val="0"/>
    <w:rPr>
      <w:rFonts w:eastAsia="宋体"/>
      <w:sz w:val="32"/>
    </w:rPr>
  </w:style>
  <w:style w:type="character" w:customStyle="1" w:styleId="159">
    <w:name w:val="A4"/>
    <w:qFormat/>
    <w:uiPriority w:val="0"/>
    <w:rPr>
      <w:rFonts w:hint="eastAsia" w:ascii="新宋体" w:hAnsi="新宋体" w:eastAsia="新宋体" w:cs="新宋体"/>
      <w:color w:val="000000"/>
    </w:rPr>
  </w:style>
  <w:style w:type="character" w:customStyle="1" w:styleId="160">
    <w:name w:val="纯文本 Char Char1"/>
    <w:qFormat/>
    <w:uiPriority w:val="0"/>
    <w:rPr>
      <w:rFonts w:ascii="宋体" w:hAnsi="Courier New" w:eastAsia="宋体"/>
      <w:kern w:val="2"/>
      <w:sz w:val="21"/>
      <w:szCs w:val="24"/>
      <w:lang w:val="en-US" w:eastAsia="zh-CN" w:bidi="ar-SA"/>
    </w:rPr>
  </w:style>
  <w:style w:type="character" w:customStyle="1" w:styleId="161">
    <w:name w:val="正文文本 2 Char"/>
    <w:qFormat/>
    <w:uiPriority w:val="99"/>
    <w:rPr>
      <w:kern w:val="2"/>
      <w:sz w:val="21"/>
      <w:szCs w:val="24"/>
    </w:rPr>
  </w:style>
  <w:style w:type="character" w:customStyle="1" w:styleId="162">
    <w:name w:val="font21"/>
    <w:qFormat/>
    <w:uiPriority w:val="0"/>
    <w:rPr>
      <w:rFonts w:hint="eastAsia" w:ascii="宋体" w:hAnsi="宋体" w:eastAsia="宋体" w:cs="宋体"/>
      <w:color w:val="000000"/>
      <w:sz w:val="22"/>
      <w:szCs w:val="22"/>
      <w:u w:val="none"/>
    </w:rPr>
  </w:style>
  <w:style w:type="character" w:customStyle="1" w:styleId="163">
    <w:name w:val="纯文本 Char1"/>
    <w:qFormat/>
    <w:locked/>
    <w:uiPriority w:val="0"/>
    <w:rPr>
      <w:rFonts w:ascii="宋体" w:hAnsi="Courier New" w:cs="Courier New"/>
      <w:kern w:val="2"/>
      <w:sz w:val="21"/>
      <w:szCs w:val="21"/>
    </w:rPr>
  </w:style>
  <w:style w:type="character" w:customStyle="1" w:styleId="164">
    <w:name w:val="页脚2 Char"/>
    <w:link w:val="165"/>
    <w:qFormat/>
    <w:uiPriority w:val="0"/>
    <w:rPr>
      <w:rFonts w:ascii="宋体" w:hAnsi="宋体"/>
      <w:sz w:val="18"/>
      <w:szCs w:val="18"/>
    </w:rPr>
  </w:style>
  <w:style w:type="paragraph" w:customStyle="1" w:styleId="165">
    <w:name w:val="页脚2"/>
    <w:basedOn w:val="1"/>
    <w:link w:val="164"/>
    <w:qFormat/>
    <w:uiPriority w:val="0"/>
    <w:pPr>
      <w:widowControl/>
      <w:pBdr>
        <w:top w:val="single" w:color="auto" w:sz="6" w:space="0"/>
      </w:pBdr>
      <w:jc w:val="right"/>
      <w:textAlignment w:val="center"/>
    </w:pPr>
    <w:rPr>
      <w:rFonts w:ascii="宋体" w:hAnsi="宋体"/>
      <w:kern w:val="0"/>
      <w:sz w:val="18"/>
      <w:szCs w:val="18"/>
    </w:rPr>
  </w:style>
  <w:style w:type="character" w:customStyle="1" w:styleId="166">
    <w:name w:val="正文文本 3 字符"/>
    <w:qFormat/>
    <w:uiPriority w:val="0"/>
    <w:rPr>
      <w:rFonts w:eastAsia="宋体"/>
      <w:sz w:val="16"/>
      <w:szCs w:val="16"/>
    </w:rPr>
  </w:style>
  <w:style w:type="character" w:customStyle="1" w:styleId="167">
    <w:name w:val="纯文本 字符1"/>
    <w:qFormat/>
    <w:uiPriority w:val="0"/>
    <w:rPr>
      <w:rFonts w:ascii="等线" w:hAnsi="Courier New" w:eastAsia="等线" w:cs="Courier New"/>
      <w:kern w:val="2"/>
      <w:sz w:val="21"/>
      <w:szCs w:val="24"/>
    </w:rPr>
  </w:style>
  <w:style w:type="character" w:customStyle="1" w:styleId="168">
    <w:name w:val="项目排列 Char"/>
    <w:link w:val="169"/>
    <w:qFormat/>
    <w:uiPriority w:val="0"/>
    <w:rPr>
      <w:sz w:val="24"/>
      <w:szCs w:val="24"/>
    </w:rPr>
  </w:style>
  <w:style w:type="paragraph" w:customStyle="1" w:styleId="169">
    <w:name w:val="项目排列"/>
    <w:basedOn w:val="1"/>
    <w:link w:val="168"/>
    <w:qFormat/>
    <w:uiPriority w:val="0"/>
    <w:pPr>
      <w:tabs>
        <w:tab w:val="left" w:pos="420"/>
      </w:tabs>
      <w:spacing w:beforeLines="50" w:afterLines="50" w:line="300" w:lineRule="auto"/>
      <w:ind w:left="350" w:leftChars="200" w:hanging="150" w:hangingChars="150"/>
    </w:pPr>
    <w:rPr>
      <w:kern w:val="0"/>
      <w:sz w:val="24"/>
    </w:rPr>
  </w:style>
  <w:style w:type="character" w:customStyle="1" w:styleId="170">
    <w:name w:val="小 Char Char"/>
    <w:qFormat/>
    <w:uiPriority w:val="0"/>
    <w:rPr>
      <w:rFonts w:ascii="宋体" w:hAnsi="Courier New" w:eastAsia="宋体"/>
      <w:kern w:val="2"/>
      <w:sz w:val="21"/>
      <w:lang w:val="en-US" w:eastAsia="zh-CN" w:bidi="ar-SA"/>
    </w:rPr>
  </w:style>
  <w:style w:type="character" w:customStyle="1" w:styleId="171">
    <w:name w:val="正文文本 Char"/>
    <w:qFormat/>
    <w:uiPriority w:val="0"/>
    <w:rPr>
      <w:kern w:val="2"/>
      <w:sz w:val="28"/>
      <w:szCs w:val="24"/>
    </w:rPr>
  </w:style>
  <w:style w:type="character" w:customStyle="1" w:styleId="172">
    <w:name w:val="fontstyle01"/>
    <w:qFormat/>
    <w:uiPriority w:val="0"/>
    <w:rPr>
      <w:rFonts w:hint="eastAsia" w:ascii="宋体" w:hAnsi="宋体" w:eastAsia="宋体"/>
      <w:color w:val="000000"/>
      <w:sz w:val="32"/>
      <w:szCs w:val="32"/>
    </w:rPr>
  </w:style>
  <w:style w:type="character" w:customStyle="1" w:styleId="173">
    <w:name w:val="wctjfont1"/>
    <w:qFormat/>
    <w:uiPriority w:val="0"/>
    <w:rPr>
      <w:sz w:val="18"/>
      <w:szCs w:val="18"/>
    </w:rPr>
  </w:style>
  <w:style w:type="character" w:customStyle="1" w:styleId="174">
    <w:name w:val="批注文字 字符1"/>
    <w:semiHidden/>
    <w:qFormat/>
    <w:uiPriority w:val="99"/>
    <w:rPr>
      <w:kern w:val="2"/>
      <w:sz w:val="21"/>
      <w:szCs w:val="24"/>
    </w:rPr>
  </w:style>
  <w:style w:type="character" w:customStyle="1" w:styleId="175">
    <w:name w:val="标题 3 Char Char"/>
    <w:qFormat/>
    <w:uiPriority w:val="0"/>
    <w:rPr>
      <w:rFonts w:ascii="黑体" w:eastAsia="黑体"/>
      <w:bCs/>
      <w:sz w:val="30"/>
    </w:rPr>
  </w:style>
  <w:style w:type="character" w:customStyle="1" w:styleId="176">
    <w:name w:val="a301"/>
    <w:qFormat/>
    <w:uiPriority w:val="0"/>
    <w:rPr>
      <w:sz w:val="18"/>
      <w:szCs w:val="18"/>
      <w:u w:val="none"/>
    </w:rPr>
  </w:style>
  <w:style w:type="character" w:customStyle="1" w:styleId="177">
    <w:name w:val="正文（首行缩进两字） Char2"/>
    <w:qFormat/>
    <w:uiPriority w:val="0"/>
    <w:rPr>
      <w:rFonts w:eastAsia="宋体"/>
      <w:kern w:val="2"/>
      <w:sz w:val="24"/>
      <w:szCs w:val="24"/>
      <w:lang w:val="en-US" w:eastAsia="zh-CN" w:bidi="ar-SA"/>
    </w:rPr>
  </w:style>
  <w:style w:type="character" w:customStyle="1" w:styleId="178">
    <w:name w:val="正文文本 3 Char"/>
    <w:qFormat/>
    <w:uiPriority w:val="0"/>
    <w:rPr>
      <w:sz w:val="16"/>
      <w:szCs w:val="16"/>
    </w:rPr>
  </w:style>
  <w:style w:type="character" w:customStyle="1" w:styleId="179">
    <w:name w:val="特点标题 Char"/>
    <w:qFormat/>
    <w:uiPriority w:val="0"/>
    <w:rPr>
      <w:rFonts w:eastAsia="宋体"/>
      <w:kern w:val="2"/>
      <w:sz w:val="28"/>
      <w:szCs w:val="24"/>
      <w:lang w:val="en-US" w:eastAsia="zh-CN" w:bidi="ar-SA"/>
    </w:rPr>
  </w:style>
  <w:style w:type="character" w:customStyle="1" w:styleId="180">
    <w:name w:val="weby11"/>
    <w:qFormat/>
    <w:uiPriority w:val="0"/>
    <w:rPr>
      <w:sz w:val="18"/>
      <w:szCs w:val="18"/>
    </w:rPr>
  </w:style>
  <w:style w:type="character" w:customStyle="1" w:styleId="181">
    <w:name w:val="标题 5 字符"/>
    <w:qFormat/>
    <w:uiPriority w:val="0"/>
    <w:rPr>
      <w:rFonts w:ascii="Arial" w:hAnsi="Arial" w:eastAsia="宋体" w:cs="Times New Roman"/>
      <w:kern w:val="0"/>
      <w:sz w:val="22"/>
      <w:szCs w:val="20"/>
    </w:rPr>
  </w:style>
  <w:style w:type="character" w:customStyle="1" w:styleId="182">
    <w:name w:val="页眉 Char"/>
    <w:qFormat/>
    <w:uiPriority w:val="0"/>
    <w:rPr>
      <w:sz w:val="18"/>
      <w:szCs w:val="18"/>
    </w:rPr>
  </w:style>
  <w:style w:type="character" w:customStyle="1" w:styleId="183">
    <w:name w:val="biaoti2 Char Char"/>
    <w:link w:val="184"/>
    <w:qFormat/>
    <w:uiPriority w:val="0"/>
    <w:rPr>
      <w:rFonts w:ascii="Arial" w:hAnsi="Arial" w:eastAsia="黑体"/>
      <w:b/>
      <w:bCs/>
      <w:sz w:val="32"/>
      <w:szCs w:val="32"/>
    </w:rPr>
  </w:style>
  <w:style w:type="paragraph" w:customStyle="1" w:styleId="184">
    <w:name w:val="biaoti2 Char"/>
    <w:basedOn w:val="4"/>
    <w:link w:val="183"/>
    <w:qFormat/>
    <w:uiPriority w:val="0"/>
    <w:pPr>
      <w:tabs>
        <w:tab w:val="left" w:pos="576"/>
      </w:tabs>
      <w:spacing w:line="360" w:lineRule="auto"/>
      <w:ind w:left="576" w:hanging="576"/>
    </w:pPr>
    <w:rPr>
      <w:kern w:val="0"/>
    </w:rPr>
  </w:style>
  <w:style w:type="character" w:customStyle="1" w:styleId="185">
    <w:name w:val="尾注文本 Char2"/>
    <w:qFormat/>
    <w:uiPriority w:val="0"/>
    <w:rPr>
      <w:sz w:val="24"/>
    </w:rPr>
  </w:style>
  <w:style w:type="character" w:customStyle="1" w:styleId="186">
    <w:name w:val="正文文本缩进 2 Char"/>
    <w:qFormat/>
    <w:uiPriority w:val="99"/>
    <w:rPr>
      <w:kern w:val="2"/>
      <w:sz w:val="21"/>
      <w:szCs w:val="24"/>
    </w:rPr>
  </w:style>
  <w:style w:type="character" w:customStyle="1" w:styleId="187">
    <w:name w:val="样式 普通(网站) + 小五 Char Char"/>
    <w:link w:val="188"/>
    <w:qFormat/>
    <w:uiPriority w:val="0"/>
    <w:rPr>
      <w:rFonts w:ascii="Arial Unicode MS" w:hAnsi="Arial Unicode MS" w:eastAsia="仿宋_GB2312" w:cs="Arial Unicode MS"/>
      <w:sz w:val="18"/>
      <w:szCs w:val="24"/>
    </w:rPr>
  </w:style>
  <w:style w:type="paragraph" w:customStyle="1" w:styleId="188">
    <w:name w:val="样式 普通(网站) + 小五"/>
    <w:basedOn w:val="58"/>
    <w:link w:val="187"/>
    <w:qFormat/>
    <w:uiPriority w:val="0"/>
    <w:pPr>
      <w:spacing w:before="0" w:beforeAutospacing="0" w:after="0" w:afterAutospacing="0" w:line="240" w:lineRule="exact"/>
    </w:pPr>
    <w:rPr>
      <w:rFonts w:ascii="Arial Unicode MS" w:hAnsi="Arial Unicode MS" w:eastAsia="仿宋_GB2312"/>
      <w:color w:val="auto"/>
      <w:sz w:val="18"/>
    </w:rPr>
  </w:style>
  <w:style w:type="character" w:customStyle="1" w:styleId="189">
    <w:name w:val="MSG_EN_FONT_STYLE_NAME_TEMPLATE_ROLE_NUMBER MSG_EN_FONT_STYLE_NAME_BY_ROLE_TEXT 8 + MSG_EN_FONT_STYLE_MODIFER_NAME Times New Roman"/>
    <w:qFormat/>
    <w:uiPriority w:val="99"/>
    <w:rPr>
      <w:rFonts w:ascii="Times New Roman" w:hAnsi="Times New Roman" w:eastAsia="宋体" w:cs="Times New Roman"/>
      <w:color w:val="000000"/>
      <w:spacing w:val="0"/>
      <w:w w:val="100"/>
      <w:position w:val="0"/>
      <w:sz w:val="19"/>
      <w:szCs w:val="19"/>
      <w:u w:val="none"/>
      <w:shd w:val="clear" w:color="auto" w:fill="FFFFFF"/>
      <w:lang w:val="en-US"/>
    </w:rPr>
  </w:style>
  <w:style w:type="character" w:customStyle="1" w:styleId="190">
    <w:name w:val="font01"/>
    <w:qFormat/>
    <w:uiPriority w:val="0"/>
    <w:rPr>
      <w:rFonts w:hint="eastAsia" w:ascii="宋体" w:hAnsi="宋体" w:eastAsia="宋体" w:cs="宋体"/>
      <w:color w:val="000000"/>
      <w:sz w:val="22"/>
      <w:szCs w:val="22"/>
      <w:u w:val="none"/>
    </w:rPr>
  </w:style>
  <w:style w:type="character" w:customStyle="1" w:styleId="191">
    <w:name w:val="Highlighted Variable"/>
    <w:qFormat/>
    <w:uiPriority w:val="0"/>
    <w:rPr>
      <w:color w:val="000000"/>
    </w:rPr>
  </w:style>
  <w:style w:type="character" w:customStyle="1" w:styleId="192">
    <w:name w:val="批注框文本 字符"/>
    <w:semiHidden/>
    <w:qFormat/>
    <w:uiPriority w:val="0"/>
    <w:rPr>
      <w:rFonts w:eastAsia="宋体"/>
      <w:sz w:val="18"/>
      <w:szCs w:val="18"/>
    </w:rPr>
  </w:style>
  <w:style w:type="character" w:customStyle="1" w:styleId="193">
    <w:name w:val="标题 8 字符"/>
    <w:qFormat/>
    <w:uiPriority w:val="0"/>
    <w:rPr>
      <w:rFonts w:ascii="Arial" w:hAnsi="Arial" w:eastAsia="宋体" w:cs="Times New Roman"/>
      <w:i/>
      <w:kern w:val="0"/>
      <w:sz w:val="20"/>
      <w:szCs w:val="20"/>
    </w:rPr>
  </w:style>
  <w:style w:type="character" w:customStyle="1" w:styleId="194">
    <w:name w:val="正文缩进 Char2"/>
    <w:qFormat/>
    <w:uiPriority w:val="0"/>
    <w:rPr>
      <w:rFonts w:ascii="Times New Roman" w:hAnsi="Times New Roman" w:eastAsia="宋体" w:cs="Times New Roman"/>
      <w:szCs w:val="20"/>
    </w:rPr>
  </w:style>
  <w:style w:type="character" w:customStyle="1" w:styleId="195">
    <w:name w:val="正文 + Tahoma Char"/>
    <w:link w:val="196"/>
    <w:qFormat/>
    <w:uiPriority w:val="0"/>
    <w:rPr>
      <w:rFonts w:ascii="宋体" w:hAnsi="宋体"/>
      <w:szCs w:val="21"/>
    </w:rPr>
  </w:style>
  <w:style w:type="paragraph" w:customStyle="1" w:styleId="196">
    <w:name w:val="正文 + Tahoma"/>
    <w:basedOn w:val="1"/>
    <w:link w:val="195"/>
    <w:qFormat/>
    <w:uiPriority w:val="0"/>
    <w:rPr>
      <w:rFonts w:ascii="宋体" w:hAnsi="宋体"/>
      <w:kern w:val="0"/>
      <w:sz w:val="20"/>
      <w:szCs w:val="21"/>
    </w:rPr>
  </w:style>
  <w:style w:type="character" w:customStyle="1" w:styleId="197">
    <w:name w:val="MSG_EN_FONT_STYLE_NAME_TEMPLATE_ROLE_NUMBER MSG_EN_FONT_STYLE_NAME_BY_ROLE_TEXT 4_"/>
    <w:link w:val="198"/>
    <w:qFormat/>
    <w:uiPriority w:val="99"/>
    <w:rPr>
      <w:rFonts w:ascii="宋体" w:hAnsi="宋体" w:cs="宋体"/>
      <w:sz w:val="19"/>
      <w:szCs w:val="19"/>
      <w:shd w:val="clear" w:color="auto" w:fill="FFFFFF"/>
    </w:rPr>
  </w:style>
  <w:style w:type="paragraph" w:customStyle="1" w:styleId="198">
    <w:name w:val="MSG_EN_FONT_STYLE_NAME_TEMPLATE_ROLE_NUMBER MSG_EN_FONT_STYLE_NAME_BY_ROLE_TEXT 4"/>
    <w:basedOn w:val="1"/>
    <w:link w:val="197"/>
    <w:qFormat/>
    <w:uiPriority w:val="99"/>
    <w:pPr>
      <w:shd w:val="clear" w:color="auto" w:fill="FFFFFF"/>
      <w:spacing w:before="3900" w:line="398" w:lineRule="exact"/>
      <w:ind w:hanging="840"/>
      <w:jc w:val="center"/>
    </w:pPr>
    <w:rPr>
      <w:rFonts w:ascii="宋体" w:hAnsi="宋体"/>
      <w:kern w:val="0"/>
      <w:sz w:val="19"/>
      <w:szCs w:val="19"/>
    </w:rPr>
  </w:style>
  <w:style w:type="character" w:customStyle="1" w:styleId="199">
    <w:name w:val="HTML 预设格式 Char"/>
    <w:qFormat/>
    <w:uiPriority w:val="0"/>
    <w:rPr>
      <w:rFonts w:ascii="Courier New" w:hAnsi="Courier New" w:cs="Courier New"/>
      <w:kern w:val="2"/>
    </w:rPr>
  </w:style>
  <w:style w:type="character" w:customStyle="1" w:styleId="200">
    <w:name w:val="dash Char"/>
    <w:qFormat/>
    <w:locked/>
    <w:uiPriority w:val="0"/>
    <w:rPr>
      <w:rFonts w:eastAsia="黑体"/>
      <w:b/>
      <w:bCs/>
      <w:kern w:val="2"/>
      <w:sz w:val="28"/>
      <w:szCs w:val="28"/>
    </w:rPr>
  </w:style>
  <w:style w:type="character" w:customStyle="1" w:styleId="201">
    <w:name w:val="注释标题 Char1"/>
    <w:qFormat/>
    <w:uiPriority w:val="0"/>
    <w:rPr>
      <w:rFonts w:ascii="宋体" w:hAnsi="宋体"/>
      <w:szCs w:val="21"/>
      <w:lang w:val="en-GB" w:eastAsia="en-GB"/>
    </w:rPr>
  </w:style>
  <w:style w:type="character" w:customStyle="1" w:styleId="202">
    <w:name w:val="font61"/>
    <w:qFormat/>
    <w:uiPriority w:val="99"/>
    <w:rPr>
      <w:rFonts w:ascii="宋体" w:hAnsi="宋体" w:eastAsia="宋体" w:cs="宋体"/>
      <w:color w:val="FF0000"/>
      <w:sz w:val="20"/>
      <w:szCs w:val="20"/>
      <w:u w:val="none"/>
    </w:rPr>
  </w:style>
  <w:style w:type="character" w:customStyle="1" w:styleId="203">
    <w:name w:val="批注文字 Char"/>
    <w:qFormat/>
    <w:uiPriority w:val="0"/>
    <w:rPr>
      <w:szCs w:val="24"/>
    </w:rPr>
  </w:style>
  <w:style w:type="character" w:customStyle="1" w:styleId="204">
    <w:name w:val="MSG_EN_FONT_STYLE_NAME_TEMPLATE_ROLE_NUMBER MSG_EN_FONT_STYLE_NAME_BY_ROLE_TABLE_CAPTION 2_"/>
    <w:link w:val="205"/>
    <w:qFormat/>
    <w:uiPriority w:val="99"/>
    <w:rPr>
      <w:rFonts w:ascii="宋体" w:hAnsi="宋体" w:cs="宋体"/>
      <w:sz w:val="19"/>
      <w:szCs w:val="19"/>
      <w:shd w:val="clear" w:color="auto" w:fill="FFFFFF"/>
    </w:rPr>
  </w:style>
  <w:style w:type="paragraph" w:customStyle="1" w:styleId="205">
    <w:name w:val="MSG_EN_FONT_STYLE_NAME_TEMPLATE_ROLE_NUMBER MSG_EN_FONT_STYLE_NAME_BY_ROLE_TABLE_CAPTION 2"/>
    <w:basedOn w:val="1"/>
    <w:link w:val="204"/>
    <w:qFormat/>
    <w:uiPriority w:val="99"/>
    <w:pPr>
      <w:shd w:val="clear" w:color="auto" w:fill="FFFFFF"/>
      <w:spacing w:line="240" w:lineRule="atLeast"/>
      <w:jc w:val="left"/>
    </w:pPr>
    <w:rPr>
      <w:rFonts w:ascii="宋体" w:hAnsi="宋体"/>
      <w:kern w:val="0"/>
      <w:sz w:val="19"/>
      <w:szCs w:val="19"/>
    </w:rPr>
  </w:style>
  <w:style w:type="character" w:customStyle="1" w:styleId="206">
    <w:name w:val="列出段落 Char"/>
    <w:qFormat/>
    <w:uiPriority w:val="0"/>
    <w:rPr>
      <w:rFonts w:ascii="Calibri" w:hAnsi="Calibri"/>
      <w:kern w:val="2"/>
      <w:sz w:val="21"/>
      <w:szCs w:val="22"/>
    </w:rPr>
  </w:style>
  <w:style w:type="character" w:customStyle="1" w:styleId="207">
    <w:name w:val="style121"/>
    <w:qFormat/>
    <w:uiPriority w:val="0"/>
    <w:rPr>
      <w:b/>
      <w:bCs/>
      <w:color w:val="0000FF"/>
    </w:rPr>
  </w:style>
  <w:style w:type="character" w:customStyle="1" w:styleId="208">
    <w:name w:val="缺省文本 Char"/>
    <w:link w:val="209"/>
    <w:qFormat/>
    <w:uiPriority w:val="0"/>
    <w:rPr>
      <w:szCs w:val="24"/>
    </w:rPr>
  </w:style>
  <w:style w:type="paragraph" w:customStyle="1" w:styleId="209">
    <w:name w:val="缺省文本"/>
    <w:basedOn w:val="1"/>
    <w:link w:val="208"/>
    <w:qFormat/>
    <w:uiPriority w:val="0"/>
    <w:pPr>
      <w:autoSpaceDE w:val="0"/>
      <w:autoSpaceDN w:val="0"/>
      <w:adjustRightInd w:val="0"/>
      <w:jc w:val="left"/>
    </w:pPr>
    <w:rPr>
      <w:kern w:val="0"/>
      <w:sz w:val="20"/>
    </w:rPr>
  </w:style>
  <w:style w:type="character" w:customStyle="1" w:styleId="210">
    <w:name w:val="批注框文本 Char"/>
    <w:qFormat/>
    <w:uiPriority w:val="0"/>
    <w:rPr>
      <w:sz w:val="18"/>
      <w:szCs w:val="18"/>
    </w:rPr>
  </w:style>
  <w:style w:type="character" w:customStyle="1" w:styleId="211">
    <w:name w:val="MSG_EN_FONT_STYLE_NAME_TEMPLATE_ROLE MSG_EN_FONT_STYLE_NAME_BY_ROLE_TEXT_"/>
    <w:link w:val="212"/>
    <w:qFormat/>
    <w:uiPriority w:val="99"/>
    <w:rPr>
      <w:rFonts w:ascii="宋体" w:hAnsi="宋体" w:cs="宋体"/>
      <w:sz w:val="19"/>
      <w:szCs w:val="19"/>
      <w:shd w:val="clear" w:color="auto" w:fill="FFFFFF"/>
    </w:rPr>
  </w:style>
  <w:style w:type="paragraph" w:customStyle="1" w:styleId="212">
    <w:name w:val="MSG_EN_FONT_STYLE_NAME_TEMPLATE_ROLE MSG_EN_FONT_STYLE_NAME_BY_ROLE_TEXT"/>
    <w:basedOn w:val="1"/>
    <w:link w:val="211"/>
    <w:qFormat/>
    <w:uiPriority w:val="99"/>
    <w:pPr>
      <w:shd w:val="clear" w:color="auto" w:fill="FFFFFF"/>
      <w:spacing w:before="600" w:line="408" w:lineRule="exact"/>
      <w:ind w:hanging="4700"/>
      <w:jc w:val="distribute"/>
    </w:pPr>
    <w:rPr>
      <w:rFonts w:ascii="宋体" w:hAnsi="宋体"/>
      <w:kern w:val="0"/>
      <w:sz w:val="19"/>
      <w:szCs w:val="19"/>
    </w:rPr>
  </w:style>
  <w:style w:type="character" w:customStyle="1" w:styleId="213">
    <w:name w:val="PIM 4 Char"/>
    <w:qFormat/>
    <w:locked/>
    <w:uiPriority w:val="0"/>
    <w:rPr>
      <w:rFonts w:hAnsi="宋体" w:eastAsia="黑体"/>
      <w:b/>
      <w:bCs/>
      <w:sz w:val="28"/>
      <w:szCs w:val="28"/>
    </w:rPr>
  </w:style>
  <w:style w:type="character" w:customStyle="1" w:styleId="214">
    <w:name w:val="Unresolved Mention"/>
    <w:unhideWhenUsed/>
    <w:qFormat/>
    <w:uiPriority w:val="99"/>
    <w:rPr>
      <w:color w:val="605E5C"/>
      <w:shd w:val="clear" w:color="auto" w:fill="E1DFDD"/>
    </w:rPr>
  </w:style>
  <w:style w:type="character" w:customStyle="1" w:styleId="215">
    <w:name w:val="标题 3 Char"/>
    <w:qFormat/>
    <w:uiPriority w:val="9"/>
    <w:rPr>
      <w:rFonts w:ascii="Calibri" w:hAnsi="Calibri" w:eastAsia="宋体" w:cs="Times New Roman"/>
      <w:b/>
      <w:bCs/>
      <w:sz w:val="32"/>
      <w:szCs w:val="32"/>
    </w:rPr>
  </w:style>
  <w:style w:type="character" w:customStyle="1" w:styleId="216">
    <w:name w:val="尾注文本 Char1"/>
    <w:qFormat/>
    <w:uiPriority w:val="0"/>
    <w:rPr>
      <w:kern w:val="2"/>
      <w:sz w:val="21"/>
      <w:szCs w:val="24"/>
    </w:rPr>
  </w:style>
  <w:style w:type="character" w:customStyle="1" w:styleId="217">
    <w:name w:val="小标题 Char"/>
    <w:qFormat/>
    <w:uiPriority w:val="0"/>
    <w:rPr>
      <w:rFonts w:ascii="Arial" w:hAnsi="Arial" w:eastAsia="黑体"/>
      <w:b/>
      <w:kern w:val="2"/>
      <w:sz w:val="28"/>
      <w:szCs w:val="24"/>
    </w:rPr>
  </w:style>
  <w:style w:type="character" w:customStyle="1" w:styleId="218">
    <w:name w:val="para"/>
    <w:qFormat/>
    <w:uiPriority w:val="0"/>
  </w:style>
  <w:style w:type="character" w:customStyle="1" w:styleId="219">
    <w:name w:val="正文文本 字符"/>
    <w:semiHidden/>
    <w:qFormat/>
    <w:uiPriority w:val="99"/>
    <w:rPr>
      <w:rFonts w:ascii="Times New Roman" w:hAnsi="Times New Roman" w:eastAsia="宋体" w:cs="Times New Roman"/>
      <w:szCs w:val="24"/>
    </w:rPr>
  </w:style>
  <w:style w:type="character" w:customStyle="1" w:styleId="220">
    <w:name w:val="说明文字 Char"/>
    <w:link w:val="221"/>
    <w:qFormat/>
    <w:uiPriority w:val="0"/>
    <w:rPr>
      <w:i/>
      <w:color w:val="0000FF"/>
      <w:szCs w:val="21"/>
    </w:rPr>
  </w:style>
  <w:style w:type="paragraph" w:customStyle="1" w:styleId="221">
    <w:name w:val="说明文字"/>
    <w:basedOn w:val="1"/>
    <w:next w:val="15"/>
    <w:link w:val="220"/>
    <w:qFormat/>
    <w:uiPriority w:val="0"/>
    <w:pPr>
      <w:spacing w:beforeLines="50" w:afterLines="50"/>
    </w:pPr>
    <w:rPr>
      <w:i/>
      <w:color w:val="0000FF"/>
      <w:kern w:val="0"/>
      <w:sz w:val="20"/>
      <w:szCs w:val="21"/>
    </w:rPr>
  </w:style>
  <w:style w:type="character" w:customStyle="1" w:styleId="222">
    <w:name w:val="正文文本缩进 Char2"/>
    <w:qFormat/>
    <w:uiPriority w:val="0"/>
    <w:rPr>
      <w:rFonts w:ascii="Calibri" w:hAnsi="Calibri" w:eastAsia="宋体" w:cs="Times New Roman"/>
    </w:rPr>
  </w:style>
  <w:style w:type="character" w:customStyle="1" w:styleId="223">
    <w:name w:val="发布"/>
    <w:qFormat/>
    <w:uiPriority w:val="0"/>
    <w:rPr>
      <w:rFonts w:ascii="黑体" w:eastAsia="黑体"/>
      <w:spacing w:val="85"/>
      <w:w w:val="100"/>
      <w:position w:val="3"/>
      <w:sz w:val="28"/>
      <w:szCs w:val="28"/>
    </w:rPr>
  </w:style>
  <w:style w:type="character" w:customStyle="1" w:styleId="224">
    <w:name w:val="标题 1 字符"/>
    <w:qFormat/>
    <w:uiPriority w:val="0"/>
    <w:rPr>
      <w:rFonts w:ascii="Times New Roman" w:hAnsi="Times New Roman" w:eastAsia="宋体" w:cs="Times New Roman"/>
      <w:b/>
      <w:bCs/>
      <w:kern w:val="44"/>
      <w:sz w:val="44"/>
      <w:szCs w:val="44"/>
    </w:rPr>
  </w:style>
  <w:style w:type="character" w:customStyle="1" w:styleId="225">
    <w:name w:val="标题 9 字符"/>
    <w:qFormat/>
    <w:uiPriority w:val="0"/>
    <w:rPr>
      <w:rFonts w:ascii="Arial" w:hAnsi="Arial" w:eastAsia="宋体" w:cs="Times New Roman"/>
      <w:b/>
      <w:i/>
      <w:kern w:val="0"/>
      <w:sz w:val="18"/>
      <w:szCs w:val="20"/>
    </w:rPr>
  </w:style>
  <w:style w:type="character" w:customStyle="1" w:styleId="226">
    <w:name w:val="正文小标题 Char Char"/>
    <w:qFormat/>
    <w:uiPriority w:val="0"/>
    <w:rPr>
      <w:rFonts w:eastAsia="宋体"/>
      <w:sz w:val="21"/>
      <w:lang w:val="en-US" w:eastAsia="zh-CN" w:bidi="ar-SA"/>
    </w:rPr>
  </w:style>
  <w:style w:type="character" w:customStyle="1" w:styleId="227">
    <w:name w:val="个人答复风格"/>
    <w:qFormat/>
    <w:uiPriority w:val="0"/>
    <w:rPr>
      <w:rFonts w:ascii="Arial" w:hAnsi="Arial" w:eastAsia="宋体"/>
      <w:color w:val="auto"/>
      <w:sz w:val="20"/>
    </w:rPr>
  </w:style>
  <w:style w:type="character" w:customStyle="1" w:styleId="228">
    <w:name w:val="正文文本缩进 Char1"/>
    <w:semiHidden/>
    <w:qFormat/>
    <w:uiPriority w:val="99"/>
    <w:rPr>
      <w:kern w:val="2"/>
      <w:sz w:val="21"/>
      <w:szCs w:val="24"/>
    </w:rPr>
  </w:style>
  <w:style w:type="character" w:customStyle="1" w:styleId="229">
    <w:name w:val="正文文本缩进 3 Char1"/>
    <w:qFormat/>
    <w:uiPriority w:val="0"/>
  </w:style>
  <w:style w:type="character" w:customStyle="1" w:styleId="230">
    <w:name w:val="普通正文 Char"/>
    <w:link w:val="231"/>
    <w:qFormat/>
    <w:uiPriority w:val="0"/>
    <w:rPr>
      <w:rFonts w:ascii="Arial" w:hAnsi="Arial"/>
      <w:sz w:val="24"/>
    </w:rPr>
  </w:style>
  <w:style w:type="paragraph" w:customStyle="1" w:styleId="231">
    <w:name w:val="普通正文"/>
    <w:basedOn w:val="1"/>
    <w:link w:val="230"/>
    <w:qFormat/>
    <w:uiPriority w:val="0"/>
    <w:pPr>
      <w:adjustRightInd w:val="0"/>
      <w:spacing w:before="120" w:after="120" w:line="360" w:lineRule="auto"/>
      <w:ind w:firstLine="480"/>
      <w:jc w:val="left"/>
      <w:textAlignment w:val="baseline"/>
    </w:pPr>
    <w:rPr>
      <w:rFonts w:ascii="Arial" w:hAnsi="Arial"/>
      <w:kern w:val="0"/>
      <w:sz w:val="24"/>
      <w:szCs w:val="20"/>
    </w:rPr>
  </w:style>
  <w:style w:type="character" w:customStyle="1" w:styleId="232">
    <w:name w:val="正文文本 2 Char1"/>
    <w:qFormat/>
    <w:uiPriority w:val="0"/>
    <w:rPr>
      <w:sz w:val="24"/>
    </w:rPr>
  </w:style>
  <w:style w:type="character" w:customStyle="1" w:styleId="233">
    <w:name w:val="正文文本缩进 3 Char"/>
    <w:qFormat/>
    <w:uiPriority w:val="0"/>
    <w:rPr>
      <w:rFonts w:ascii="宋体" w:hAnsi="宋体"/>
      <w:b/>
      <w:kern w:val="2"/>
      <w:sz w:val="21"/>
    </w:rPr>
  </w:style>
  <w:style w:type="character" w:customStyle="1" w:styleId="234">
    <w:name w:val="正文文本缩进 2 Char1"/>
    <w:qFormat/>
    <w:uiPriority w:val="99"/>
  </w:style>
  <w:style w:type="character" w:customStyle="1" w:styleId="235">
    <w:name w:val="日期 Char1"/>
    <w:qFormat/>
    <w:uiPriority w:val="99"/>
    <w:rPr>
      <w:szCs w:val="24"/>
    </w:rPr>
  </w:style>
  <w:style w:type="character" w:customStyle="1" w:styleId="236">
    <w:name w:val="font51"/>
    <w:qFormat/>
    <w:uiPriority w:val="0"/>
    <w:rPr>
      <w:rFonts w:hint="eastAsia" w:ascii="宋体" w:hAnsi="宋体" w:eastAsia="宋体" w:cs="宋体"/>
      <w:color w:val="000000"/>
      <w:sz w:val="24"/>
      <w:szCs w:val="24"/>
      <w:u w:val="none"/>
    </w:rPr>
  </w:style>
  <w:style w:type="character" w:customStyle="1" w:styleId="237">
    <w:name w:val="font121"/>
    <w:qFormat/>
    <w:uiPriority w:val="99"/>
    <w:rPr>
      <w:rFonts w:ascii="宋体" w:hAnsi="宋体" w:eastAsia="宋体" w:cs="宋体"/>
      <w:color w:val="000000"/>
      <w:sz w:val="20"/>
      <w:szCs w:val="20"/>
      <w:u w:val="none"/>
    </w:rPr>
  </w:style>
  <w:style w:type="character" w:customStyle="1" w:styleId="238">
    <w:name w:val="正文文本 字符1"/>
    <w:semiHidden/>
    <w:qFormat/>
    <w:uiPriority w:val="99"/>
    <w:rPr>
      <w:kern w:val="2"/>
      <w:sz w:val="21"/>
      <w:szCs w:val="24"/>
    </w:rPr>
  </w:style>
  <w:style w:type="character" w:customStyle="1" w:styleId="239">
    <w:name w:val="Char Char4"/>
    <w:qFormat/>
    <w:uiPriority w:val="0"/>
    <w:rPr>
      <w:rFonts w:hint="eastAsia" w:ascii="黑体" w:hAnsi="黑体" w:eastAsia="黑体"/>
      <w:kern w:val="2"/>
      <w:sz w:val="18"/>
      <w:szCs w:val="18"/>
      <w:lang w:val="en-US" w:eastAsia="zh-CN" w:bidi="ar-SA"/>
    </w:rPr>
  </w:style>
  <w:style w:type="character" w:customStyle="1" w:styleId="240">
    <w:name w:val="标题 3 字符1"/>
    <w:qFormat/>
    <w:uiPriority w:val="0"/>
    <w:rPr>
      <w:rFonts w:ascii="Times New Roman" w:hAnsi="Times New Roman" w:eastAsia="宋体" w:cs="Times New Roman"/>
      <w:b/>
      <w:bCs/>
      <w:sz w:val="28"/>
      <w:szCs w:val="32"/>
    </w:rPr>
  </w:style>
  <w:style w:type="character" w:customStyle="1" w:styleId="241">
    <w:name w:val="正文首行缩进 2 Char"/>
    <w:qFormat/>
    <w:uiPriority w:val="0"/>
    <w:rPr>
      <w:rFonts w:ascii="仿宋_GB2312" w:eastAsia="仿宋_GB2312"/>
      <w:kern w:val="2"/>
      <w:sz w:val="21"/>
      <w:szCs w:val="24"/>
    </w:rPr>
  </w:style>
  <w:style w:type="character" w:customStyle="1" w:styleId="242">
    <w:name w:val="标题 1 Char"/>
    <w:qFormat/>
    <w:uiPriority w:val="0"/>
    <w:rPr>
      <w:b/>
      <w:bCs/>
      <w:kern w:val="44"/>
      <w:sz w:val="44"/>
      <w:szCs w:val="44"/>
    </w:rPr>
  </w:style>
  <w:style w:type="character" w:customStyle="1" w:styleId="243">
    <w:name w:val="标题 6 字符"/>
    <w:qFormat/>
    <w:uiPriority w:val="0"/>
    <w:rPr>
      <w:rFonts w:ascii="Times New Roman" w:hAnsi="Arial" w:eastAsia="宋体" w:cs="Times New Roman"/>
      <w:i/>
      <w:kern w:val="0"/>
      <w:sz w:val="22"/>
      <w:szCs w:val="20"/>
    </w:rPr>
  </w:style>
  <w:style w:type="character" w:customStyle="1" w:styleId="244">
    <w:name w:val="txt"/>
    <w:qFormat/>
    <w:uiPriority w:val="0"/>
  </w:style>
  <w:style w:type="character" w:customStyle="1" w:styleId="245">
    <w:name w:val="apple-style-span"/>
    <w:qFormat/>
    <w:uiPriority w:val="0"/>
  </w:style>
  <w:style w:type="character" w:customStyle="1" w:styleId="246">
    <w:name w:val="日期 Char"/>
    <w:qFormat/>
    <w:uiPriority w:val="99"/>
    <w:rPr>
      <w:kern w:val="2"/>
      <w:sz w:val="21"/>
      <w:szCs w:val="24"/>
    </w:rPr>
  </w:style>
  <w:style w:type="character" w:customStyle="1" w:styleId="247">
    <w:name w:val="tytytyty Char1"/>
    <w:link w:val="248"/>
    <w:qFormat/>
    <w:uiPriority w:val="0"/>
    <w:rPr>
      <w:sz w:val="24"/>
      <w:szCs w:val="24"/>
    </w:rPr>
  </w:style>
  <w:style w:type="paragraph" w:customStyle="1" w:styleId="248">
    <w:name w:val="tytytyty"/>
    <w:basedOn w:val="249"/>
    <w:link w:val="247"/>
    <w:qFormat/>
    <w:uiPriority w:val="0"/>
    <w:pPr>
      <w:ind w:left="359" w:leftChars="171"/>
    </w:pPr>
    <w:rPr>
      <w:kern w:val="0"/>
    </w:rPr>
  </w:style>
  <w:style w:type="paragraph" w:customStyle="1" w:styleId="249">
    <w:name w:val="A正文 Char"/>
    <w:basedOn w:val="1"/>
    <w:qFormat/>
    <w:uiPriority w:val="0"/>
    <w:pPr>
      <w:spacing w:line="360" w:lineRule="auto"/>
      <w:ind w:left="840" w:leftChars="400" w:firstLine="480" w:firstLineChars="200"/>
    </w:pPr>
    <w:rPr>
      <w:sz w:val="24"/>
    </w:rPr>
  </w:style>
  <w:style w:type="character" w:customStyle="1" w:styleId="250">
    <w:name w:val="标题 3 Char1"/>
    <w:qFormat/>
    <w:uiPriority w:val="0"/>
    <w:rPr>
      <w:rFonts w:eastAsia="宋体"/>
      <w:b/>
      <w:bCs/>
      <w:kern w:val="2"/>
      <w:sz w:val="32"/>
      <w:szCs w:val="32"/>
      <w:lang w:val="en-US" w:eastAsia="zh-CN" w:bidi="ar-SA"/>
    </w:rPr>
  </w:style>
  <w:style w:type="character" w:customStyle="1" w:styleId="251">
    <w:name w:val="15"/>
    <w:qFormat/>
    <w:uiPriority w:val="0"/>
  </w:style>
  <w:style w:type="character" w:customStyle="1" w:styleId="252">
    <w:name w:val="页眉 Char1"/>
    <w:qFormat/>
    <w:uiPriority w:val="0"/>
    <w:rPr>
      <w:rFonts w:ascii="Calibri" w:hAnsi="Calibri" w:eastAsia="宋体" w:cs="Times New Roman"/>
      <w:sz w:val="18"/>
      <w:szCs w:val="18"/>
    </w:rPr>
  </w:style>
  <w:style w:type="character" w:customStyle="1" w:styleId="253">
    <w:name w:val="正文首行缩进 Char1"/>
    <w:qFormat/>
    <w:uiPriority w:val="99"/>
    <w:rPr>
      <w:szCs w:val="24"/>
    </w:rPr>
  </w:style>
  <w:style w:type="character" w:customStyle="1" w:styleId="254">
    <w:name w:val="MSG_EN_FONT_STYLE_NAME_TEMPLATE_ROLE MSG_EN_FONT_STYLE_NAME_BY_ROLE_TEXT + MSG_EN_FONT_STYLE_MODIFER_SIZE 10"/>
    <w:qFormat/>
    <w:uiPriority w:val="99"/>
    <w:rPr>
      <w:rFonts w:ascii="宋体" w:hAnsi="宋体" w:eastAsia="宋体" w:cs="宋体"/>
      <w:color w:val="000000"/>
      <w:spacing w:val="0"/>
      <w:w w:val="100"/>
      <w:position w:val="0"/>
      <w:sz w:val="20"/>
      <w:szCs w:val="20"/>
      <w:u w:val="none"/>
      <w:lang w:val="zh-CN"/>
    </w:rPr>
  </w:style>
  <w:style w:type="character" w:customStyle="1" w:styleId="255">
    <w:name w:val="unnamed1"/>
    <w:qFormat/>
    <w:uiPriority w:val="0"/>
  </w:style>
  <w:style w:type="character" w:customStyle="1" w:styleId="256">
    <w:name w:val="尾注文本 Char"/>
    <w:qFormat/>
    <w:uiPriority w:val="0"/>
    <w:rPr>
      <w:kern w:val="2"/>
      <w:sz w:val="21"/>
      <w:szCs w:val="24"/>
    </w:rPr>
  </w:style>
  <w:style w:type="character" w:customStyle="1" w:styleId="257">
    <w:name w:val="bianhao1 Char"/>
    <w:link w:val="258"/>
    <w:qFormat/>
    <w:uiPriority w:val="0"/>
    <w:rPr>
      <w:sz w:val="24"/>
      <w:szCs w:val="24"/>
    </w:rPr>
  </w:style>
  <w:style w:type="paragraph" w:customStyle="1" w:styleId="258">
    <w:name w:val="bianhao1"/>
    <w:basedOn w:val="248"/>
    <w:link w:val="257"/>
    <w:qFormat/>
    <w:uiPriority w:val="0"/>
    <w:pPr>
      <w:ind w:left="0" w:leftChars="0" w:firstLine="0" w:firstLineChars="0"/>
    </w:pPr>
  </w:style>
  <w:style w:type="character" w:customStyle="1" w:styleId="259">
    <w:name w:val="font141"/>
    <w:qFormat/>
    <w:uiPriority w:val="99"/>
    <w:rPr>
      <w:rFonts w:ascii="宋体" w:hAnsi="宋体" w:eastAsia="宋体" w:cs="宋体"/>
      <w:b/>
      <w:color w:val="000000"/>
      <w:sz w:val="20"/>
      <w:szCs w:val="20"/>
      <w:u w:val="none"/>
    </w:rPr>
  </w:style>
  <w:style w:type="character" w:customStyle="1" w:styleId="260">
    <w:name w:val="style1"/>
    <w:qFormat/>
    <w:uiPriority w:val="0"/>
    <w:rPr>
      <w:sz w:val="20"/>
      <w:szCs w:val="20"/>
    </w:rPr>
  </w:style>
  <w:style w:type="character" w:customStyle="1" w:styleId="261">
    <w:name w:val="style2"/>
    <w:qFormat/>
    <w:uiPriority w:val="0"/>
    <w:rPr>
      <w:sz w:val="20"/>
      <w:szCs w:val="20"/>
    </w:rPr>
  </w:style>
  <w:style w:type="character" w:customStyle="1" w:styleId="262">
    <w:name w:val="标题 2 字符"/>
    <w:qFormat/>
    <w:uiPriority w:val="0"/>
    <w:rPr>
      <w:rFonts w:ascii="Arial" w:hAnsi="Arial" w:eastAsia="黑体" w:cs="Times New Roman"/>
      <w:b/>
      <w:bCs/>
      <w:sz w:val="32"/>
      <w:szCs w:val="32"/>
    </w:rPr>
  </w:style>
  <w:style w:type="character" w:customStyle="1" w:styleId="263">
    <w:name w:val="style71"/>
    <w:qFormat/>
    <w:uiPriority w:val="0"/>
    <w:rPr>
      <w:color w:val="FF66FF"/>
    </w:rPr>
  </w:style>
  <w:style w:type="character" w:customStyle="1" w:styleId="264">
    <w:name w:val="H1 Char"/>
    <w:qFormat/>
    <w:locked/>
    <w:uiPriority w:val="0"/>
    <w:rPr>
      <w:rFonts w:eastAsia="黑体"/>
      <w:b/>
      <w:bCs/>
      <w:kern w:val="44"/>
      <w:sz w:val="32"/>
      <w:szCs w:val="32"/>
    </w:rPr>
  </w:style>
  <w:style w:type="character" w:customStyle="1" w:styleId="265">
    <w:name w:val="标题 3 Char2"/>
    <w:qFormat/>
    <w:uiPriority w:val="0"/>
    <w:rPr>
      <w:rFonts w:eastAsia="宋体"/>
      <w:b/>
      <w:bCs/>
      <w:kern w:val="2"/>
      <w:sz w:val="32"/>
      <w:szCs w:val="32"/>
      <w:lang w:val="en-US" w:eastAsia="zh-CN" w:bidi="ar-SA"/>
    </w:rPr>
  </w:style>
  <w:style w:type="character" w:customStyle="1" w:styleId="266">
    <w:name w:val="font11"/>
    <w:qFormat/>
    <w:uiPriority w:val="0"/>
    <w:rPr>
      <w:rFonts w:hint="default" w:ascii="Times New Roman" w:hAnsi="Times New Roman" w:cs="Times New Roman"/>
      <w:color w:val="000000"/>
      <w:sz w:val="22"/>
      <w:szCs w:val="22"/>
      <w:u w:val="none"/>
    </w:rPr>
  </w:style>
  <w:style w:type="character" w:customStyle="1" w:styleId="267">
    <w:name w:val="正文文本 2 字符"/>
    <w:qFormat/>
    <w:uiPriority w:val="0"/>
    <w:rPr>
      <w:rFonts w:ascii="宋体" w:hAnsi="宋体" w:eastAsia="宋体" w:cs="Times New Roman"/>
      <w:color w:val="0000FF"/>
      <w:sz w:val="24"/>
      <w:szCs w:val="24"/>
    </w:rPr>
  </w:style>
  <w:style w:type="character" w:customStyle="1" w:styleId="268">
    <w:name w:val="PIM 7 Char"/>
    <w:qFormat/>
    <w:uiPriority w:val="0"/>
    <w:rPr>
      <w:rFonts w:eastAsia="宋体"/>
      <w:b/>
      <w:bCs/>
      <w:kern w:val="2"/>
      <w:sz w:val="24"/>
      <w:szCs w:val="24"/>
      <w:lang w:val="en-US" w:eastAsia="zh-CN" w:bidi="ar-SA"/>
    </w:rPr>
  </w:style>
  <w:style w:type="character" w:customStyle="1" w:styleId="269">
    <w:name w:val="样式 小五"/>
    <w:qFormat/>
    <w:uiPriority w:val="0"/>
    <w:rPr>
      <w:rFonts w:eastAsia="仿宋_GB2312"/>
      <w:sz w:val="18"/>
    </w:rPr>
  </w:style>
  <w:style w:type="character" w:customStyle="1" w:styleId="270">
    <w:name w:val="批注主题 Char1"/>
    <w:qFormat/>
    <w:uiPriority w:val="0"/>
    <w:rPr>
      <w:b/>
      <w:bCs/>
      <w:szCs w:val="24"/>
    </w:rPr>
  </w:style>
  <w:style w:type="character" w:customStyle="1" w:styleId="271">
    <w:name w:val="Heading 3 - old Char"/>
    <w:qFormat/>
    <w:uiPriority w:val="0"/>
    <w:rPr>
      <w:rFonts w:eastAsia="黑体"/>
      <w:b/>
      <w:bCs/>
      <w:kern w:val="2"/>
      <w:sz w:val="30"/>
      <w:szCs w:val="32"/>
    </w:rPr>
  </w:style>
  <w:style w:type="character" w:customStyle="1" w:styleId="272">
    <w:name w:val="纯文本 Char"/>
    <w:qFormat/>
    <w:uiPriority w:val="0"/>
    <w:rPr>
      <w:rFonts w:ascii="宋体" w:hAnsi="Courier New" w:eastAsia="宋体" w:cs="Courier New"/>
      <w:szCs w:val="21"/>
    </w:rPr>
  </w:style>
  <w:style w:type="character" w:customStyle="1" w:styleId="273">
    <w:name w:val="Default Text Char"/>
    <w:link w:val="274"/>
    <w:qFormat/>
    <w:uiPriority w:val="0"/>
    <w:rPr>
      <w:rFonts w:ascii="Arial" w:hAnsi="Arial" w:cs="Arial"/>
      <w:sz w:val="24"/>
      <w:szCs w:val="24"/>
    </w:rPr>
  </w:style>
  <w:style w:type="paragraph" w:customStyle="1" w:styleId="274">
    <w:name w:val="Default Text"/>
    <w:basedOn w:val="1"/>
    <w:link w:val="273"/>
    <w:qFormat/>
    <w:uiPriority w:val="0"/>
    <w:pPr>
      <w:widowControl/>
      <w:overflowPunct w:val="0"/>
      <w:autoSpaceDE w:val="0"/>
      <w:autoSpaceDN w:val="0"/>
      <w:adjustRightInd w:val="0"/>
      <w:jc w:val="left"/>
      <w:textAlignment w:val="baseline"/>
    </w:pPr>
    <w:rPr>
      <w:rFonts w:ascii="Arial" w:hAnsi="Arial"/>
      <w:kern w:val="0"/>
      <w:sz w:val="24"/>
    </w:rPr>
  </w:style>
  <w:style w:type="character" w:customStyle="1" w:styleId="275">
    <w:name w:val="页脚 Char"/>
    <w:qFormat/>
    <w:uiPriority w:val="99"/>
    <w:rPr>
      <w:rFonts w:eastAsia="宋体"/>
      <w:sz w:val="18"/>
      <w:szCs w:val="18"/>
    </w:rPr>
  </w:style>
  <w:style w:type="character" w:customStyle="1" w:styleId="276">
    <w:name w:val="首示例 Char"/>
    <w:link w:val="277"/>
    <w:qFormat/>
    <w:uiPriority w:val="0"/>
    <w:rPr>
      <w:rFonts w:ascii="宋体" w:hAnsi="宋体"/>
      <w:kern w:val="2"/>
      <w:sz w:val="18"/>
      <w:szCs w:val="18"/>
      <w:lang w:val="en-US" w:eastAsia="zh-CN" w:bidi="ar-SA"/>
    </w:rPr>
  </w:style>
  <w:style w:type="paragraph" w:customStyle="1" w:styleId="277">
    <w:name w:val="首示例"/>
    <w:next w:val="112"/>
    <w:link w:val="276"/>
    <w:qFormat/>
    <w:uiPriority w:val="0"/>
    <w:pPr>
      <w:tabs>
        <w:tab w:val="left" w:pos="360"/>
        <w:tab w:val="left" w:pos="420"/>
      </w:tabs>
      <w:ind w:left="420" w:hanging="420"/>
    </w:pPr>
    <w:rPr>
      <w:rFonts w:ascii="宋体" w:hAnsi="宋体" w:eastAsia="宋体" w:cs="Times New Roman"/>
      <w:kern w:val="2"/>
      <w:sz w:val="18"/>
      <w:szCs w:val="18"/>
      <w:lang w:val="en-US" w:eastAsia="zh-CN" w:bidi="ar-SA"/>
    </w:rPr>
  </w:style>
  <w:style w:type="character" w:customStyle="1" w:styleId="278">
    <w:name w:val="批注文字 Char1"/>
    <w:semiHidden/>
    <w:qFormat/>
    <w:uiPriority w:val="99"/>
    <w:rPr>
      <w:kern w:val="2"/>
      <w:sz w:val="21"/>
      <w:szCs w:val="24"/>
    </w:rPr>
  </w:style>
  <w:style w:type="character" w:customStyle="1" w:styleId="279">
    <w:name w:val="HTML 预设格式 Char1"/>
    <w:qFormat/>
    <w:uiPriority w:val="0"/>
    <w:rPr>
      <w:rFonts w:ascii="黑体" w:hAnsi="Courier New" w:eastAsia="黑体"/>
    </w:rPr>
  </w:style>
  <w:style w:type="character" w:customStyle="1" w:styleId="280">
    <w:name w:val="bold1"/>
    <w:qFormat/>
    <w:uiPriority w:val="0"/>
    <w:rPr>
      <w:sz w:val="32"/>
      <w:szCs w:val="18"/>
    </w:rPr>
  </w:style>
  <w:style w:type="character" w:customStyle="1" w:styleId="281">
    <w:name w:val="标题 4 Char"/>
    <w:semiHidden/>
    <w:qFormat/>
    <w:uiPriority w:val="9"/>
    <w:rPr>
      <w:rFonts w:ascii="Cambria" w:hAnsi="Cambria" w:eastAsia="宋体" w:cs="Times New Roman"/>
      <w:b/>
      <w:bCs/>
      <w:sz w:val="28"/>
      <w:szCs w:val="28"/>
    </w:rPr>
  </w:style>
  <w:style w:type="character" w:customStyle="1" w:styleId="282">
    <w:name w:val="f141"/>
    <w:qFormat/>
    <w:uiPriority w:val="0"/>
    <w:rPr>
      <w:sz w:val="21"/>
      <w:szCs w:val="21"/>
    </w:rPr>
  </w:style>
  <w:style w:type="character" w:customStyle="1" w:styleId="283">
    <w:name w:val="Char Char17"/>
    <w:qFormat/>
    <w:uiPriority w:val="0"/>
    <w:rPr>
      <w:rFonts w:ascii="宋体" w:hAnsi="宋体" w:eastAsia="宋体"/>
      <w:b/>
      <w:bCs/>
      <w:kern w:val="2"/>
      <w:sz w:val="30"/>
      <w:szCs w:val="24"/>
      <w:lang w:val="en-US" w:eastAsia="zh-CN" w:bidi="ar-SA"/>
    </w:rPr>
  </w:style>
  <w:style w:type="character" w:customStyle="1" w:styleId="284">
    <w:name w:val="MSG_EN_FONT_STYLE_NAME_TEMPLATE_ROLE_NUMBER MSG_EN_FONT_STYLE_NAME_BY_ROLE_TEXT 8_"/>
    <w:link w:val="285"/>
    <w:qFormat/>
    <w:uiPriority w:val="99"/>
    <w:rPr>
      <w:rFonts w:ascii="宋体" w:hAnsi="宋体" w:cs="宋体"/>
      <w:sz w:val="23"/>
      <w:szCs w:val="23"/>
      <w:shd w:val="clear" w:color="auto" w:fill="FFFFFF"/>
    </w:rPr>
  </w:style>
  <w:style w:type="paragraph" w:customStyle="1" w:styleId="285">
    <w:name w:val="MSG_EN_FONT_STYLE_NAME_TEMPLATE_ROLE_NUMBER MSG_EN_FONT_STYLE_NAME_BY_ROLE_TEXT 8"/>
    <w:basedOn w:val="1"/>
    <w:link w:val="284"/>
    <w:qFormat/>
    <w:uiPriority w:val="99"/>
    <w:pPr>
      <w:shd w:val="clear" w:color="auto" w:fill="FFFFFF"/>
      <w:spacing w:line="312" w:lineRule="exact"/>
      <w:jc w:val="center"/>
    </w:pPr>
    <w:rPr>
      <w:rFonts w:ascii="宋体" w:hAnsi="宋体"/>
      <w:kern w:val="0"/>
      <w:sz w:val="23"/>
      <w:szCs w:val="23"/>
    </w:rPr>
  </w:style>
  <w:style w:type="character" w:customStyle="1" w:styleId="286">
    <w:name w:val="文档结构图 字符"/>
    <w:semiHidden/>
    <w:qFormat/>
    <w:uiPriority w:val="0"/>
    <w:rPr>
      <w:rFonts w:eastAsia="宋体"/>
      <w:szCs w:val="24"/>
      <w:shd w:val="clear" w:color="auto" w:fill="000080"/>
    </w:rPr>
  </w:style>
  <w:style w:type="character" w:customStyle="1" w:styleId="287">
    <w:name w:val="正文文本 3 Char1"/>
    <w:semiHidden/>
    <w:qFormat/>
    <w:uiPriority w:val="99"/>
    <w:rPr>
      <w:kern w:val="2"/>
      <w:sz w:val="16"/>
      <w:szCs w:val="16"/>
    </w:rPr>
  </w:style>
  <w:style w:type="character" w:customStyle="1" w:styleId="288">
    <w:name w:val="正文首行缩进 Char"/>
    <w:qFormat/>
    <w:uiPriority w:val="0"/>
  </w:style>
  <w:style w:type="character" w:customStyle="1" w:styleId="289">
    <w:name w:val="第一章 标题 2 Char"/>
    <w:qFormat/>
    <w:uiPriority w:val="0"/>
    <w:rPr>
      <w:rFonts w:ascii="Arial" w:hAnsi="Arial" w:eastAsia="黑体"/>
      <w:b/>
      <w:bCs/>
      <w:kern w:val="2"/>
      <w:sz w:val="30"/>
      <w:szCs w:val="32"/>
    </w:rPr>
  </w:style>
  <w:style w:type="character" w:customStyle="1" w:styleId="290">
    <w:name w:val="标题 7 字符"/>
    <w:qFormat/>
    <w:uiPriority w:val="0"/>
    <w:rPr>
      <w:rFonts w:ascii="Arial" w:hAnsi="Arial" w:eastAsia="宋体" w:cs="Times New Roman"/>
      <w:kern w:val="0"/>
      <w:sz w:val="20"/>
      <w:szCs w:val="20"/>
    </w:rPr>
  </w:style>
  <w:style w:type="character" w:customStyle="1" w:styleId="291">
    <w:name w:val="表格文字 Char"/>
    <w:link w:val="292"/>
    <w:qFormat/>
    <w:locked/>
    <w:uiPriority w:val="0"/>
    <w:rPr>
      <w:bCs/>
      <w:spacing w:val="10"/>
      <w:sz w:val="24"/>
    </w:rPr>
  </w:style>
  <w:style w:type="paragraph" w:customStyle="1" w:styleId="292">
    <w:name w:val="表格文字"/>
    <w:basedOn w:val="1"/>
    <w:link w:val="291"/>
    <w:qFormat/>
    <w:uiPriority w:val="0"/>
    <w:pPr>
      <w:spacing w:before="25" w:after="25"/>
      <w:jc w:val="left"/>
    </w:pPr>
    <w:rPr>
      <w:bCs/>
      <w:spacing w:val="10"/>
      <w:kern w:val="0"/>
      <w:sz w:val="24"/>
      <w:szCs w:val="20"/>
    </w:rPr>
  </w:style>
  <w:style w:type="character" w:customStyle="1" w:styleId="293">
    <w:name w:val="批注主题 字符"/>
    <w:semiHidden/>
    <w:qFormat/>
    <w:uiPriority w:val="0"/>
    <w:rPr>
      <w:rFonts w:ascii="Times New Roman" w:hAnsi="Times New Roman" w:eastAsia="宋体" w:cs="Times New Roman"/>
      <w:b/>
      <w:bCs/>
      <w:szCs w:val="24"/>
    </w:rPr>
  </w:style>
  <w:style w:type="character" w:customStyle="1" w:styleId="294">
    <w:name w:val="正文文本缩进 字符"/>
    <w:qFormat/>
    <w:uiPriority w:val="0"/>
    <w:rPr>
      <w:rFonts w:ascii="宋体" w:hAnsi="宋体" w:eastAsia="宋体"/>
      <w:sz w:val="28"/>
    </w:rPr>
  </w:style>
  <w:style w:type="character" w:customStyle="1" w:styleId="295">
    <w:name w:val="正文首行缩进 2 Char1"/>
    <w:qFormat/>
    <w:uiPriority w:val="0"/>
    <w:rPr>
      <w:szCs w:val="24"/>
    </w:rPr>
  </w:style>
  <w:style w:type="character" w:customStyle="1" w:styleId="296">
    <w:name w:val="小标题 Char Char"/>
    <w:link w:val="297"/>
    <w:qFormat/>
    <w:uiPriority w:val="0"/>
    <w:rPr>
      <w:sz w:val="24"/>
    </w:rPr>
  </w:style>
  <w:style w:type="paragraph" w:customStyle="1" w:styleId="297">
    <w:name w:val="小标题"/>
    <w:basedOn w:val="1"/>
    <w:next w:val="1"/>
    <w:link w:val="296"/>
    <w:qFormat/>
    <w:uiPriority w:val="0"/>
    <w:pPr>
      <w:tabs>
        <w:tab w:val="left" w:pos="227"/>
        <w:tab w:val="left" w:pos="420"/>
      </w:tabs>
      <w:spacing w:line="360" w:lineRule="auto"/>
      <w:ind w:left="420" w:firstLine="480" w:firstLineChars="200"/>
    </w:pPr>
    <w:rPr>
      <w:kern w:val="0"/>
      <w:sz w:val="24"/>
      <w:szCs w:val="20"/>
    </w:rPr>
  </w:style>
  <w:style w:type="character" w:customStyle="1" w:styleId="298">
    <w:name w:val="MSG_EN_FONT_STYLE_NAME_TEMPLATE_ROLE_NUMBER MSG_EN_FONT_STYLE_NAME_BY_ROLE_TEXT 7_"/>
    <w:link w:val="299"/>
    <w:qFormat/>
    <w:uiPriority w:val="99"/>
    <w:rPr>
      <w:rFonts w:ascii="宋体" w:hAnsi="宋体" w:cs="宋体"/>
      <w:shd w:val="clear" w:color="auto" w:fill="FFFFFF"/>
    </w:rPr>
  </w:style>
  <w:style w:type="paragraph" w:customStyle="1" w:styleId="299">
    <w:name w:val="MSG_EN_FONT_STYLE_NAME_TEMPLATE_ROLE_NUMBER MSG_EN_FONT_STYLE_NAME_BY_ROLE_TEXT 7"/>
    <w:basedOn w:val="1"/>
    <w:link w:val="298"/>
    <w:qFormat/>
    <w:uiPriority w:val="99"/>
    <w:pPr>
      <w:shd w:val="clear" w:color="auto" w:fill="FFFFFF"/>
      <w:spacing w:line="240" w:lineRule="atLeast"/>
      <w:jc w:val="center"/>
    </w:pPr>
    <w:rPr>
      <w:rFonts w:ascii="宋体" w:hAnsi="宋体"/>
      <w:kern w:val="0"/>
      <w:sz w:val="20"/>
      <w:szCs w:val="20"/>
    </w:rPr>
  </w:style>
  <w:style w:type="character" w:customStyle="1" w:styleId="300">
    <w:name w:val="批注框文本 字符1"/>
    <w:semiHidden/>
    <w:qFormat/>
    <w:uiPriority w:val="99"/>
    <w:rPr>
      <w:kern w:val="2"/>
      <w:sz w:val="18"/>
      <w:szCs w:val="18"/>
    </w:rPr>
  </w:style>
  <w:style w:type="character" w:customStyle="1" w:styleId="301">
    <w:name w:val="正文首行缩进 字符"/>
    <w:qFormat/>
    <w:uiPriority w:val="0"/>
    <w:rPr>
      <w:rFonts w:eastAsia="楷体_GB2312"/>
      <w:sz w:val="24"/>
      <w:szCs w:val="24"/>
    </w:rPr>
  </w:style>
  <w:style w:type="character" w:customStyle="1" w:styleId="302">
    <w:name w:val="标题 Char"/>
    <w:qFormat/>
    <w:uiPriority w:val="0"/>
    <w:rPr>
      <w:rFonts w:ascii="Arial" w:hAnsi="Arial" w:cs="Arial"/>
      <w:b/>
      <w:bCs/>
      <w:sz w:val="32"/>
      <w:szCs w:val="32"/>
    </w:rPr>
  </w:style>
  <w:style w:type="character" w:customStyle="1" w:styleId="303">
    <w:name w:val="p141"/>
    <w:qFormat/>
    <w:uiPriority w:val="0"/>
    <w:rPr>
      <w:sz w:val="21"/>
      <w:szCs w:val="21"/>
    </w:rPr>
  </w:style>
  <w:style w:type="character" w:customStyle="1" w:styleId="304">
    <w:name w:val="列出段落 字符"/>
    <w:qFormat/>
    <w:uiPriority w:val="34"/>
    <w:rPr>
      <w:rFonts w:ascii="Times New Roman" w:hAnsi="Times New Roman" w:eastAsia="宋体" w:cs="Times New Roman"/>
      <w:szCs w:val="24"/>
    </w:rPr>
  </w:style>
  <w:style w:type="character" w:customStyle="1" w:styleId="305">
    <w:name w:val="style21"/>
    <w:qFormat/>
    <w:uiPriority w:val="0"/>
    <w:rPr>
      <w:sz w:val="22"/>
      <w:szCs w:val="22"/>
    </w:rPr>
  </w:style>
  <w:style w:type="paragraph" w:customStyle="1" w:styleId="306">
    <w:name w:val="附录章标题"/>
    <w:next w:val="112"/>
    <w:qFormat/>
    <w:uiPriority w:val="0"/>
    <w:pPr>
      <w:numPr>
        <w:ilvl w:val="1"/>
        <w:numId w:val="4"/>
      </w:numPr>
      <w:tabs>
        <w:tab w:val="left" w:pos="312"/>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30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FF00FF"/>
      <w:kern w:val="0"/>
      <w:sz w:val="24"/>
    </w:rPr>
  </w:style>
  <w:style w:type="paragraph" w:customStyle="1" w:styleId="308">
    <w:name w:val="附录一级无"/>
    <w:basedOn w:val="309"/>
    <w:qFormat/>
    <w:uiPriority w:val="0"/>
    <w:pPr>
      <w:numPr>
        <w:ilvl w:val="0"/>
        <w:numId w:val="0"/>
      </w:numPr>
      <w:tabs>
        <w:tab w:val="left" w:pos="360"/>
        <w:tab w:val="left" w:pos="648"/>
        <w:tab w:val="left" w:pos="2940"/>
      </w:tabs>
      <w:ind w:left="648" w:hanging="648"/>
    </w:pPr>
    <w:rPr>
      <w:rFonts w:ascii="宋体" w:eastAsia="宋体"/>
      <w:szCs w:val="21"/>
    </w:rPr>
  </w:style>
  <w:style w:type="paragraph" w:customStyle="1" w:styleId="309">
    <w:name w:val="附录一级条标题"/>
    <w:basedOn w:val="1"/>
    <w:next w:val="4"/>
    <w:qFormat/>
    <w:uiPriority w:val="0"/>
    <w:pPr>
      <w:widowControl/>
      <w:numPr>
        <w:ilvl w:val="1"/>
        <w:numId w:val="5"/>
      </w:numPr>
      <w:tabs>
        <w:tab w:val="left" w:pos="360"/>
      </w:tabs>
      <w:wordWrap w:val="0"/>
      <w:overflowPunct w:val="0"/>
      <w:autoSpaceDE w:val="0"/>
      <w:autoSpaceDN w:val="0"/>
      <w:spacing w:beforeLines="50" w:afterLines="50"/>
      <w:ind w:left="0" w:firstLine="0"/>
      <w:textAlignment w:val="baseline"/>
      <w:outlineLvl w:val="2"/>
    </w:pPr>
    <w:rPr>
      <w:rFonts w:ascii="黑体" w:eastAsia="黑体"/>
      <w:kern w:val="21"/>
      <w:szCs w:val="20"/>
    </w:rPr>
  </w:style>
  <w:style w:type="paragraph" w:customStyle="1" w:styleId="310">
    <w:name w:val="xl35"/>
    <w:basedOn w:val="1"/>
    <w:qFormat/>
    <w:uiPriority w:val="0"/>
    <w:pPr>
      <w:widowControl/>
      <w:pBdr>
        <w:top w:val="single" w:color="auto" w:sz="4" w:space="0"/>
        <w:left w:val="single" w:color="auto" w:sz="8"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311">
    <w:name w:val="注×：（正文）"/>
    <w:qFormat/>
    <w:uiPriority w:val="0"/>
    <w:pPr>
      <w:numPr>
        <w:ilvl w:val="1"/>
        <w:numId w:val="6"/>
      </w:numPr>
      <w:tabs>
        <w:tab w:val="left" w:pos="1140"/>
      </w:tabs>
      <w:ind w:left="811" w:hanging="448"/>
      <w:jc w:val="both"/>
    </w:pPr>
    <w:rPr>
      <w:rFonts w:ascii="宋体" w:hAnsi="Times New Roman" w:eastAsia="宋体" w:cs="Times New Roman"/>
      <w:sz w:val="18"/>
      <w:szCs w:val="18"/>
      <w:lang w:val="en-US" w:eastAsia="zh-CN" w:bidi="ar-SA"/>
    </w:rPr>
  </w:style>
  <w:style w:type="paragraph" w:customStyle="1" w:styleId="312">
    <w:name w:val="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Bullet"/>
    <w:basedOn w:val="1"/>
    <w:qFormat/>
    <w:uiPriority w:val="0"/>
    <w:pPr>
      <w:tabs>
        <w:tab w:val="left" w:pos="0"/>
        <w:tab w:val="left" w:pos="2552"/>
      </w:tabs>
      <w:snapToGrid w:val="0"/>
      <w:spacing w:before="60" w:after="60"/>
      <w:ind w:left="709" w:right="709" w:hanging="425"/>
    </w:pPr>
    <w:rPr>
      <w:rFonts w:eastAsia="2OcuAe"/>
      <w:spacing w:val="2"/>
      <w:kern w:val="0"/>
      <w:sz w:val="20"/>
      <w:szCs w:val="20"/>
      <w:lang w:eastAsia="zh-TW"/>
    </w:rPr>
  </w:style>
  <w:style w:type="paragraph" w:customStyle="1" w:styleId="314">
    <w:name w:val="表格栏头"/>
    <w:basedOn w:val="315"/>
    <w:next w:val="315"/>
    <w:qFormat/>
    <w:uiPriority w:val="0"/>
    <w:rPr>
      <w:b/>
      <w:szCs w:val="20"/>
    </w:rPr>
  </w:style>
  <w:style w:type="paragraph" w:customStyle="1" w:styleId="315">
    <w:name w:val="表格正文"/>
    <w:basedOn w:val="1"/>
    <w:qFormat/>
    <w:uiPriority w:val="0"/>
    <w:pPr>
      <w:widowControl/>
      <w:overflowPunct w:val="0"/>
      <w:autoSpaceDE w:val="0"/>
      <w:autoSpaceDN w:val="0"/>
      <w:adjustRightInd w:val="0"/>
      <w:spacing w:before="312" w:after="312" w:line="360" w:lineRule="auto"/>
      <w:jc w:val="left"/>
      <w:textAlignment w:val="baseline"/>
    </w:pPr>
    <w:rPr>
      <w:rFonts w:ascii="宋体" w:hAnsi="Tahoma"/>
      <w:kern w:val="0"/>
      <w:sz w:val="24"/>
    </w:rPr>
  </w:style>
  <w:style w:type="paragraph" w:customStyle="1" w:styleId="316">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317">
    <w:name w:val="TOC 标题2"/>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18">
    <w:name w:val="表"/>
    <w:basedOn w:val="1"/>
    <w:qFormat/>
    <w:uiPriority w:val="0"/>
    <w:pPr>
      <w:spacing w:line="460" w:lineRule="exact"/>
    </w:pPr>
    <w:rPr>
      <w:rFonts w:ascii="宋体" w:hAnsi="宋体"/>
      <w:b/>
      <w:bCs/>
    </w:rPr>
  </w:style>
  <w:style w:type="paragraph" w:customStyle="1" w:styleId="319">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320">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321">
    <w:name w:val="版权"/>
    <w:basedOn w:val="1"/>
    <w:qFormat/>
    <w:uiPriority w:val="0"/>
    <w:pPr>
      <w:spacing w:before="312" w:after="312"/>
      <w:ind w:firstLine="480"/>
      <w:jc w:val="center"/>
      <w:outlineLvl w:val="0"/>
    </w:pPr>
    <w:rPr>
      <w:rFonts w:ascii="华文中宋" w:hAnsi="华文中宋"/>
      <w:b/>
      <w:sz w:val="24"/>
      <w:szCs w:val="20"/>
    </w:rPr>
  </w:style>
  <w:style w:type="paragraph" w:customStyle="1" w:styleId="322">
    <w:name w:val="Default"/>
    <w:qFormat/>
    <w:uiPriority w:val="0"/>
    <w:pPr>
      <w:widowControl w:val="0"/>
      <w:autoSpaceDE w:val="0"/>
      <w:autoSpaceDN w:val="0"/>
      <w:adjustRightInd w:val="0"/>
    </w:pPr>
    <w:rPr>
      <w:rFonts w:ascii="宋体" w:hAnsi="Times New Roman" w:eastAsia="黑体" w:cs="Times New Roman"/>
      <w:color w:val="000000"/>
      <w:sz w:val="24"/>
      <w:szCs w:val="22"/>
      <w:lang w:val="en-US" w:eastAsia="zh-CN" w:bidi="ar-SA"/>
    </w:rPr>
  </w:style>
  <w:style w:type="paragraph" w:customStyle="1" w:styleId="323">
    <w:name w:val="设计方案"/>
    <w:basedOn w:val="1"/>
    <w:qFormat/>
    <w:uiPriority w:val="0"/>
    <w:pPr>
      <w:widowControl/>
      <w:tabs>
        <w:tab w:val="left" w:pos="425"/>
      </w:tabs>
      <w:spacing w:after="160" w:line="240" w:lineRule="exact"/>
      <w:ind w:left="425" w:hanging="425"/>
      <w:jc w:val="left"/>
    </w:pPr>
    <w:rPr>
      <w:rFonts w:ascii="Verdana" w:hAnsi="Verdana"/>
      <w:kern w:val="0"/>
      <w:szCs w:val="20"/>
      <w:lang w:eastAsia="en-US"/>
    </w:rPr>
  </w:style>
  <w:style w:type="paragraph" w:customStyle="1" w:styleId="324">
    <w:name w:val="正文标题"/>
    <w:basedOn w:val="1"/>
    <w:qFormat/>
    <w:uiPriority w:val="0"/>
    <w:pPr>
      <w:spacing w:beforeLines="50" w:afterLines="50" w:line="360" w:lineRule="auto"/>
      <w:ind w:left="105" w:leftChars="50" w:right="105" w:rightChars="50"/>
      <w:jc w:val="center"/>
    </w:pPr>
    <w:rPr>
      <w:b/>
      <w:snapToGrid w:val="0"/>
      <w:spacing w:val="40"/>
      <w:kern w:val="0"/>
      <w:sz w:val="30"/>
      <w:szCs w:val="32"/>
    </w:rPr>
  </w:style>
  <w:style w:type="paragraph" w:customStyle="1" w:styleId="325">
    <w:name w:val="Char Char Char Char Char Char Char Char Char Char"/>
    <w:basedOn w:val="1"/>
    <w:qFormat/>
    <w:uiPriority w:val="0"/>
    <w:rPr>
      <w:rFonts w:ascii="Tahoma" w:hAnsi="Tahoma"/>
      <w:sz w:val="24"/>
      <w:szCs w:val="20"/>
    </w:rPr>
  </w:style>
  <w:style w:type="paragraph" w:customStyle="1" w:styleId="326">
    <w:name w:val="表头"/>
    <w:basedOn w:val="16"/>
    <w:qFormat/>
    <w:uiPriority w:val="0"/>
    <w:pPr>
      <w:keepNext/>
      <w:keepLines/>
      <w:widowControl/>
      <w:spacing w:before="120" w:after="120" w:line="300" w:lineRule="auto"/>
      <w:jc w:val="center"/>
      <w:textAlignment w:val="baseline"/>
    </w:pPr>
    <w:rPr>
      <w:kern w:val="0"/>
      <w:sz w:val="21"/>
    </w:rPr>
  </w:style>
  <w:style w:type="paragraph" w:customStyle="1" w:styleId="327">
    <w:name w:val="p0"/>
    <w:basedOn w:val="1"/>
    <w:qFormat/>
    <w:uiPriority w:val="0"/>
    <w:pPr>
      <w:widowControl/>
    </w:pPr>
    <w:rPr>
      <w:kern w:val="0"/>
      <w:szCs w:val="21"/>
    </w:rPr>
  </w:style>
  <w:style w:type="paragraph" w:customStyle="1" w:styleId="328">
    <w:name w:val="Table Paragraph"/>
    <w:basedOn w:val="1"/>
    <w:qFormat/>
    <w:uiPriority w:val="1"/>
    <w:pPr>
      <w:autoSpaceDE w:val="0"/>
      <w:autoSpaceDN w:val="0"/>
      <w:adjustRightInd w:val="0"/>
      <w:jc w:val="left"/>
    </w:pPr>
    <w:rPr>
      <w:kern w:val="0"/>
      <w:sz w:val="24"/>
    </w:rPr>
  </w:style>
  <w:style w:type="paragraph" w:customStyle="1" w:styleId="329">
    <w:name w:val="样式 标题 2 + 宋体 五号 非加粗 黑色"/>
    <w:basedOn w:val="4"/>
    <w:qFormat/>
    <w:uiPriority w:val="0"/>
    <w:pPr>
      <w:tabs>
        <w:tab w:val="left" w:pos="840"/>
      </w:tabs>
      <w:adjustRightInd w:val="0"/>
      <w:spacing w:line="416" w:lineRule="atLeast"/>
      <w:ind w:left="840" w:hanging="420"/>
      <w:jc w:val="left"/>
      <w:textAlignment w:val="baseline"/>
    </w:pPr>
    <w:rPr>
      <w:rFonts w:ascii="宋体" w:hAnsi="宋体" w:eastAsia="宋体"/>
      <w:b w:val="0"/>
      <w:bCs w:val="0"/>
      <w:color w:val="000000"/>
      <w:kern w:val="0"/>
      <w:sz w:val="21"/>
      <w:szCs w:val="20"/>
    </w:rPr>
  </w:style>
  <w:style w:type="paragraph" w:customStyle="1" w:styleId="330">
    <w:name w:val="xl5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31">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332">
    <w:name w:val="附录四级无"/>
    <w:basedOn w:val="333"/>
    <w:qFormat/>
    <w:uiPriority w:val="0"/>
    <w:pPr>
      <w:tabs>
        <w:tab w:val="left" w:pos="360"/>
        <w:tab w:val="left" w:pos="588"/>
        <w:tab w:val="left" w:pos="648"/>
        <w:tab w:val="left" w:pos="840"/>
        <w:tab w:val="left" w:pos="1080"/>
        <w:tab w:val="left" w:pos="2291"/>
      </w:tabs>
    </w:pPr>
    <w:rPr>
      <w:rFonts w:ascii="宋体" w:eastAsia="宋体"/>
      <w:szCs w:val="21"/>
    </w:rPr>
  </w:style>
  <w:style w:type="paragraph" w:customStyle="1" w:styleId="333">
    <w:name w:val="附录四级条标题"/>
    <w:basedOn w:val="334"/>
    <w:next w:val="112"/>
    <w:qFormat/>
    <w:uiPriority w:val="0"/>
    <w:pPr>
      <w:numPr>
        <w:ilvl w:val="0"/>
        <w:numId w:val="0"/>
      </w:numPr>
      <w:tabs>
        <w:tab w:val="left" w:pos="360"/>
        <w:tab w:val="left" w:pos="588"/>
        <w:tab w:val="left" w:pos="648"/>
        <w:tab w:val="left" w:pos="840"/>
        <w:tab w:val="left" w:pos="1080"/>
        <w:tab w:val="left" w:pos="2291"/>
      </w:tabs>
      <w:ind w:left="648" w:hanging="648"/>
      <w:outlineLvl w:val="5"/>
    </w:pPr>
  </w:style>
  <w:style w:type="paragraph" w:customStyle="1" w:styleId="334">
    <w:name w:val="附录三级条标题"/>
    <w:basedOn w:val="335"/>
    <w:next w:val="112"/>
    <w:qFormat/>
    <w:uiPriority w:val="0"/>
    <w:pPr>
      <w:numPr>
        <w:ilvl w:val="1"/>
        <w:numId w:val="7"/>
      </w:numPr>
      <w:tabs>
        <w:tab w:val="left" w:pos="360"/>
        <w:tab w:val="left" w:pos="840"/>
        <w:tab w:val="left" w:pos="1080"/>
      </w:tabs>
      <w:ind w:left="1080" w:hanging="1080"/>
      <w:outlineLvl w:val="4"/>
    </w:pPr>
  </w:style>
  <w:style w:type="paragraph" w:customStyle="1" w:styleId="335">
    <w:name w:val="附录二级条标题"/>
    <w:basedOn w:val="1"/>
    <w:next w:val="112"/>
    <w:qFormat/>
    <w:uiPriority w:val="0"/>
    <w:pPr>
      <w:widowControl/>
      <w:tabs>
        <w:tab w:val="left" w:pos="360"/>
        <w:tab w:val="left" w:pos="840"/>
      </w:tabs>
      <w:wordWrap w:val="0"/>
      <w:overflowPunct w:val="0"/>
      <w:autoSpaceDE w:val="0"/>
      <w:autoSpaceDN w:val="0"/>
      <w:spacing w:beforeLines="50" w:afterLines="50"/>
      <w:ind w:left="840" w:hanging="840"/>
      <w:textAlignment w:val="baseline"/>
      <w:outlineLvl w:val="3"/>
    </w:pPr>
    <w:rPr>
      <w:rFonts w:ascii="黑体" w:eastAsia="黑体"/>
      <w:kern w:val="21"/>
      <w:szCs w:val="20"/>
    </w:rPr>
  </w:style>
  <w:style w:type="paragraph" w:customStyle="1" w:styleId="336">
    <w:name w:val="font7"/>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337">
    <w:name w:val="基准标题"/>
    <w:basedOn w:val="25"/>
    <w:next w:val="25"/>
    <w:qFormat/>
    <w:uiPriority w:val="0"/>
    <w:pPr>
      <w:keepNext/>
      <w:keepLines/>
      <w:widowControl/>
      <w:spacing w:line="240" w:lineRule="atLeast"/>
      <w:jc w:val="left"/>
    </w:pPr>
    <w:rPr>
      <w:rFonts w:ascii="Garamond" w:hAnsi="Garamond"/>
      <w:kern w:val="20"/>
      <w:sz w:val="22"/>
      <w:lang w:bidi="he-IL"/>
    </w:rPr>
  </w:style>
  <w:style w:type="paragraph" w:customStyle="1" w:styleId="338">
    <w:name w:val="大标题"/>
    <w:basedOn w:val="3"/>
    <w:qFormat/>
    <w:uiPriority w:val="0"/>
    <w:pPr>
      <w:keepLines w:val="0"/>
      <w:spacing w:before="0" w:after="0" w:line="360" w:lineRule="auto"/>
      <w:jc w:val="center"/>
    </w:pPr>
    <w:rPr>
      <w:rFonts w:ascii="宋体" w:hAnsi="Arial" w:cs="Arial"/>
      <w:snapToGrid w:val="0"/>
      <w:kern w:val="0"/>
      <w:sz w:val="52"/>
      <w:szCs w:val="72"/>
    </w:rPr>
  </w:style>
  <w:style w:type="paragraph" w:customStyle="1" w:styleId="339">
    <w:name w:val="样式4"/>
    <w:basedOn w:val="1"/>
    <w:qFormat/>
    <w:uiPriority w:val="0"/>
    <w:pPr>
      <w:numPr>
        <w:ilvl w:val="3"/>
        <w:numId w:val="8"/>
      </w:numPr>
      <w:tabs>
        <w:tab w:val="left" w:pos="1984"/>
        <w:tab w:val="clear" w:pos="2328"/>
      </w:tabs>
      <w:ind w:left="1984"/>
    </w:pPr>
  </w:style>
  <w:style w:type="paragraph" w:customStyle="1" w:styleId="340">
    <w:name w:val="默认段落字体 Para Char Char Char Char"/>
    <w:basedOn w:val="1"/>
    <w:qFormat/>
    <w:uiPriority w:val="0"/>
    <w:rPr>
      <w:szCs w:val="20"/>
    </w:rPr>
  </w:style>
  <w:style w:type="paragraph" w:customStyle="1" w:styleId="341">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342">
    <w:name w:val="Char Char"/>
    <w:basedOn w:val="1"/>
    <w:qFormat/>
    <w:uiPriority w:val="0"/>
    <w:rPr>
      <w:rFonts w:ascii="宋体" w:hAnsi="宋体"/>
      <w:b/>
      <w:sz w:val="28"/>
      <w:szCs w:val="28"/>
    </w:rPr>
  </w:style>
  <w:style w:type="paragraph" w:customStyle="1" w:styleId="343">
    <w:name w:val="biaoti1"/>
    <w:basedOn w:val="3"/>
    <w:qFormat/>
    <w:uiPriority w:val="0"/>
    <w:pPr>
      <w:tabs>
        <w:tab w:val="left" w:pos="432"/>
      </w:tabs>
      <w:spacing w:line="360" w:lineRule="auto"/>
      <w:ind w:left="432" w:hanging="432"/>
    </w:pPr>
    <w:rPr>
      <w:rFonts w:ascii="Calibri" w:hAnsi="Calibri"/>
    </w:rPr>
  </w:style>
  <w:style w:type="paragraph" w:customStyle="1" w:styleId="344">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45">
    <w:name w:val="样式 标题 4 + 段前: 5 磅 段后: 5 磅 行距: 单倍行距"/>
    <w:basedOn w:val="6"/>
    <w:qFormat/>
    <w:uiPriority w:val="0"/>
    <w:pPr>
      <w:tabs>
        <w:tab w:val="left" w:pos="1680"/>
      </w:tabs>
      <w:adjustRightInd w:val="0"/>
      <w:spacing w:before="100" w:after="100" w:line="240" w:lineRule="auto"/>
      <w:ind w:left="1680" w:hanging="420"/>
      <w:jc w:val="left"/>
      <w:textAlignment w:val="baseline"/>
    </w:pPr>
    <w:rPr>
      <w:bCs w:val="0"/>
      <w:kern w:val="0"/>
      <w:szCs w:val="20"/>
    </w:rPr>
  </w:style>
  <w:style w:type="paragraph" w:customStyle="1" w:styleId="346">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347">
    <w:name w:val="表格"/>
    <w:basedOn w:val="1"/>
    <w:qFormat/>
    <w:uiPriority w:val="0"/>
    <w:pPr>
      <w:spacing w:line="420" w:lineRule="exact"/>
      <w:ind w:left="84" w:leftChars="40"/>
      <w:jc w:val="center"/>
    </w:pPr>
    <w:rPr>
      <w:rFonts w:ascii="宋体" w:hAnsi="宋体"/>
      <w:bCs/>
      <w:spacing w:val="-12"/>
    </w:rPr>
  </w:style>
  <w:style w:type="paragraph" w:customStyle="1" w:styleId="348">
    <w:name w:val="P标3"/>
    <w:basedOn w:val="5"/>
    <w:qFormat/>
    <w:uiPriority w:val="0"/>
    <w:pPr>
      <w:keepNext w:val="0"/>
      <w:keepLines w:val="0"/>
      <w:tabs>
        <w:tab w:val="left" w:pos="570"/>
      </w:tabs>
      <w:autoSpaceDE w:val="0"/>
      <w:autoSpaceDN w:val="0"/>
      <w:adjustRightInd w:val="0"/>
      <w:spacing w:before="120" w:after="120" w:line="480" w:lineRule="atLeast"/>
      <w:ind w:left="570" w:hanging="420"/>
    </w:pPr>
    <w:rPr>
      <w:rFonts w:ascii="宋体" w:hAnsi="Calibri" w:eastAsia="楷体_GB2312"/>
      <w:b w:val="0"/>
      <w:bCs w:val="0"/>
      <w:kern w:val="0"/>
      <w:sz w:val="24"/>
      <w:szCs w:val="20"/>
    </w:rPr>
  </w:style>
  <w:style w:type="paragraph" w:customStyle="1" w:styleId="349">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0">
    <w:name w:val="table"/>
    <w:basedOn w:val="1"/>
    <w:qFormat/>
    <w:uiPriority w:val="0"/>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351">
    <w:name w:val="_Style 350"/>
    <w:unhideWhenUsed/>
    <w:qFormat/>
    <w:uiPriority w:val="99"/>
    <w:rPr>
      <w:rFonts w:ascii="Times New Roman" w:hAnsi="Times New Roman" w:eastAsia="宋体" w:cs="Times New Roman"/>
      <w:kern w:val="2"/>
      <w:sz w:val="21"/>
      <w:szCs w:val="24"/>
      <w:lang w:val="en-US" w:eastAsia="zh-CN" w:bidi="ar-SA"/>
    </w:rPr>
  </w:style>
  <w:style w:type="paragraph" w:customStyle="1" w:styleId="352">
    <w:name w:val="SOW正文"/>
    <w:basedOn w:val="1"/>
    <w:qFormat/>
    <w:uiPriority w:val="0"/>
    <w:pPr>
      <w:snapToGrid w:val="0"/>
      <w:spacing w:before="120" w:line="400" w:lineRule="exact"/>
      <w:ind w:firstLine="425"/>
    </w:pPr>
    <w:rPr>
      <w:sz w:val="24"/>
      <w:szCs w:val="20"/>
    </w:rPr>
  </w:style>
  <w:style w:type="paragraph" w:customStyle="1" w:styleId="353">
    <w:name w:val="l18"/>
    <w:basedOn w:val="1"/>
    <w:qFormat/>
    <w:uiPriority w:val="0"/>
    <w:pPr>
      <w:widowControl/>
      <w:spacing w:before="35" w:after="100" w:afterAutospacing="1" w:line="312" w:lineRule="atLeast"/>
      <w:ind w:left="104"/>
      <w:jc w:val="left"/>
    </w:pPr>
    <w:rPr>
      <w:rFonts w:ascii="宋体" w:hAnsi="宋体"/>
      <w:color w:val="000000"/>
      <w:kern w:val="0"/>
      <w:szCs w:val="21"/>
      <w:lang w:eastAsia="en-US"/>
    </w:rPr>
  </w:style>
  <w:style w:type="paragraph" w:customStyle="1" w:styleId="354">
    <w:name w:val="xl89"/>
    <w:basedOn w:val="1"/>
    <w:qFormat/>
    <w:uiPriority w:val="0"/>
    <w:pPr>
      <w:widowControl/>
      <w:spacing w:before="100" w:beforeAutospacing="1" w:after="100" w:afterAutospacing="1"/>
      <w:jc w:val="center"/>
      <w:textAlignment w:val="center"/>
    </w:pPr>
    <w:rPr>
      <w:rFonts w:ascii="黑体" w:hAnsi="宋体" w:eastAsia="黑体" w:cs="宋体"/>
      <w:b/>
      <w:bCs/>
      <w:kern w:val="0"/>
      <w:sz w:val="44"/>
      <w:szCs w:val="44"/>
    </w:rPr>
  </w:style>
  <w:style w:type="paragraph" w:customStyle="1" w:styleId="355">
    <w:name w:val="表格标题"/>
    <w:basedOn w:val="292"/>
    <w:next w:val="292"/>
    <w:qFormat/>
    <w:uiPriority w:val="0"/>
    <w:pPr>
      <w:spacing w:before="0" w:after="0"/>
      <w:jc w:val="center"/>
    </w:pPr>
    <w:rPr>
      <w:b/>
      <w:bCs w:val="0"/>
      <w:spacing w:val="0"/>
      <w:kern w:val="21"/>
      <w:szCs w:val="21"/>
    </w:rPr>
  </w:style>
  <w:style w:type="paragraph" w:customStyle="1" w:styleId="35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57">
    <w:name w:val="xl66"/>
    <w:basedOn w:val="1"/>
    <w:qFormat/>
    <w:uiPriority w:val="0"/>
    <w:pPr>
      <w:widowControl/>
      <w:pBdr>
        <w:right w:val="single" w:color="auto" w:sz="4" w:space="0"/>
      </w:pBdr>
      <w:spacing w:before="100" w:beforeAutospacing="1" w:after="100" w:afterAutospacing="1"/>
      <w:jc w:val="left"/>
    </w:pPr>
    <w:rPr>
      <w:rFonts w:ascii="宋体" w:hAnsi="宋体" w:cs="宋体"/>
      <w:kern w:val="0"/>
      <w:sz w:val="18"/>
      <w:szCs w:val="18"/>
    </w:rPr>
  </w:style>
  <w:style w:type="paragraph" w:customStyle="1" w:styleId="358">
    <w:name w:val="示例×："/>
    <w:basedOn w:val="359"/>
    <w:qFormat/>
    <w:uiPriority w:val="0"/>
    <w:pPr>
      <w:numPr>
        <w:ilvl w:val="0"/>
        <w:numId w:val="9"/>
      </w:numPr>
      <w:tabs>
        <w:tab w:val="left" w:pos="992"/>
      </w:tabs>
      <w:ind w:left="780" w:hanging="420"/>
      <w:outlineLvl w:val="9"/>
    </w:pPr>
    <w:rPr>
      <w:rFonts w:ascii="宋体" w:eastAsia="宋体"/>
      <w:sz w:val="18"/>
      <w:szCs w:val="18"/>
    </w:rPr>
  </w:style>
  <w:style w:type="paragraph" w:customStyle="1" w:styleId="359">
    <w:name w:val="章标题"/>
    <w:next w:val="1"/>
    <w:qFormat/>
    <w:uiPriority w:val="0"/>
    <w:pPr>
      <w:numPr>
        <w:ilvl w:val="1"/>
        <w:numId w:val="10"/>
      </w:numPr>
      <w:tabs>
        <w:tab w:val="left" w:pos="992"/>
      </w:tabs>
      <w:spacing w:beforeLines="50" w:afterLines="50"/>
      <w:jc w:val="both"/>
      <w:outlineLvl w:val="1"/>
    </w:pPr>
    <w:rPr>
      <w:rFonts w:ascii="黑体" w:hAnsi="Times New Roman" w:eastAsia="黑体" w:cs="Times New Roman"/>
      <w:sz w:val="21"/>
      <w:lang w:val="en-US" w:eastAsia="zh-CN" w:bidi="ar-SA"/>
    </w:rPr>
  </w:style>
  <w:style w:type="paragraph" w:customStyle="1" w:styleId="360">
    <w:name w:val="封面标准英文名称2"/>
    <w:basedOn w:val="361"/>
    <w:qFormat/>
    <w:uiPriority w:val="0"/>
    <w:pPr>
      <w:framePr w:wrap="around" w:y="4466"/>
    </w:pPr>
  </w:style>
  <w:style w:type="paragraph" w:customStyle="1" w:styleId="361">
    <w:name w:val="封面标准英文名称"/>
    <w:basedOn w:val="362"/>
    <w:qFormat/>
    <w:uiPriority w:val="0"/>
    <w:pPr>
      <w:framePr w:w="9639" w:h="6917" w:hRule="exact" w:wrap="around" w:vAnchor="page" w:hAnchor="page" w:xAlign="center" w:y="6405" w:anchorLock="1"/>
      <w:spacing w:before="370" w:line="400" w:lineRule="exact"/>
    </w:pPr>
    <w:rPr>
      <w:rFonts w:ascii="Times New Roman"/>
      <w:sz w:val="28"/>
      <w:szCs w:val="28"/>
    </w:rPr>
  </w:style>
  <w:style w:type="paragraph" w:customStyle="1" w:styleId="362">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63">
    <w:name w:val="标准书脚_偶数页"/>
    <w:qFormat/>
    <w:uiPriority w:val="0"/>
    <w:pPr>
      <w:numPr>
        <w:ilvl w:val="2"/>
        <w:numId w:val="6"/>
      </w:numPr>
      <w:tabs>
        <w:tab w:val="left" w:pos="1140"/>
      </w:tabs>
      <w:spacing w:before="120"/>
      <w:ind w:left="221"/>
    </w:pPr>
    <w:rPr>
      <w:rFonts w:ascii="宋体" w:hAnsi="Times New Roman" w:eastAsia="宋体" w:cs="Times New Roman"/>
      <w:sz w:val="18"/>
      <w:szCs w:val="18"/>
      <w:lang w:val="en-US" w:eastAsia="zh-CN" w:bidi="ar-SA"/>
    </w:rPr>
  </w:style>
  <w:style w:type="paragraph" w:customStyle="1" w:styleId="364">
    <w:name w:val="其他发布部门"/>
    <w:basedOn w:val="365"/>
    <w:qFormat/>
    <w:uiPriority w:val="0"/>
    <w:pPr>
      <w:framePr w:wrap="around" w:y="15307"/>
      <w:spacing w:line="0" w:lineRule="atLeast"/>
    </w:pPr>
    <w:rPr>
      <w:rFonts w:ascii="黑体" w:eastAsia="黑体"/>
      <w:b w:val="0"/>
    </w:rPr>
  </w:style>
  <w:style w:type="paragraph" w:customStyle="1" w:styleId="365">
    <w:name w:val="发布部门"/>
    <w:next w:val="112"/>
    <w:qFormat/>
    <w:uiPriority w:val="0"/>
    <w:pPr>
      <w:framePr w:w="7938" w:h="1134" w:hRule="exact" w:hSpace="125" w:vSpace="181" w:wrap="around" w:vAnchor="page" w:hAnchor="page" w:x="2147" w:y="14627" w:anchorLock="1"/>
      <w:jc w:val="center"/>
    </w:pPr>
    <w:rPr>
      <w:rFonts w:ascii="宋体" w:hAnsi="Times New Roman" w:eastAsia="宋体" w:cs="Times New Roman"/>
      <w:b/>
      <w:spacing w:val="20"/>
      <w:w w:val="135"/>
      <w:sz w:val="28"/>
      <w:lang w:val="en-US" w:eastAsia="zh-CN" w:bidi="ar-SA"/>
    </w:rPr>
  </w:style>
  <w:style w:type="paragraph" w:customStyle="1" w:styleId="366">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7">
    <w:name w:val="附录五级无"/>
    <w:basedOn w:val="368"/>
    <w:qFormat/>
    <w:uiPriority w:val="0"/>
    <w:pPr>
      <w:numPr>
        <w:ilvl w:val="5"/>
        <w:numId w:val="3"/>
      </w:numPr>
      <w:tabs>
        <w:tab w:val="left" w:pos="312"/>
        <w:tab w:val="left" w:pos="360"/>
        <w:tab w:val="left" w:pos="588"/>
        <w:tab w:val="left" w:pos="644"/>
        <w:tab w:val="left" w:pos="648"/>
        <w:tab w:val="left" w:pos="840"/>
        <w:tab w:val="left" w:pos="1080"/>
        <w:tab w:val="left" w:pos="1440"/>
        <w:tab w:val="left" w:pos="2291"/>
      </w:tabs>
    </w:pPr>
    <w:rPr>
      <w:rFonts w:ascii="宋体" w:eastAsia="宋体"/>
      <w:szCs w:val="21"/>
    </w:rPr>
  </w:style>
  <w:style w:type="paragraph" w:customStyle="1" w:styleId="368">
    <w:name w:val="附录五级条标题"/>
    <w:basedOn w:val="333"/>
    <w:next w:val="112"/>
    <w:qFormat/>
    <w:uiPriority w:val="0"/>
    <w:pPr>
      <w:numPr>
        <w:ilvl w:val="6"/>
        <w:numId w:val="4"/>
      </w:numPr>
      <w:tabs>
        <w:tab w:val="left" w:pos="312"/>
      </w:tabs>
      <w:outlineLvl w:val="6"/>
    </w:pPr>
  </w:style>
  <w:style w:type="paragraph" w:customStyle="1" w:styleId="369">
    <w:name w:val="_Style 368"/>
    <w:basedOn w:val="3"/>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70">
    <w:name w:val="（正文）"/>
    <w:basedOn w:val="1"/>
    <w:qFormat/>
    <w:uiPriority w:val="0"/>
    <w:pPr>
      <w:adjustRightInd w:val="0"/>
      <w:snapToGrid w:val="0"/>
      <w:spacing w:line="370" w:lineRule="atLeast"/>
      <w:ind w:firstLine="150" w:firstLineChars="150"/>
    </w:pPr>
    <w:rPr>
      <w:sz w:val="23"/>
    </w:rPr>
  </w:style>
  <w:style w:type="paragraph" w:customStyle="1" w:styleId="371">
    <w:name w:val="示例后文字"/>
    <w:basedOn w:val="112"/>
    <w:next w:val="112"/>
    <w:qFormat/>
    <w:uiPriority w:val="0"/>
    <w:pPr>
      <w:ind w:firstLine="360"/>
    </w:pPr>
    <w:rPr>
      <w:sz w:val="18"/>
    </w:rPr>
  </w:style>
  <w:style w:type="paragraph" w:customStyle="1" w:styleId="372">
    <w:name w:val="样式 宋体 小四 左 段前: 5 磅 段后: 5 磅"/>
    <w:basedOn w:val="1"/>
    <w:qFormat/>
    <w:uiPriority w:val="0"/>
    <w:pPr>
      <w:tabs>
        <w:tab w:val="left" w:pos="420"/>
      </w:tabs>
      <w:spacing w:before="100" w:afterLines="50"/>
      <w:ind w:left="420" w:firstLine="480" w:firstLineChars="200"/>
      <w:jc w:val="left"/>
    </w:pPr>
    <w:rPr>
      <w:kern w:val="0"/>
      <w:sz w:val="24"/>
      <w:szCs w:val="21"/>
    </w:rPr>
  </w:style>
  <w:style w:type="paragraph" w:customStyle="1" w:styleId="373">
    <w:name w:val="Char Char Char Char Char Char Char"/>
    <w:basedOn w:val="1"/>
    <w:qFormat/>
    <w:uiPriority w:val="0"/>
    <w:rPr>
      <w:rFonts w:ascii="Tahoma" w:hAnsi="Tahoma" w:cs="Tahoma"/>
      <w:sz w:val="30"/>
      <w:szCs w:val="30"/>
    </w:rPr>
  </w:style>
  <w:style w:type="paragraph" w:customStyle="1" w:styleId="374">
    <w:name w:val="列出段落1"/>
    <w:basedOn w:val="1"/>
    <w:qFormat/>
    <w:uiPriority w:val="34"/>
    <w:pPr>
      <w:ind w:firstLine="200" w:firstLineChars="200"/>
    </w:pPr>
    <w:rPr>
      <w:rFonts w:eastAsia="??"/>
    </w:rPr>
  </w:style>
  <w:style w:type="paragraph" w:customStyle="1" w:styleId="375">
    <w:name w:val="样式 小四 段前: 5 磅 段后: 5 磅 首行缩进:  2 字符"/>
    <w:basedOn w:val="1"/>
    <w:qFormat/>
    <w:uiPriority w:val="0"/>
    <w:pPr>
      <w:spacing w:line="360" w:lineRule="auto"/>
    </w:pPr>
    <w:rPr>
      <w:rFonts w:ascii="宋体" w:hAnsi="宋体"/>
      <w:color w:val="000000"/>
      <w:sz w:val="24"/>
      <w:szCs w:val="21"/>
    </w:rPr>
  </w:style>
  <w:style w:type="paragraph" w:customStyle="1" w:styleId="37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77">
    <w:name w:val="实施日期"/>
    <w:basedOn w:val="378"/>
    <w:qFormat/>
    <w:uiPriority w:val="0"/>
    <w:pPr>
      <w:framePr w:wrap="around" w:vAnchor="page" w:hAnchor="text"/>
      <w:jc w:val="right"/>
    </w:pPr>
  </w:style>
  <w:style w:type="paragraph" w:customStyle="1" w:styleId="378">
    <w:name w:val="发布日期"/>
    <w:qFormat/>
    <w:uiPriority w:val="0"/>
    <w:pPr>
      <w:framePr w:w="3997" w:h="471" w:hRule="exact" w:vSpace="181" w:wrap="around" w:vAnchor="margin" w:hAnchor="page" w:x="7086" w:y="14094" w:anchorLock="1"/>
    </w:pPr>
    <w:rPr>
      <w:rFonts w:ascii="Times New Roman" w:hAnsi="Times New Roman" w:eastAsia="黑体" w:cs="Times New Roman"/>
      <w:sz w:val="28"/>
      <w:lang w:val="en-US" w:eastAsia="zh-CN" w:bidi="ar-SA"/>
    </w:rPr>
  </w:style>
  <w:style w:type="paragraph" w:customStyle="1" w:styleId="379">
    <w:name w:val="其他实施日期"/>
    <w:basedOn w:val="377"/>
    <w:qFormat/>
    <w:uiPriority w:val="0"/>
    <w:pPr>
      <w:framePr w:wrap="around"/>
    </w:pPr>
  </w:style>
  <w:style w:type="paragraph" w:customStyle="1" w:styleId="380">
    <w:name w:val="注：（正文）"/>
    <w:basedOn w:val="381"/>
    <w:next w:val="112"/>
    <w:qFormat/>
    <w:uiPriority w:val="0"/>
    <w:pPr>
      <w:tabs>
        <w:tab w:val="left" w:pos="840"/>
        <w:tab w:val="left" w:pos="1140"/>
      </w:tabs>
      <w:ind w:left="431" w:hanging="431"/>
    </w:pPr>
  </w:style>
  <w:style w:type="paragraph" w:customStyle="1" w:styleId="381">
    <w:name w:val="注："/>
    <w:next w:val="1"/>
    <w:qFormat/>
    <w:uiPriority w:val="0"/>
    <w:pPr>
      <w:widowControl w:val="0"/>
      <w:tabs>
        <w:tab w:val="left" w:pos="840"/>
      </w:tabs>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382">
    <w:name w:val="样式5"/>
    <w:basedOn w:val="383"/>
    <w:qFormat/>
    <w:uiPriority w:val="0"/>
  </w:style>
  <w:style w:type="paragraph" w:customStyle="1" w:styleId="383">
    <w:name w:val="bianhao2"/>
    <w:basedOn w:val="258"/>
    <w:qFormat/>
    <w:uiPriority w:val="0"/>
  </w:style>
  <w:style w:type="paragraph" w:customStyle="1" w:styleId="384">
    <w:name w:val="Char Char Char1"/>
    <w:basedOn w:val="1"/>
    <w:qFormat/>
    <w:uiPriority w:val="0"/>
    <w:rPr>
      <w:rFonts w:ascii="Tahoma" w:hAnsi="Tahoma"/>
      <w:sz w:val="24"/>
      <w:szCs w:val="20"/>
    </w:rPr>
  </w:style>
  <w:style w:type="paragraph" w:customStyle="1" w:styleId="385">
    <w:name w:val="Tabelle"/>
    <w:basedOn w:val="1"/>
    <w:qFormat/>
    <w:uiPriority w:val="0"/>
    <w:pPr>
      <w:widowControl/>
      <w:spacing w:before="40" w:after="40"/>
      <w:ind w:left="142"/>
      <w:jc w:val="left"/>
    </w:pPr>
    <w:rPr>
      <w:rFonts w:ascii="Arial" w:hAnsi="Arial"/>
      <w:kern w:val="0"/>
      <w:sz w:val="20"/>
      <w:szCs w:val="20"/>
      <w:lang w:eastAsia="de-DE"/>
    </w:rPr>
  </w:style>
  <w:style w:type="paragraph" w:customStyle="1" w:styleId="386">
    <w:name w:val="附录公式编号制表符"/>
    <w:basedOn w:val="1"/>
    <w:next w:val="112"/>
    <w:qFormat/>
    <w:uiPriority w:val="0"/>
    <w:pPr>
      <w:widowControl/>
      <w:tabs>
        <w:tab w:val="center" w:pos="4201"/>
        <w:tab w:val="right" w:leader="dot" w:pos="9298"/>
      </w:tabs>
      <w:autoSpaceDE w:val="0"/>
      <w:autoSpaceDN w:val="0"/>
    </w:pPr>
    <w:rPr>
      <w:rFonts w:ascii="宋体"/>
      <w:kern w:val="0"/>
      <w:szCs w:val="20"/>
    </w:rPr>
  </w:style>
  <w:style w:type="paragraph" w:customStyle="1" w:styleId="387">
    <w:name w:val="Char Char Char1 Char"/>
    <w:basedOn w:val="19"/>
    <w:qFormat/>
    <w:uiPriority w:val="0"/>
    <w:rPr>
      <w:rFonts w:ascii="微软雅黑" w:hAnsi="Calibri" w:eastAsia="微软雅黑"/>
      <w:b/>
      <w:kern w:val="0"/>
      <w:sz w:val="24"/>
      <w:szCs w:val="24"/>
    </w:rPr>
  </w:style>
  <w:style w:type="paragraph" w:customStyle="1" w:styleId="388">
    <w:name w:val="图的脚注"/>
    <w:next w:val="11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389">
    <w:name w:val="Char Char3"/>
    <w:basedOn w:val="1"/>
    <w:qFormat/>
    <w:uiPriority w:val="0"/>
    <w:pPr>
      <w:numPr>
        <w:ilvl w:val="0"/>
        <w:numId w:val="11"/>
      </w:numPr>
    </w:pPr>
    <w:rPr>
      <w:rFonts w:ascii="宋体" w:hAnsi="宋体"/>
      <w:b/>
      <w:sz w:val="28"/>
      <w:szCs w:val="28"/>
    </w:rPr>
  </w:style>
  <w:style w:type="paragraph" w:customStyle="1" w:styleId="390">
    <w:name w:val="项目编号2"/>
    <w:basedOn w:val="1"/>
    <w:next w:val="1"/>
    <w:qFormat/>
    <w:uiPriority w:val="0"/>
    <w:pPr>
      <w:tabs>
        <w:tab w:val="left" w:pos="840"/>
      </w:tabs>
      <w:spacing w:line="360" w:lineRule="auto"/>
      <w:ind w:left="840" w:hanging="420"/>
      <w:jc w:val="left"/>
    </w:pPr>
    <w:rPr>
      <w:rFonts w:ascii="宋体" w:hAnsi="宋体"/>
      <w:sz w:val="24"/>
      <w:szCs w:val="20"/>
    </w:rPr>
  </w:style>
  <w:style w:type="paragraph" w:customStyle="1" w:styleId="391">
    <w:name w:val="条文脚注"/>
    <w:basedOn w:val="48"/>
    <w:qFormat/>
    <w:uiPriority w:val="0"/>
    <w:pPr>
      <w:ind w:left="0" w:firstLine="0"/>
      <w:jc w:val="both"/>
    </w:pPr>
  </w:style>
  <w:style w:type="paragraph" w:customStyle="1" w:styleId="392">
    <w:name w:val="xl26"/>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eastAsia="Arial Unicode MS"/>
      <w:kern w:val="0"/>
      <w:szCs w:val="21"/>
    </w:rPr>
  </w:style>
  <w:style w:type="paragraph" w:customStyle="1" w:styleId="393">
    <w:name w:val="标准书眉一"/>
    <w:qFormat/>
    <w:uiPriority w:val="0"/>
    <w:pPr>
      <w:numPr>
        <w:ilvl w:val="0"/>
        <w:numId w:val="12"/>
      </w:numPr>
      <w:jc w:val="both"/>
    </w:pPr>
    <w:rPr>
      <w:rFonts w:ascii="Times New Roman" w:hAnsi="Times New Roman" w:eastAsia="宋体" w:cs="Times New Roman"/>
      <w:lang w:val="en-US" w:eastAsia="zh-CN" w:bidi="ar-SA"/>
    </w:rPr>
  </w:style>
  <w:style w:type="paragraph" w:customStyle="1" w:styleId="394">
    <w:name w:val="ZW"/>
    <w:basedOn w:val="1"/>
    <w:qFormat/>
    <w:uiPriority w:val="0"/>
    <w:pPr>
      <w:widowControl/>
      <w:topLinePunct/>
      <w:spacing w:line="360" w:lineRule="auto"/>
      <w:ind w:firstLine="425" w:firstLineChars="200"/>
    </w:pPr>
    <w:rPr>
      <w:rFonts w:eastAsia="仿宋_GB2312"/>
      <w:spacing w:val="8"/>
      <w:sz w:val="24"/>
      <w:szCs w:val="20"/>
    </w:rPr>
  </w:style>
  <w:style w:type="paragraph" w:customStyle="1" w:styleId="395">
    <w:name w:val="样式2"/>
    <w:basedOn w:val="1"/>
    <w:qFormat/>
    <w:uiPriority w:val="0"/>
    <w:pPr>
      <w:spacing w:line="360" w:lineRule="auto"/>
      <w:ind w:left="840" w:leftChars="400" w:firstLine="480" w:firstLineChars="200"/>
    </w:pPr>
    <w:rPr>
      <w:rFonts w:ascii="宋体" w:hAnsi="宋体"/>
      <w:sz w:val="24"/>
    </w:rPr>
  </w:style>
  <w:style w:type="paragraph" w:customStyle="1" w:styleId="396">
    <w:name w:val="Char1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397">
    <w:name w:val="xl82"/>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98">
    <w:name w:val="List Paragraph1"/>
    <w:basedOn w:val="1"/>
    <w:qFormat/>
    <w:uiPriority w:val="34"/>
    <w:pPr>
      <w:ind w:firstLine="420" w:firstLineChars="200"/>
    </w:pPr>
  </w:style>
  <w:style w:type="paragraph" w:customStyle="1" w:styleId="399">
    <w:name w:val="保留正文"/>
    <w:basedOn w:val="25"/>
    <w:qFormat/>
    <w:uiPriority w:val="0"/>
    <w:pPr>
      <w:keepNext/>
      <w:spacing w:after="160" w:line="240" w:lineRule="auto"/>
    </w:pPr>
    <w:rPr>
      <w:rFonts w:ascii="Calibri" w:hAnsi="Calibri"/>
      <w:kern w:val="0"/>
      <w:sz w:val="20"/>
      <w:szCs w:val="24"/>
    </w:rPr>
  </w:style>
  <w:style w:type="paragraph" w:customStyle="1" w:styleId="400">
    <w:name w:val="font8"/>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40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2">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403">
    <w:name w:val="样式 标题 3h3H3sect1.2.3 + 五号 段前: 6 磅 段后: 6 磅 行距: 单倍行距"/>
    <w:basedOn w:val="5"/>
    <w:qFormat/>
    <w:uiPriority w:val="0"/>
    <w:pPr>
      <w:tabs>
        <w:tab w:val="left" w:pos="1260"/>
      </w:tabs>
      <w:adjustRightInd w:val="0"/>
      <w:spacing w:before="120" w:after="120" w:line="240" w:lineRule="auto"/>
      <w:ind w:left="1260" w:hanging="420"/>
      <w:jc w:val="left"/>
      <w:textAlignment w:val="baseline"/>
    </w:pPr>
    <w:rPr>
      <w:bCs w:val="0"/>
      <w:kern w:val="0"/>
      <w:sz w:val="21"/>
      <w:szCs w:val="20"/>
    </w:rPr>
  </w:style>
  <w:style w:type="paragraph" w:customStyle="1" w:styleId="404">
    <w:name w:val="Char1 Char Char Char Char Char Char1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405">
    <w:name w:val="D标1"/>
    <w:basedOn w:val="3"/>
    <w:next w:val="1"/>
    <w:qFormat/>
    <w:uiPriority w:val="0"/>
    <w:pPr>
      <w:keepLines w:val="0"/>
      <w:pageBreakBefore/>
      <w:widowControl/>
      <w:tabs>
        <w:tab w:val="left" w:pos="425"/>
      </w:tabs>
      <w:autoSpaceDE w:val="0"/>
      <w:autoSpaceDN w:val="0"/>
      <w:adjustRightInd w:val="0"/>
      <w:spacing w:before="360" w:after="240" w:line="315" w:lineRule="atLeast"/>
      <w:ind w:left="425" w:hanging="425"/>
      <w:jc w:val="center"/>
    </w:pPr>
    <w:rPr>
      <w:rFonts w:ascii="黑体" w:hAnsi="Calibri" w:eastAsia="黑体"/>
      <w:b w:val="0"/>
      <w:bCs w:val="0"/>
      <w:kern w:val="0"/>
      <w:sz w:val="36"/>
      <w:szCs w:val="20"/>
    </w:rPr>
  </w:style>
  <w:style w:type="paragraph" w:customStyle="1" w:styleId="40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407">
    <w:name w:val="正文文档"/>
    <w:basedOn w:val="1"/>
    <w:qFormat/>
    <w:uiPriority w:val="0"/>
    <w:pPr>
      <w:spacing w:line="360" w:lineRule="auto"/>
      <w:ind w:left="840" w:leftChars="400" w:right="210" w:rightChars="100"/>
    </w:pPr>
    <w:rPr>
      <w:rFonts w:ascii="宋体" w:hAnsi="宋体"/>
      <w:sz w:val="24"/>
    </w:rPr>
  </w:style>
  <w:style w:type="paragraph" w:customStyle="1" w:styleId="408">
    <w:name w:val="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409">
    <w:name w:val="默认段落字体 Para Char"/>
    <w:basedOn w:val="1"/>
    <w:qFormat/>
    <w:uiPriority w:val="0"/>
    <w:rPr>
      <w:rFonts w:ascii="宋体" w:hAnsi="宋体"/>
      <w:b/>
      <w:sz w:val="28"/>
      <w:szCs w:val="28"/>
    </w:rPr>
  </w:style>
  <w:style w:type="paragraph" w:customStyle="1" w:styleId="410">
    <w:name w:val="题目副题"/>
    <w:basedOn w:val="46"/>
    <w:qFormat/>
    <w:uiPriority w:val="0"/>
    <w:pPr>
      <w:spacing w:before="0" w:after="312"/>
      <w:ind w:left="240" w:firstLine="600"/>
      <w:jc w:val="left"/>
      <w:outlineLvl w:val="9"/>
    </w:pPr>
    <w:rPr>
      <w:rFonts w:ascii="宋体" w:hAnsi="宋体"/>
      <w:bCs w:val="0"/>
      <w:sz w:val="30"/>
      <w:szCs w:val="20"/>
    </w:rPr>
  </w:style>
  <w:style w:type="paragraph" w:customStyle="1" w:styleId="411">
    <w:name w:val="样式 标题 1H1合同标题 + 小三"/>
    <w:basedOn w:val="3"/>
    <w:qFormat/>
    <w:uiPriority w:val="0"/>
    <w:pPr>
      <w:widowControl/>
      <w:tabs>
        <w:tab w:val="left" w:pos="432"/>
      </w:tabs>
      <w:adjustRightInd w:val="0"/>
      <w:snapToGrid w:val="0"/>
      <w:spacing w:before="120" w:after="240" w:line="240" w:lineRule="atLeast"/>
      <w:ind w:left="425" w:hanging="425"/>
      <w:jc w:val="left"/>
    </w:pPr>
    <w:rPr>
      <w:rFonts w:ascii="Calibri" w:hAnsi="Calibri" w:eastAsia="黑体"/>
      <w:spacing w:val="10"/>
      <w:kern w:val="2"/>
      <w:sz w:val="30"/>
      <w:szCs w:val="20"/>
    </w:rPr>
  </w:style>
  <w:style w:type="paragraph" w:customStyle="1" w:styleId="412">
    <w:name w:val="Char21"/>
    <w:basedOn w:val="1"/>
    <w:qFormat/>
    <w:uiPriority w:val="0"/>
    <w:pPr>
      <w:widowControl/>
      <w:spacing w:after="160" w:line="240" w:lineRule="exact"/>
      <w:jc w:val="left"/>
    </w:pPr>
    <w:rPr>
      <w:szCs w:val="20"/>
    </w:rPr>
  </w:style>
  <w:style w:type="paragraph" w:customStyle="1" w:styleId="413">
    <w:name w:val="_Style 61"/>
    <w:basedOn w:val="1"/>
    <w:qFormat/>
    <w:uiPriority w:val="0"/>
  </w:style>
  <w:style w:type="paragraph" w:customStyle="1" w:styleId="414">
    <w:name w:val="数字编号列项（二级）"/>
    <w:qFormat/>
    <w:uiPriority w:val="0"/>
    <w:pPr>
      <w:tabs>
        <w:tab w:val="left" w:pos="1140"/>
      </w:tabs>
      <w:ind w:left="1259" w:hanging="419"/>
      <w:jc w:val="both"/>
    </w:pPr>
    <w:rPr>
      <w:rFonts w:ascii="宋体" w:hAnsi="Times New Roman" w:eastAsia="宋体" w:cs="Times New Roman"/>
      <w:sz w:val="21"/>
      <w:lang w:val="en-US" w:eastAsia="zh-CN" w:bidi="ar-SA"/>
    </w:rPr>
  </w:style>
  <w:style w:type="paragraph" w:customStyle="1" w:styleId="415">
    <w:name w:val="首行缩进:  0.74 厘米 行距: 多倍行距 1.3 字行"/>
    <w:basedOn w:val="1"/>
    <w:qFormat/>
    <w:uiPriority w:val="0"/>
    <w:pPr>
      <w:spacing w:line="312" w:lineRule="auto"/>
      <w:ind w:firstLine="420"/>
    </w:pPr>
    <w:rPr>
      <w:rFonts w:cs="宋体"/>
      <w:szCs w:val="20"/>
    </w:rPr>
  </w:style>
  <w:style w:type="paragraph" w:customStyle="1" w:styleId="416">
    <w:name w:val="字母编号列项（一级）"/>
    <w:qFormat/>
    <w:uiPriority w:val="0"/>
    <w:pPr>
      <w:numPr>
        <w:ilvl w:val="0"/>
        <w:numId w:val="13"/>
      </w:numPr>
      <w:tabs>
        <w:tab w:val="left" w:pos="180"/>
        <w:tab w:val="left" w:pos="840"/>
      </w:tabs>
      <w:ind w:left="839" w:hanging="419"/>
      <w:jc w:val="both"/>
    </w:pPr>
    <w:rPr>
      <w:rFonts w:ascii="宋体" w:hAnsi="Times New Roman" w:eastAsia="宋体" w:cs="Times New Roman"/>
      <w:sz w:val="21"/>
      <w:lang w:val="en-US" w:eastAsia="zh-CN" w:bidi="ar-SA"/>
    </w:rPr>
  </w:style>
  <w:style w:type="paragraph" w:customStyle="1" w:styleId="417">
    <w:name w:val="编号列项（三级）"/>
    <w:qFormat/>
    <w:uiPriority w:val="0"/>
    <w:pPr>
      <w:numPr>
        <w:ilvl w:val="3"/>
        <w:numId w:val="14"/>
      </w:numPr>
      <w:tabs>
        <w:tab w:val="left" w:pos="0"/>
      </w:tabs>
      <w:ind w:left="1679"/>
    </w:pPr>
    <w:rPr>
      <w:rFonts w:ascii="宋体" w:hAnsi="Times New Roman" w:eastAsia="宋体" w:cs="Times New Roman"/>
      <w:sz w:val="21"/>
      <w:lang w:val="en-US" w:eastAsia="zh-CN" w:bidi="ar-SA"/>
    </w:rPr>
  </w:style>
  <w:style w:type="paragraph" w:customStyle="1" w:styleId="418">
    <w:name w:val="封面一致性程度标识2"/>
    <w:basedOn w:val="419"/>
    <w:qFormat/>
    <w:uiPriority w:val="0"/>
    <w:pPr>
      <w:framePr w:wrap="around" w:y="4466"/>
    </w:pPr>
  </w:style>
  <w:style w:type="paragraph" w:customStyle="1" w:styleId="419">
    <w:name w:val="封面一致性程度标识"/>
    <w:basedOn w:val="361"/>
    <w:qFormat/>
    <w:uiPriority w:val="0"/>
    <w:pPr>
      <w:framePr w:wrap="around"/>
      <w:spacing w:before="440"/>
    </w:pPr>
    <w:rPr>
      <w:rFonts w:ascii="宋体" w:eastAsia="宋体"/>
    </w:rPr>
  </w:style>
  <w:style w:type="paragraph" w:customStyle="1" w:styleId="420">
    <w:name w:val="正文内容"/>
    <w:basedOn w:val="1"/>
    <w:qFormat/>
    <w:uiPriority w:val="0"/>
    <w:rPr>
      <w:rFonts w:ascii="Arial" w:hAnsi="Arial"/>
      <w:spacing w:val="-12"/>
      <w:szCs w:val="20"/>
    </w:rPr>
  </w:style>
  <w:style w:type="paragraph" w:customStyle="1" w:styleId="421">
    <w:name w:val="_Style 18"/>
    <w:basedOn w:val="1"/>
    <w:next w:val="127"/>
    <w:unhideWhenUsed/>
    <w:qFormat/>
    <w:uiPriority w:val="99"/>
    <w:pPr>
      <w:ind w:firstLine="420" w:firstLineChars="200"/>
    </w:pPr>
  </w:style>
  <w:style w:type="paragraph" w:customStyle="1" w:styleId="422">
    <w:name w:val="封面标注"/>
    <w:basedOn w:val="1"/>
    <w:next w:val="1"/>
    <w:qFormat/>
    <w:uiPriority w:val="0"/>
    <w:pPr>
      <w:spacing w:beforeLines="50"/>
      <w:ind w:firstLine="2600" w:firstLineChars="2600"/>
    </w:pPr>
    <w:rPr>
      <w:rFonts w:eastAsia="黑体"/>
      <w:b/>
    </w:rPr>
  </w:style>
  <w:style w:type="paragraph" w:customStyle="1" w:styleId="423">
    <w:name w:val="Char Char Char Char Char Char1 Char Char Char Char"/>
    <w:basedOn w:val="1"/>
    <w:qFormat/>
    <w:uiPriority w:val="0"/>
    <w:rPr>
      <w:rFonts w:ascii="Tahoma" w:hAnsi="Tahoma"/>
      <w:sz w:val="24"/>
      <w:szCs w:val="20"/>
    </w:rPr>
  </w:style>
  <w:style w:type="paragraph" w:customStyle="1" w:styleId="424">
    <w:name w:val="无间隔2"/>
    <w:qFormat/>
    <w:uiPriority w:val="99"/>
    <w:pPr>
      <w:widowControl w:val="0"/>
    </w:pPr>
    <w:rPr>
      <w:rFonts w:ascii="Times New Roman" w:hAnsi="Times New Roman" w:eastAsia="宋体" w:cs="Times New Roman"/>
      <w:color w:val="000000"/>
      <w:sz w:val="24"/>
      <w:szCs w:val="24"/>
      <w:lang w:val="zh-CN" w:eastAsia="zh-CN" w:bidi="ar-SA"/>
    </w:rPr>
  </w:style>
  <w:style w:type="paragraph" w:customStyle="1" w:styleId="425">
    <w:name w:val="正文缩进 New New"/>
    <w:basedOn w:val="426"/>
    <w:qFormat/>
    <w:uiPriority w:val="0"/>
    <w:pPr>
      <w:ind w:firstLine="420" w:firstLineChars="200"/>
    </w:pPr>
    <w:rPr>
      <w:rFonts w:eastAsia="宋体"/>
      <w:sz w:val="21"/>
    </w:rPr>
  </w:style>
  <w:style w:type="paragraph" w:customStyle="1" w:styleId="426">
    <w:name w:val="正文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427">
    <w:name w:val="Char1"/>
    <w:basedOn w:val="1"/>
    <w:qFormat/>
    <w:uiPriority w:val="0"/>
    <w:pPr>
      <w:widowControl/>
      <w:spacing w:after="160" w:line="240" w:lineRule="exact"/>
      <w:jc w:val="left"/>
    </w:pPr>
    <w:rPr>
      <w:sz w:val="24"/>
    </w:rPr>
  </w:style>
  <w:style w:type="paragraph" w:customStyle="1" w:styleId="428">
    <w:name w:val="附录三级无"/>
    <w:basedOn w:val="334"/>
    <w:qFormat/>
    <w:uiPriority w:val="0"/>
    <w:pPr>
      <w:numPr>
        <w:ilvl w:val="3"/>
        <w:numId w:val="3"/>
      </w:numPr>
      <w:tabs>
        <w:tab w:val="left" w:pos="588"/>
      </w:tabs>
    </w:pPr>
    <w:rPr>
      <w:rFonts w:ascii="宋体" w:eastAsia="宋体"/>
      <w:szCs w:val="21"/>
    </w:rPr>
  </w:style>
  <w:style w:type="paragraph" w:customStyle="1" w:styleId="429">
    <w:name w:val="题注5"/>
    <w:basedOn w:val="1"/>
    <w:next w:val="16"/>
    <w:qFormat/>
    <w:uiPriority w:val="0"/>
    <w:pPr>
      <w:jc w:val="center"/>
    </w:pPr>
    <w:rPr>
      <w:b/>
      <w:color w:val="000000"/>
      <w:sz w:val="24"/>
      <w:szCs w:val="21"/>
    </w:rPr>
  </w:style>
  <w:style w:type="paragraph" w:customStyle="1" w:styleId="430">
    <w:name w:val="图表标题"/>
    <w:basedOn w:val="1"/>
    <w:next w:val="1"/>
    <w:qFormat/>
    <w:uiPriority w:val="0"/>
    <w:pPr>
      <w:widowControl/>
      <w:numPr>
        <w:ilvl w:val="0"/>
        <w:numId w:val="15"/>
      </w:numPr>
      <w:tabs>
        <w:tab w:val="left" w:pos="480"/>
      </w:tabs>
      <w:spacing w:before="120" w:line="360" w:lineRule="auto"/>
      <w:ind w:left="0" w:firstLine="0"/>
      <w:jc w:val="center"/>
    </w:pPr>
    <w:rPr>
      <w:rFonts w:ascii="Arial" w:hAnsi="Arial" w:eastAsia="黑体"/>
      <w:szCs w:val="20"/>
    </w:rPr>
  </w:style>
  <w:style w:type="paragraph" w:customStyle="1" w:styleId="431">
    <w:name w:val="Char Char Char Char Char1 Char"/>
    <w:basedOn w:val="1"/>
    <w:qFormat/>
    <w:uiPriority w:val="0"/>
    <w:rPr>
      <w:rFonts w:ascii="Tahoma" w:hAnsi="Tahoma"/>
      <w:sz w:val="24"/>
      <w:szCs w:val="20"/>
    </w:rPr>
  </w:style>
  <w:style w:type="paragraph" w:customStyle="1" w:styleId="432">
    <w:name w:val="正文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433">
    <w:name w:val="示例"/>
    <w:next w:val="434"/>
    <w:qFormat/>
    <w:uiPriority w:val="0"/>
    <w:pPr>
      <w:widowControl w:val="0"/>
      <w:numPr>
        <w:ilvl w:val="5"/>
        <w:numId w:val="13"/>
      </w:numPr>
      <w:tabs>
        <w:tab w:val="left" w:pos="2940"/>
      </w:tabs>
      <w:ind w:left="431" w:hanging="431"/>
      <w:jc w:val="both"/>
    </w:pPr>
    <w:rPr>
      <w:rFonts w:ascii="宋体" w:hAnsi="Times New Roman" w:eastAsia="宋体" w:cs="Times New Roman"/>
      <w:sz w:val="18"/>
      <w:szCs w:val="18"/>
      <w:lang w:val="en-US" w:eastAsia="zh-CN" w:bidi="ar-SA"/>
    </w:rPr>
  </w:style>
  <w:style w:type="paragraph" w:customStyle="1" w:styleId="434">
    <w:name w:val="示例内容"/>
    <w:qFormat/>
    <w:uiPriority w:val="0"/>
    <w:pPr>
      <w:numPr>
        <w:ilvl w:val="0"/>
        <w:numId w:val="16"/>
      </w:numPr>
      <w:tabs>
        <w:tab w:val="left" w:pos="1681"/>
      </w:tabs>
      <w:ind w:firstLine="200" w:firstLineChars="200"/>
    </w:pPr>
    <w:rPr>
      <w:rFonts w:ascii="宋体" w:hAnsi="Times New Roman" w:eastAsia="宋体" w:cs="Times New Roman"/>
      <w:sz w:val="18"/>
      <w:szCs w:val="18"/>
      <w:lang w:val="en-US" w:eastAsia="zh-CN" w:bidi="ar-SA"/>
    </w:rPr>
  </w:style>
  <w:style w:type="paragraph" w:customStyle="1" w:styleId="43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FF0000"/>
      <w:kern w:val="0"/>
      <w:sz w:val="24"/>
    </w:rPr>
  </w:style>
  <w:style w:type="paragraph" w:customStyle="1" w:styleId="436">
    <w:name w:val="_Style 11"/>
    <w:basedOn w:val="1"/>
    <w:qFormat/>
    <w:uiPriority w:val="0"/>
    <w:pPr>
      <w:widowControl/>
      <w:spacing w:after="160" w:line="240" w:lineRule="exact"/>
      <w:jc w:val="left"/>
    </w:pPr>
    <w:rPr>
      <w:rFonts w:ascii="Verdana" w:hAnsi="Verdana"/>
      <w:kern w:val="0"/>
      <w:szCs w:val="20"/>
      <w:lang w:eastAsia="en-US"/>
    </w:rPr>
  </w:style>
  <w:style w:type="paragraph" w:customStyle="1" w:styleId="437">
    <w:name w:val="附录标题"/>
    <w:basedOn w:val="112"/>
    <w:next w:val="112"/>
    <w:qFormat/>
    <w:uiPriority w:val="0"/>
    <w:pPr>
      <w:ind w:firstLine="0" w:firstLineChars="0"/>
      <w:jc w:val="center"/>
    </w:pPr>
    <w:rPr>
      <w:rFonts w:ascii="黑体" w:eastAsia="黑体"/>
    </w:rPr>
  </w:style>
  <w:style w:type="paragraph" w:customStyle="1" w:styleId="438">
    <w:name w:val="xl78"/>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439">
    <w:name w:val="列项●（二级）"/>
    <w:qFormat/>
    <w:uiPriority w:val="0"/>
    <w:pPr>
      <w:numPr>
        <w:ilvl w:val="4"/>
        <w:numId w:val="13"/>
      </w:num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440">
    <w:name w:val="_Style 34"/>
    <w:basedOn w:val="1"/>
    <w:qFormat/>
    <w:uiPriority w:val="0"/>
    <w:pPr>
      <w:numPr>
        <w:ilvl w:val="0"/>
        <w:numId w:val="17"/>
      </w:numPr>
      <w:tabs>
        <w:tab w:val="left" w:pos="360"/>
        <w:tab w:val="clear" w:pos="960"/>
      </w:tabs>
    </w:pPr>
  </w:style>
  <w:style w:type="paragraph" w:customStyle="1" w:styleId="441">
    <w:name w:val="正文缩进_0"/>
    <w:basedOn w:val="442"/>
    <w:qFormat/>
    <w:uiPriority w:val="0"/>
    <w:pPr>
      <w:autoSpaceDE w:val="0"/>
      <w:autoSpaceDN w:val="0"/>
      <w:spacing w:line="360" w:lineRule="auto"/>
      <w:ind w:left="181" w:firstLine="420"/>
    </w:pPr>
    <w:rPr>
      <w:sz w:val="24"/>
      <w:szCs w:val="20"/>
      <w:lang w:val="zh-CN"/>
    </w:rPr>
  </w:style>
  <w:style w:type="paragraph" w:customStyle="1" w:styleId="44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3">
    <w:name w:val="标题 3_0"/>
    <w:basedOn w:val="442"/>
    <w:next w:val="441"/>
    <w:qFormat/>
    <w:uiPriority w:val="0"/>
    <w:pPr>
      <w:keepNext/>
      <w:keepLines/>
      <w:autoSpaceDE w:val="0"/>
      <w:autoSpaceDN w:val="0"/>
      <w:adjustRightInd w:val="0"/>
      <w:spacing w:before="360" w:after="260" w:line="360" w:lineRule="auto"/>
      <w:jc w:val="left"/>
      <w:textAlignment w:val="baseline"/>
      <w:outlineLvl w:val="2"/>
    </w:pPr>
    <w:rPr>
      <w:rFonts w:ascii="宋体" w:hAnsi="Arial"/>
      <w:b/>
      <w:sz w:val="28"/>
      <w:szCs w:val="20"/>
      <w:lang w:val="zh-CN"/>
    </w:rPr>
  </w:style>
  <w:style w:type="paragraph" w:customStyle="1" w:styleId="444">
    <w:name w:val="xl50"/>
    <w:basedOn w:val="1"/>
    <w:qFormat/>
    <w:uiPriority w:val="0"/>
    <w:pPr>
      <w:widowControl/>
      <w:spacing w:before="100" w:beforeAutospacing="1" w:after="100" w:afterAutospacing="1"/>
      <w:jc w:val="center"/>
      <w:textAlignment w:val="center"/>
    </w:pPr>
    <w:rPr>
      <w:rFonts w:hint="eastAsia" w:ascii="华文中宋" w:hAnsi="华文中宋" w:eastAsia="华文中宋" w:cs="Arial Unicode MS"/>
      <w:kern w:val="0"/>
      <w:sz w:val="32"/>
      <w:szCs w:val="32"/>
      <w:u w:val="single"/>
    </w:rPr>
  </w:style>
  <w:style w:type="paragraph" w:customStyle="1" w:styleId="445">
    <w:name w:val="代码"/>
    <w:basedOn w:val="1"/>
    <w:qFormat/>
    <w:uiPriority w:val="0"/>
    <w:pPr>
      <w:spacing w:beforeLines="50" w:afterLines="50"/>
      <w:ind w:left="960" w:leftChars="400"/>
    </w:pPr>
    <w:rPr>
      <w:rFonts w:ascii="Courier New" w:hAnsi="Courier New"/>
      <w:szCs w:val="21"/>
    </w:rPr>
  </w:style>
  <w:style w:type="paragraph" w:customStyle="1" w:styleId="44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447">
    <w:name w:val="D标2"/>
    <w:basedOn w:val="4"/>
    <w:qFormat/>
    <w:uiPriority w:val="0"/>
    <w:pPr>
      <w:keepLines w:val="0"/>
      <w:widowControl/>
      <w:tabs>
        <w:tab w:val="left" w:pos="425"/>
      </w:tabs>
      <w:autoSpaceDE w:val="0"/>
      <w:autoSpaceDN w:val="0"/>
      <w:adjustRightInd w:val="0"/>
      <w:spacing w:before="360" w:after="0" w:line="480" w:lineRule="exact"/>
      <w:ind w:left="425" w:hanging="425"/>
      <w:jc w:val="left"/>
    </w:pPr>
    <w:rPr>
      <w:rFonts w:ascii="黑体" w:hAnsi="Times New Roman" w:eastAsia="宋体"/>
      <w:kern w:val="0"/>
      <w:sz w:val="24"/>
      <w:szCs w:val="28"/>
    </w:rPr>
  </w:style>
  <w:style w:type="paragraph" w:customStyle="1" w:styleId="448">
    <w:name w:val="Char Char Char1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49">
    <w:name w:val="Char Char Char Char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50">
    <w:name w:val="正文1"/>
    <w:basedOn w:val="1"/>
    <w:qFormat/>
    <w:uiPriority w:val="0"/>
    <w:pPr>
      <w:tabs>
        <w:tab w:val="left" w:pos="2220"/>
      </w:tabs>
      <w:spacing w:line="360" w:lineRule="auto"/>
      <w:ind w:left="2220" w:hanging="420"/>
    </w:pPr>
    <w:rPr>
      <w:rFonts w:ascii="宋体" w:hAnsi="宋体"/>
    </w:rPr>
  </w:style>
  <w:style w:type="paragraph" w:customStyle="1" w:styleId="451">
    <w:name w:val="附录二级无"/>
    <w:basedOn w:val="335"/>
    <w:qFormat/>
    <w:uiPriority w:val="0"/>
    <w:rPr>
      <w:rFonts w:ascii="宋体" w:eastAsia="宋体"/>
      <w:szCs w:val="21"/>
    </w:rPr>
  </w:style>
  <w:style w:type="paragraph" w:customStyle="1" w:styleId="452">
    <w:name w:val="_Style 80"/>
    <w:basedOn w:val="1"/>
    <w:qFormat/>
    <w:uiPriority w:val="0"/>
    <w:pPr>
      <w:spacing w:line="360" w:lineRule="auto"/>
      <w:ind w:firstLine="200" w:firstLineChars="200"/>
    </w:pPr>
    <w:rPr>
      <w:szCs w:val="20"/>
    </w:rPr>
  </w:style>
  <w:style w:type="paragraph" w:customStyle="1" w:styleId="453">
    <w:name w:val="Char Char Char Char Char Char Char Char Char Char Char Char Char Char"/>
    <w:qFormat/>
    <w:uiPriority w:val="0"/>
    <w:pPr>
      <w:widowControl w:val="0"/>
      <w:spacing w:line="360" w:lineRule="auto"/>
      <w:ind w:firstLine="525"/>
      <w:jc w:val="both"/>
    </w:pPr>
    <w:rPr>
      <w:rFonts w:ascii="Times New Roman" w:hAnsi="Times New Roman" w:eastAsia="仿宋_GB2312" w:cs="Times New Roman"/>
      <w:kern w:val="2"/>
      <w:sz w:val="24"/>
      <w:szCs w:val="24"/>
      <w:lang w:val="en-US" w:eastAsia="zh-CN" w:bidi="ar-SA"/>
    </w:rPr>
  </w:style>
  <w:style w:type="paragraph" w:customStyle="1" w:styleId="454">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455">
    <w:name w:val="样式 (中文) 仿宋_GB2312 四号 段后: 1 行 首行缩进:  1.68 字符"/>
    <w:basedOn w:val="1"/>
    <w:qFormat/>
    <w:uiPriority w:val="0"/>
    <w:pPr>
      <w:spacing w:afterLines="100" w:line="360" w:lineRule="auto"/>
      <w:ind w:firstLine="470" w:firstLineChars="168"/>
    </w:pPr>
    <w:rPr>
      <w:rFonts w:eastAsia="仿宋_GB2312" w:cs="宋体"/>
      <w:sz w:val="28"/>
      <w:szCs w:val="20"/>
    </w:rPr>
  </w:style>
  <w:style w:type="paragraph" w:customStyle="1" w:styleId="456">
    <w:name w:val="font6"/>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457">
    <w:name w:val="正文首行缩进两字符"/>
    <w:basedOn w:val="1"/>
    <w:qFormat/>
    <w:uiPriority w:val="0"/>
    <w:pPr>
      <w:spacing w:line="360" w:lineRule="auto"/>
      <w:ind w:firstLine="200" w:firstLineChars="200"/>
    </w:pPr>
  </w:style>
  <w:style w:type="paragraph" w:customStyle="1" w:styleId="458">
    <w:name w:val="样式 左侧:  0.85 厘米 段后: 1 行1"/>
    <w:basedOn w:val="1"/>
    <w:qFormat/>
    <w:uiPriority w:val="0"/>
    <w:pPr>
      <w:spacing w:line="360" w:lineRule="auto"/>
    </w:pPr>
    <w:rPr>
      <w:rFonts w:cs="宋体"/>
      <w:sz w:val="24"/>
      <w:szCs w:val="20"/>
    </w:rPr>
  </w:style>
  <w:style w:type="paragraph" w:customStyle="1" w:styleId="459">
    <w:name w:val="Char Char Char Char Char Char"/>
    <w:basedOn w:val="19"/>
    <w:qFormat/>
    <w:uiPriority w:val="0"/>
    <w:rPr>
      <w:rFonts w:ascii="Tahoma" w:hAnsi="Tahoma" w:eastAsia="微软雅黑"/>
      <w:kern w:val="0"/>
      <w:sz w:val="24"/>
      <w:szCs w:val="18"/>
    </w:rPr>
  </w:style>
  <w:style w:type="paragraph" w:customStyle="1" w:styleId="460">
    <w:name w:val="样式1"/>
    <w:basedOn w:val="1"/>
    <w:qFormat/>
    <w:uiPriority w:val="0"/>
    <w:pPr>
      <w:tabs>
        <w:tab w:val="left" w:pos="709"/>
      </w:tabs>
      <w:adjustRightInd w:val="0"/>
      <w:ind w:left="425" w:hanging="425"/>
      <w:textAlignment w:val="baseline"/>
    </w:pPr>
    <w:rPr>
      <w:rFonts w:ascii="宋体" w:hAnsi="宋体"/>
      <w:kern w:val="0"/>
      <w:szCs w:val="20"/>
    </w:rPr>
  </w:style>
  <w:style w:type="paragraph" w:customStyle="1" w:styleId="461">
    <w:name w:val="默认段落字体 Para Char Char Char Char Char Char Char"/>
    <w:basedOn w:val="1"/>
    <w:qFormat/>
    <w:uiPriority w:val="0"/>
    <w:rPr>
      <w:rFonts w:ascii="Tahoma" w:hAnsi="Tahoma"/>
      <w:sz w:val="24"/>
      <w:szCs w:val="20"/>
    </w:rPr>
  </w:style>
  <w:style w:type="paragraph" w:customStyle="1" w:styleId="462">
    <w:name w:val="其他发布日期"/>
    <w:basedOn w:val="378"/>
    <w:qFormat/>
    <w:uiPriority w:val="0"/>
    <w:pPr>
      <w:framePr w:wrap="around" w:vAnchor="page" w:hAnchor="text" w:x="1416"/>
      <w:tabs>
        <w:tab w:val="left" w:pos="1680"/>
      </w:tabs>
      <w:ind w:left="1680" w:hanging="840"/>
    </w:pPr>
  </w:style>
  <w:style w:type="paragraph" w:customStyle="1" w:styleId="463">
    <w:name w:val="正文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464">
    <w:name w:val="xl8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465">
    <w:name w:val="正文缩进 New"/>
    <w:basedOn w:val="463"/>
    <w:qFormat/>
    <w:uiPriority w:val="0"/>
    <w:pPr>
      <w:ind w:firstLine="420" w:firstLineChars="200"/>
    </w:pPr>
    <w:rPr>
      <w:rFonts w:eastAsia="宋体"/>
      <w:sz w:val="21"/>
    </w:rPr>
  </w:style>
  <w:style w:type="paragraph" w:customStyle="1" w:styleId="466">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467">
    <w:name w:val="图标脚注说明"/>
    <w:basedOn w:val="112"/>
    <w:qFormat/>
    <w:uiPriority w:val="0"/>
    <w:pPr>
      <w:ind w:left="840" w:hanging="420" w:firstLineChars="0"/>
    </w:pPr>
    <w:rPr>
      <w:sz w:val="18"/>
      <w:szCs w:val="18"/>
    </w:rPr>
  </w:style>
  <w:style w:type="paragraph" w:customStyle="1" w:styleId="468">
    <w:name w:val="Char Char Char"/>
    <w:basedOn w:val="1"/>
    <w:qFormat/>
    <w:uiPriority w:val="0"/>
    <w:rPr>
      <w:rFonts w:ascii="Tahoma" w:hAnsi="Tahoma"/>
      <w:sz w:val="24"/>
      <w:szCs w:val="20"/>
    </w:rPr>
  </w:style>
  <w:style w:type="paragraph" w:customStyle="1" w:styleId="469">
    <w:name w:val="Char Char2 Char"/>
    <w:basedOn w:val="1"/>
    <w:qFormat/>
    <w:uiPriority w:val="0"/>
    <w:rPr>
      <w:rFonts w:ascii="宋体" w:hAnsi="宋体"/>
      <w:b/>
      <w:sz w:val="28"/>
      <w:szCs w:val="28"/>
    </w:rPr>
  </w:style>
  <w:style w:type="paragraph" w:customStyle="1" w:styleId="470">
    <w:name w:val="样式 宋体 小四 段前: 5 磅 段后: 5 磅 首行缩进:  2.57 字符"/>
    <w:basedOn w:val="1"/>
    <w:qFormat/>
    <w:uiPriority w:val="0"/>
    <w:pPr>
      <w:spacing w:before="100" w:afterLines="50"/>
      <w:ind w:firstLine="200" w:firstLineChars="200"/>
    </w:pPr>
    <w:rPr>
      <w:kern w:val="0"/>
      <w:sz w:val="24"/>
      <w:szCs w:val="21"/>
    </w:rPr>
  </w:style>
  <w:style w:type="paragraph" w:customStyle="1" w:styleId="471">
    <w:name w:val="样式 标题 1H1PIM 1h1H11H12H13H14H15H16H17H18H19H110H11...1"/>
    <w:basedOn w:val="3"/>
    <w:qFormat/>
    <w:uiPriority w:val="0"/>
    <w:pPr>
      <w:tabs>
        <w:tab w:val="left" w:pos="0"/>
      </w:tabs>
      <w:spacing w:before="120" w:afterLines="100" w:line="360" w:lineRule="auto"/>
      <w:jc w:val="left"/>
    </w:pPr>
    <w:rPr>
      <w:rFonts w:ascii="Calibri" w:hAnsi="Calibri" w:eastAsia="黑体" w:cs="宋体"/>
      <w:sz w:val="30"/>
      <w:szCs w:val="20"/>
    </w:rPr>
  </w:style>
  <w:style w:type="paragraph" w:customStyle="1" w:styleId="472">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473">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474">
    <w:name w:val="正文（仿三）"/>
    <w:basedOn w:val="1"/>
    <w:qFormat/>
    <w:uiPriority w:val="0"/>
    <w:pPr>
      <w:adjustRightInd w:val="0"/>
      <w:snapToGrid w:val="0"/>
      <w:spacing w:line="360" w:lineRule="auto"/>
      <w:ind w:firstLine="640" w:firstLineChars="200"/>
    </w:pPr>
    <w:rPr>
      <w:rFonts w:eastAsia="仿宋_GB2312"/>
      <w:sz w:val="32"/>
      <w:szCs w:val="20"/>
    </w:rPr>
  </w:style>
  <w:style w:type="paragraph" w:customStyle="1" w:styleId="475">
    <w:name w:val="Char Char Char2"/>
    <w:basedOn w:val="1"/>
    <w:qFormat/>
    <w:uiPriority w:val="0"/>
    <w:rPr>
      <w:rFonts w:ascii="Tahoma" w:hAnsi="Tahoma"/>
      <w:sz w:val="24"/>
      <w:szCs w:val="20"/>
    </w:rPr>
  </w:style>
  <w:style w:type="paragraph" w:customStyle="1" w:styleId="476">
    <w:name w:val="xl6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477">
    <w:name w:val="列表内容"/>
    <w:basedOn w:val="1"/>
    <w:qFormat/>
    <w:uiPriority w:val="0"/>
    <w:pPr>
      <w:numPr>
        <w:ilvl w:val="0"/>
        <w:numId w:val="10"/>
      </w:numPr>
      <w:tabs>
        <w:tab w:val="left" w:pos="971"/>
      </w:tabs>
      <w:spacing w:line="360" w:lineRule="auto"/>
      <w:ind w:left="971" w:firstLine="200" w:firstLineChars="200"/>
    </w:pPr>
    <w:rPr>
      <w:sz w:val="24"/>
      <w:szCs w:val="20"/>
    </w:rPr>
  </w:style>
  <w:style w:type="paragraph" w:customStyle="1" w:styleId="478">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479">
    <w:name w:val="Table Text"/>
    <w:basedOn w:val="1"/>
    <w:qFormat/>
    <w:uiPriority w:val="0"/>
    <w:pPr>
      <w:autoSpaceDE w:val="0"/>
      <w:autoSpaceDN w:val="0"/>
      <w:adjustRightInd w:val="0"/>
      <w:spacing w:line="360" w:lineRule="auto"/>
      <w:jc w:val="left"/>
    </w:pPr>
    <w:rPr>
      <w:kern w:val="0"/>
      <w:sz w:val="24"/>
    </w:rPr>
  </w:style>
  <w:style w:type="paragraph" w:customStyle="1" w:styleId="480">
    <w:name w:val="xl80"/>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481">
    <w:name w:val="xl6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8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83">
    <w:name w:val="xl4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FF0000"/>
      <w:kern w:val="0"/>
      <w:sz w:val="24"/>
    </w:rPr>
  </w:style>
  <w:style w:type="paragraph" w:customStyle="1" w:styleId="484">
    <w:name w:val="项目段落"/>
    <w:basedOn w:val="1"/>
    <w:qFormat/>
    <w:uiPriority w:val="0"/>
    <w:pPr>
      <w:numPr>
        <w:ilvl w:val="0"/>
        <w:numId w:val="18"/>
      </w:numPr>
      <w:tabs>
        <w:tab w:val="left" w:pos="420"/>
      </w:tabs>
      <w:adjustRightInd w:val="0"/>
      <w:spacing w:before="60" w:line="360" w:lineRule="auto"/>
      <w:jc w:val="left"/>
    </w:pPr>
    <w:rPr>
      <w:sz w:val="24"/>
      <w:szCs w:val="20"/>
    </w:rPr>
  </w:style>
  <w:style w:type="paragraph" w:customStyle="1" w:styleId="485">
    <w:name w:val="_Style 90"/>
    <w:basedOn w:val="1"/>
    <w:next w:val="1"/>
    <w:unhideWhenUsed/>
    <w:qFormat/>
    <w:uiPriority w:val="39"/>
    <w:pPr>
      <w:ind w:left="3360" w:leftChars="1600"/>
    </w:pPr>
    <w:rPr>
      <w:rFonts w:ascii="等线" w:hAnsi="等线" w:eastAsia="等线"/>
      <w:szCs w:val="22"/>
    </w:rPr>
  </w:style>
  <w:style w:type="paragraph" w:customStyle="1" w:styleId="486">
    <w:name w:val="标题４"/>
    <w:basedOn w:val="1"/>
    <w:next w:val="1"/>
    <w:qFormat/>
    <w:uiPriority w:val="0"/>
    <w:pPr>
      <w:spacing w:line="360" w:lineRule="auto"/>
    </w:pPr>
    <w:rPr>
      <w:rFonts w:ascii="宋体" w:hAnsi="宋体"/>
      <w:b/>
      <w:sz w:val="32"/>
      <w:szCs w:val="32"/>
    </w:rPr>
  </w:style>
  <w:style w:type="paragraph" w:customStyle="1" w:styleId="487">
    <w:name w:val="符号列表"/>
    <w:basedOn w:val="1"/>
    <w:next w:val="127"/>
    <w:qFormat/>
    <w:uiPriority w:val="0"/>
    <w:pPr>
      <w:ind w:firstLine="420" w:firstLineChars="200"/>
    </w:pPr>
    <w:rPr>
      <w:szCs w:val="22"/>
    </w:rPr>
  </w:style>
  <w:style w:type="paragraph" w:customStyle="1" w:styleId="488">
    <w:name w:val="Style1"/>
    <w:basedOn w:val="25"/>
    <w:qFormat/>
    <w:uiPriority w:val="0"/>
    <w:pPr>
      <w:widowControl/>
      <w:tabs>
        <w:tab w:val="left" w:pos="360"/>
      </w:tabs>
      <w:spacing w:afterLines="50" w:line="240" w:lineRule="auto"/>
      <w:ind w:left="360" w:right="130" w:hanging="360" w:firstLineChars="200"/>
      <w:jc w:val="left"/>
    </w:pPr>
    <w:rPr>
      <w:rFonts w:ascii="Arial" w:hAnsi="Arial"/>
      <w:b/>
      <w:bCs/>
      <w:kern w:val="0"/>
      <w:sz w:val="20"/>
      <w:lang w:eastAsia="en-US"/>
    </w:rPr>
  </w:style>
  <w:style w:type="paragraph" w:customStyle="1" w:styleId="489">
    <w:name w:val="D标3"/>
    <w:basedOn w:val="5"/>
    <w:qFormat/>
    <w:uiPriority w:val="0"/>
    <w:pPr>
      <w:keepNext w:val="0"/>
      <w:keepLines w:val="0"/>
      <w:tabs>
        <w:tab w:val="left" w:pos="1140"/>
      </w:tabs>
      <w:autoSpaceDE w:val="0"/>
      <w:autoSpaceDN w:val="0"/>
      <w:adjustRightInd w:val="0"/>
      <w:spacing w:before="120" w:after="0" w:line="480" w:lineRule="atLeast"/>
      <w:ind w:left="1140" w:hanging="1140"/>
    </w:pPr>
    <w:rPr>
      <w:rFonts w:ascii="宋体" w:hAnsi="Calibri" w:eastAsia="楷体_GB2312"/>
      <w:b w:val="0"/>
      <w:bCs w:val="0"/>
      <w:kern w:val="0"/>
      <w:sz w:val="24"/>
      <w:szCs w:val="20"/>
    </w:rPr>
  </w:style>
  <w:style w:type="paragraph" w:customStyle="1" w:styleId="490">
    <w:name w:val="目次、标准名称标题"/>
    <w:basedOn w:val="1"/>
    <w:next w:val="1"/>
    <w:qFormat/>
    <w:uiPriority w:val="0"/>
    <w:pPr>
      <w:keepNext/>
      <w:pageBreakBefore/>
      <w:widowControl/>
      <w:shd w:val="clear" w:color="FFFFFF" w:fill="FFFFFF"/>
      <w:tabs>
        <w:tab w:val="left" w:pos="1008"/>
      </w:tabs>
      <w:spacing w:before="640" w:after="560" w:line="460" w:lineRule="exact"/>
      <w:ind w:left="1008" w:hanging="1008"/>
      <w:jc w:val="center"/>
      <w:outlineLvl w:val="0"/>
    </w:pPr>
    <w:rPr>
      <w:rFonts w:ascii="黑体" w:eastAsia="黑体"/>
      <w:kern w:val="0"/>
      <w:sz w:val="32"/>
      <w:szCs w:val="20"/>
    </w:rPr>
  </w:style>
  <w:style w:type="paragraph" w:customStyle="1" w:styleId="491">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492">
    <w:name w:val="Char Char11"/>
    <w:basedOn w:val="1"/>
    <w:qFormat/>
    <w:uiPriority w:val="0"/>
    <w:pPr>
      <w:widowControl/>
      <w:spacing w:after="160" w:line="240" w:lineRule="exact"/>
      <w:jc w:val="left"/>
    </w:pPr>
    <w:rPr>
      <w:rFonts w:ascii="Verdana" w:hAnsi="Verdana" w:eastAsia="楷体_GB2312"/>
      <w:b/>
      <w:i/>
      <w:color w:val="000000"/>
      <w:kern w:val="0"/>
      <w:sz w:val="20"/>
      <w:szCs w:val="20"/>
      <w:lang w:eastAsia="en-US"/>
    </w:rPr>
  </w:style>
  <w:style w:type="paragraph" w:customStyle="1" w:styleId="493">
    <w:name w:val="标题1 Char Char Char"/>
    <w:basedOn w:val="3"/>
    <w:qFormat/>
    <w:uiPriority w:val="0"/>
    <w:pPr>
      <w:tabs>
        <w:tab w:val="center" w:pos="4512"/>
        <w:tab w:val="center" w:pos="4606"/>
      </w:tabs>
      <w:adjustRightInd w:val="0"/>
      <w:snapToGrid w:val="0"/>
      <w:spacing w:before="0" w:afterLines="50" w:line="360" w:lineRule="auto"/>
      <w:jc w:val="center"/>
      <w:textAlignment w:val="baseline"/>
    </w:pPr>
    <w:rPr>
      <w:rFonts w:ascii="Calibri" w:hAnsi="Calibri"/>
      <w:bCs w:val="0"/>
      <w:sz w:val="24"/>
      <w:szCs w:val="20"/>
    </w:rPr>
  </w:style>
  <w:style w:type="paragraph" w:customStyle="1" w:styleId="494">
    <w:name w:val="图表脚注说明"/>
    <w:basedOn w:val="1"/>
    <w:qFormat/>
    <w:uiPriority w:val="0"/>
    <w:pPr>
      <w:tabs>
        <w:tab w:val="left" w:pos="840"/>
      </w:tabs>
      <w:ind w:left="840" w:hanging="420"/>
    </w:pPr>
    <w:rPr>
      <w:rFonts w:ascii="宋体"/>
      <w:sz w:val="18"/>
      <w:szCs w:val="18"/>
    </w:rPr>
  </w:style>
  <w:style w:type="paragraph" w:customStyle="1" w:styleId="495">
    <w:name w:val="xl90"/>
    <w:basedOn w:val="1"/>
    <w:qFormat/>
    <w:uiPriority w:val="0"/>
    <w:pPr>
      <w:widowControl/>
      <w:spacing w:before="100" w:beforeAutospacing="1" w:after="100" w:afterAutospacing="1"/>
      <w:jc w:val="center"/>
      <w:textAlignment w:val="center"/>
    </w:pPr>
    <w:rPr>
      <w:rFonts w:ascii="宋体" w:hAnsi="宋体" w:cs="宋体"/>
      <w:b/>
      <w:bCs/>
      <w:kern w:val="0"/>
      <w:sz w:val="24"/>
    </w:rPr>
  </w:style>
  <w:style w:type="paragraph" w:customStyle="1" w:styleId="496">
    <w:name w:val="Char1 Char Char Char"/>
    <w:basedOn w:val="1"/>
    <w:qFormat/>
    <w:uiPriority w:val="0"/>
    <w:rPr>
      <w:szCs w:val="20"/>
    </w:rPr>
  </w:style>
  <w:style w:type="paragraph" w:customStyle="1" w:styleId="497">
    <w:name w:val="line2"/>
    <w:basedOn w:val="498"/>
    <w:qFormat/>
    <w:uiPriority w:val="0"/>
    <w:pPr>
      <w:pBdr>
        <w:top w:val="thickThinSmallGap" w:color="auto" w:sz="18" w:space="1"/>
      </w:pBdr>
      <w:spacing w:before="156"/>
    </w:pPr>
  </w:style>
  <w:style w:type="paragraph" w:customStyle="1" w:styleId="498">
    <w:name w:val="line1"/>
    <w:basedOn w:val="60"/>
    <w:next w:val="497"/>
    <w:qFormat/>
    <w:uiPriority w:val="0"/>
    <w:pPr>
      <w:widowControl/>
      <w:pBdr>
        <w:top w:val="single" w:color="auto" w:sz="36" w:space="1"/>
      </w:pBdr>
      <w:spacing w:after="0"/>
      <w:jc w:val="right"/>
      <w:outlineLvl w:val="9"/>
    </w:pPr>
    <w:rPr>
      <w:rFonts w:ascii="Cambria" w:hAnsi="Cambria"/>
      <w:bCs w:val="0"/>
      <w:kern w:val="28"/>
      <w:sz w:val="40"/>
      <w:szCs w:val="20"/>
    </w:rPr>
  </w:style>
  <w:style w:type="paragraph" w:customStyle="1" w:styleId="499">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500">
    <w:name w:val="；"/>
    <w:basedOn w:val="1"/>
    <w:qFormat/>
    <w:uiPriority w:val="0"/>
    <w:pPr>
      <w:autoSpaceDE w:val="0"/>
      <w:autoSpaceDN w:val="0"/>
      <w:adjustRightInd w:val="0"/>
      <w:spacing w:line="480" w:lineRule="exact"/>
      <w:ind w:firstLine="240" w:firstLineChars="100"/>
      <w:jc w:val="left"/>
    </w:pPr>
    <w:rPr>
      <w:rFonts w:ascii="宋体" w:hAnsi="宋体"/>
      <w:color w:val="000000"/>
      <w:kern w:val="0"/>
      <w:sz w:val="24"/>
      <w:szCs w:val="21"/>
    </w:rPr>
  </w:style>
  <w:style w:type="paragraph" w:customStyle="1" w:styleId="501">
    <w:name w:val="封面标准文稿编辑信息"/>
    <w:basedOn w:val="502"/>
    <w:qFormat/>
    <w:uiPriority w:val="0"/>
    <w:pPr>
      <w:framePr w:wrap="around"/>
      <w:spacing w:before="180" w:line="180" w:lineRule="exact"/>
    </w:pPr>
    <w:rPr>
      <w:sz w:val="21"/>
    </w:rPr>
  </w:style>
  <w:style w:type="paragraph" w:customStyle="1" w:styleId="502">
    <w:name w:val="封面标准文稿类别"/>
    <w:basedOn w:val="419"/>
    <w:qFormat/>
    <w:uiPriority w:val="0"/>
    <w:pPr>
      <w:framePr w:wrap="around"/>
      <w:spacing w:after="160" w:line="240" w:lineRule="auto"/>
    </w:pPr>
    <w:rPr>
      <w:sz w:val="24"/>
    </w:rPr>
  </w:style>
  <w:style w:type="paragraph" w:customStyle="1" w:styleId="503">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4">
    <w:name w:val="第一行圆点"/>
    <w:basedOn w:val="1"/>
    <w:next w:val="1"/>
    <w:qFormat/>
    <w:uiPriority w:val="0"/>
    <w:pPr>
      <w:spacing w:line="420" w:lineRule="atLeast"/>
      <w:ind w:left="280" w:hanging="280" w:hangingChars="100"/>
    </w:pPr>
    <w:rPr>
      <w:rFonts w:hint="eastAsia" w:ascii="宋体" w:hAnsi="宋体"/>
      <w:bCs/>
      <w:kern w:val="0"/>
      <w:sz w:val="28"/>
      <w:szCs w:val="28"/>
    </w:rPr>
  </w:style>
  <w:style w:type="paragraph" w:customStyle="1" w:styleId="505">
    <w:name w:val="封面标准文稿编辑信息2"/>
    <w:basedOn w:val="501"/>
    <w:qFormat/>
    <w:uiPriority w:val="0"/>
    <w:pPr>
      <w:framePr w:wrap="around" w:y="4466"/>
    </w:pPr>
  </w:style>
  <w:style w:type="paragraph" w:customStyle="1" w:styleId="506">
    <w:name w:val="普通(Web)"/>
    <w:basedOn w:val="1"/>
    <w:qFormat/>
    <w:uiPriority w:val="0"/>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507">
    <w:name w:val="列出段落21"/>
    <w:basedOn w:val="1"/>
    <w:unhideWhenUsed/>
    <w:qFormat/>
    <w:uiPriority w:val="99"/>
    <w:pPr>
      <w:ind w:firstLine="420" w:firstLineChars="200"/>
    </w:pPr>
  </w:style>
  <w:style w:type="paragraph" w:customStyle="1" w:styleId="508">
    <w:name w:val="xl68"/>
    <w:basedOn w:val="1"/>
    <w:qFormat/>
    <w:uiPriority w:val="0"/>
    <w:pPr>
      <w:widowControl/>
      <w:pBdr>
        <w:bottom w:val="single" w:color="auto" w:sz="4" w:space="0"/>
      </w:pBdr>
      <w:spacing w:before="100" w:beforeAutospacing="1" w:after="100" w:afterAutospacing="1"/>
      <w:jc w:val="left"/>
    </w:pPr>
    <w:rPr>
      <w:rFonts w:ascii="宋体" w:hAnsi="宋体" w:cs="宋体"/>
      <w:kern w:val="0"/>
      <w:sz w:val="18"/>
      <w:szCs w:val="18"/>
    </w:rPr>
  </w:style>
  <w:style w:type="paragraph" w:customStyle="1" w:styleId="509">
    <w:name w:val="附录字母编号列项（一级）"/>
    <w:qFormat/>
    <w:uiPriority w:val="0"/>
    <w:pPr>
      <w:numPr>
        <w:ilvl w:val="6"/>
        <w:numId w:val="3"/>
      </w:numPr>
      <w:tabs>
        <w:tab w:val="left" w:pos="405"/>
      </w:tabs>
      <w:ind w:left="405" w:hanging="405"/>
    </w:pPr>
    <w:rPr>
      <w:rFonts w:ascii="宋体" w:hAnsi="Times New Roman" w:eastAsia="宋体" w:cs="Times New Roman"/>
      <w:sz w:val="21"/>
      <w:lang w:val="en-US" w:eastAsia="zh-CN" w:bidi="ar-SA"/>
    </w:rPr>
  </w:style>
  <w:style w:type="paragraph" w:customStyle="1" w:styleId="510">
    <w:name w:val="Char Char Char Char1"/>
    <w:basedOn w:val="1"/>
    <w:qFormat/>
    <w:uiPriority w:val="0"/>
    <w:pPr>
      <w:widowControl/>
      <w:spacing w:line="400" w:lineRule="exact"/>
      <w:jc w:val="center"/>
    </w:pPr>
    <w:rPr>
      <w:rFonts w:ascii="Verdana" w:hAnsi="Verdana"/>
      <w:kern w:val="0"/>
      <w:szCs w:val="20"/>
      <w:lang w:eastAsia="en-US"/>
    </w:rPr>
  </w:style>
  <w:style w:type="paragraph" w:customStyle="1" w:styleId="511">
    <w:name w:val="正文公式编号制表符"/>
    <w:basedOn w:val="112"/>
    <w:next w:val="112"/>
    <w:qFormat/>
    <w:uiPriority w:val="0"/>
    <w:pPr>
      <w:ind w:firstLine="0" w:firstLineChars="0"/>
    </w:pPr>
  </w:style>
  <w:style w:type="paragraph" w:customStyle="1" w:styleId="512">
    <w:name w:val="标准正文"/>
    <w:basedOn w:val="26"/>
    <w:qFormat/>
    <w:uiPriority w:val="0"/>
    <w:pPr>
      <w:widowControl/>
      <w:spacing w:before="60" w:after="60" w:line="360" w:lineRule="auto"/>
      <w:ind w:firstLine="482" w:firstLineChars="0"/>
      <w:jc w:val="left"/>
    </w:pPr>
    <w:rPr>
      <w:rFonts w:ascii="Arial" w:hAnsi="Arial" w:eastAsia="宋体"/>
      <w:kern w:val="0"/>
      <w:sz w:val="24"/>
    </w:rPr>
  </w:style>
  <w:style w:type="paragraph" w:customStyle="1" w:styleId="513">
    <w:name w:val="MSG_EN_FONT_STYLE_NAME_TEMPLATE_ROLE_NUMBER MSG_EN_FONT_STYLE_NAME_BY_ROLE_TEXT 6"/>
    <w:basedOn w:val="1"/>
    <w:qFormat/>
    <w:uiPriority w:val="99"/>
    <w:pPr>
      <w:shd w:val="clear" w:color="auto" w:fill="FFFFFF"/>
      <w:spacing w:line="240" w:lineRule="atLeast"/>
      <w:jc w:val="left"/>
    </w:pPr>
    <w:rPr>
      <w:sz w:val="20"/>
      <w:szCs w:val="20"/>
    </w:rPr>
  </w:style>
  <w:style w:type="paragraph" w:customStyle="1" w:styleId="514">
    <w:name w:val="文献分类号"/>
    <w:qFormat/>
    <w:uiPriority w:val="0"/>
    <w:pPr>
      <w:framePr w:hSpace="180" w:vSpace="180" w:wrap="around" w:vAnchor="margin" w:hAnchor="margin" w:yAlign="top" w:anchorLock="1"/>
      <w:widowControl w:val="0"/>
      <w:textAlignment w:val="center"/>
    </w:pPr>
    <w:rPr>
      <w:rFonts w:ascii="黑体" w:hAnsi="Times New Roman" w:eastAsia="黑体" w:cs="Times New Roman"/>
      <w:sz w:val="21"/>
      <w:szCs w:val="21"/>
      <w:lang w:val="en-US" w:eastAsia="zh-CN" w:bidi="ar-SA"/>
    </w:rPr>
  </w:style>
  <w:style w:type="paragraph" w:customStyle="1" w:styleId="515">
    <w:name w:val="项目符号1"/>
    <w:basedOn w:val="1"/>
    <w:next w:val="1"/>
    <w:qFormat/>
    <w:uiPriority w:val="0"/>
    <w:pPr>
      <w:numPr>
        <w:ilvl w:val="0"/>
        <w:numId w:val="19"/>
      </w:numPr>
      <w:tabs>
        <w:tab w:val="left" w:pos="480"/>
        <w:tab w:val="left" w:pos="840"/>
      </w:tabs>
      <w:spacing w:line="360" w:lineRule="auto"/>
      <w:ind w:left="0" w:firstLine="480" w:firstLineChars="200"/>
      <w:jc w:val="left"/>
    </w:pPr>
    <w:rPr>
      <w:rFonts w:ascii="宋体" w:hAnsi="宋体"/>
      <w:sz w:val="24"/>
      <w:szCs w:val="20"/>
    </w:rPr>
  </w:style>
  <w:style w:type="paragraph" w:customStyle="1" w:styleId="516">
    <w:name w:val="标准标志"/>
    <w:next w:val="1"/>
    <w:qFormat/>
    <w:uiPriority w:val="0"/>
    <w:pPr>
      <w:framePr w:w="2546" w:h="1389" w:hRule="exact" w:hSpace="181" w:vSpace="181" w:wrap="around" w:vAnchor="margin" w:hAnchor="margin" w:x="6519" w:y="395" w:anchorLock="1"/>
      <w:numPr>
        <w:ilvl w:val="2"/>
        <w:numId w:val="9"/>
      </w:numPr>
      <w:shd w:val="solid" w:color="FFFFFF" w:fill="FFFFFF"/>
      <w:spacing w:line="0" w:lineRule="atLeast"/>
      <w:ind w:left="0" w:firstLine="0"/>
      <w:jc w:val="right"/>
    </w:pPr>
    <w:rPr>
      <w:rFonts w:ascii="Times New Roman" w:hAnsi="Times New Roman" w:eastAsia="宋体" w:cs="Times New Roman"/>
      <w:b/>
      <w:w w:val="170"/>
      <w:sz w:val="96"/>
      <w:szCs w:val="96"/>
      <w:lang w:val="en-US" w:eastAsia="zh-CN" w:bidi="ar-SA"/>
    </w:rPr>
  </w:style>
  <w:style w:type="paragraph" w:customStyle="1" w:styleId="517">
    <w:name w:val="排序"/>
    <w:basedOn w:val="1"/>
    <w:qFormat/>
    <w:uiPriority w:val="0"/>
    <w:pPr>
      <w:widowControl/>
      <w:tabs>
        <w:tab w:val="left" w:pos="0"/>
        <w:tab w:val="left" w:pos="3405"/>
      </w:tabs>
      <w:autoSpaceDE w:val="0"/>
      <w:autoSpaceDN w:val="0"/>
      <w:adjustRightInd w:val="0"/>
      <w:snapToGrid w:val="0"/>
      <w:spacing w:line="300" w:lineRule="auto"/>
      <w:ind w:left="3405" w:hanging="1425"/>
      <w:jc w:val="left"/>
      <w:textAlignment w:val="baseline"/>
    </w:pPr>
    <w:rPr>
      <w:rFonts w:ascii="宋体"/>
      <w:kern w:val="0"/>
      <w:sz w:val="24"/>
      <w:szCs w:val="20"/>
    </w:rPr>
  </w:style>
  <w:style w:type="paragraph" w:customStyle="1" w:styleId="518">
    <w:name w:val="正文（首行缩进）"/>
    <w:basedOn w:val="1"/>
    <w:qFormat/>
    <w:uiPriority w:val="0"/>
    <w:pPr>
      <w:adjustRightInd w:val="0"/>
      <w:snapToGrid w:val="0"/>
      <w:spacing w:line="300" w:lineRule="auto"/>
      <w:ind w:firstLine="200" w:firstLineChars="200"/>
    </w:pPr>
    <w:rPr>
      <w:sz w:val="28"/>
      <w:szCs w:val="20"/>
    </w:rPr>
  </w:style>
  <w:style w:type="paragraph" w:customStyle="1" w:styleId="519">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20">
    <w:name w:val="样式 附录一级条标题 + 自动设置"/>
    <w:basedOn w:val="1"/>
    <w:qFormat/>
    <w:uiPriority w:val="0"/>
    <w:pPr>
      <w:widowControl/>
      <w:overflowPunct w:val="0"/>
      <w:autoSpaceDE w:val="0"/>
      <w:autoSpaceDN w:val="0"/>
      <w:spacing w:line="312" w:lineRule="auto"/>
      <w:jc w:val="left"/>
      <w:textAlignment w:val="baseline"/>
      <w:outlineLvl w:val="2"/>
    </w:pPr>
    <w:rPr>
      <w:rFonts w:ascii="黑体" w:eastAsia="黑体"/>
      <w:bCs/>
      <w:kern w:val="21"/>
      <w:szCs w:val="21"/>
    </w:rPr>
  </w:style>
  <w:style w:type="paragraph" w:customStyle="1" w:styleId="521">
    <w:name w:val="style1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22">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523">
    <w:name w:val="附录图标号"/>
    <w:basedOn w:val="1"/>
    <w:qFormat/>
    <w:uiPriority w:val="0"/>
    <w:pPr>
      <w:keepNext/>
      <w:pageBreakBefore/>
      <w:widowControl/>
      <w:numPr>
        <w:ilvl w:val="0"/>
        <w:numId w:val="20"/>
      </w:numPr>
      <w:tabs>
        <w:tab w:val="left" w:pos="840"/>
      </w:tabs>
      <w:spacing w:line="14" w:lineRule="exact"/>
      <w:ind w:firstLine="363"/>
      <w:jc w:val="center"/>
      <w:outlineLvl w:val="0"/>
    </w:pPr>
    <w:rPr>
      <w:color w:val="FFFFFF"/>
    </w:rPr>
  </w:style>
  <w:style w:type="paragraph" w:customStyle="1" w:styleId="524">
    <w:name w:val="bianhao4"/>
    <w:basedOn w:val="525"/>
    <w:qFormat/>
    <w:uiPriority w:val="0"/>
    <w:pPr>
      <w:tabs>
        <w:tab w:val="left" w:pos="425"/>
        <w:tab w:val="left" w:pos="1260"/>
      </w:tabs>
    </w:pPr>
  </w:style>
  <w:style w:type="paragraph" w:customStyle="1" w:styleId="525">
    <w:name w:val="bianhao5"/>
    <w:basedOn w:val="248"/>
    <w:qFormat/>
    <w:uiPriority w:val="0"/>
    <w:pPr>
      <w:tabs>
        <w:tab w:val="left" w:pos="425"/>
        <w:tab w:val="left" w:pos="1260"/>
      </w:tabs>
      <w:ind w:left="1260" w:leftChars="0" w:hanging="425" w:firstLineChars="0"/>
    </w:pPr>
  </w:style>
  <w:style w:type="paragraph" w:customStyle="1" w:styleId="526">
    <w:name w:val="封面标准号2"/>
    <w:qFormat/>
    <w:uiPriority w:val="0"/>
    <w:pPr>
      <w:framePr w:w="9140" w:h="1242" w:hRule="exact" w:hSpace="284" w:wrap="around" w:vAnchor="page" w:hAnchor="page" w:x="1642" w:y="2907" w:anchorLock="1"/>
      <w:numPr>
        <w:ilvl w:val="5"/>
        <w:numId w:val="14"/>
      </w:numPr>
      <w:spacing w:before="357" w:line="280" w:lineRule="exact"/>
      <w:jc w:val="right"/>
    </w:pPr>
    <w:rPr>
      <w:rFonts w:ascii="黑体" w:hAnsi="Times New Roman" w:eastAsia="黑体" w:cs="Times New Roman"/>
      <w:sz w:val="28"/>
      <w:szCs w:val="28"/>
      <w:lang w:val="en-US" w:eastAsia="zh-CN" w:bidi="ar-SA"/>
    </w:rPr>
  </w:style>
  <w:style w:type="paragraph" w:customStyle="1" w:styleId="527">
    <w:name w:val="1"/>
    <w:basedOn w:val="1"/>
    <w:next w:val="32"/>
    <w:qFormat/>
    <w:uiPriority w:val="0"/>
    <w:rPr>
      <w:rFonts w:ascii="宋体" w:hAnsi="Courier New"/>
      <w:szCs w:val="20"/>
    </w:rPr>
  </w:style>
  <w:style w:type="paragraph" w:customStyle="1" w:styleId="528">
    <w:name w:val="办公自动化专用标题"/>
    <w:basedOn w:val="60"/>
    <w:qFormat/>
    <w:uiPriority w:val="0"/>
    <w:pPr>
      <w:spacing w:line="560" w:lineRule="atLeast"/>
    </w:pPr>
    <w:rPr>
      <w:rFonts w:ascii="宋体"/>
      <w:bCs w:val="0"/>
      <w:sz w:val="44"/>
      <w:szCs w:val="20"/>
    </w:rPr>
  </w:style>
  <w:style w:type="paragraph" w:customStyle="1" w:styleId="529">
    <w:name w:val="Char Char2 Char1"/>
    <w:basedOn w:val="1"/>
    <w:qFormat/>
    <w:uiPriority w:val="0"/>
    <w:rPr>
      <w:rFonts w:ascii="宋体" w:hAnsi="宋体"/>
      <w:b/>
      <w:sz w:val="28"/>
      <w:szCs w:val="28"/>
    </w:rPr>
  </w:style>
  <w:style w:type="paragraph" w:customStyle="1" w:styleId="530">
    <w:name w:val="四级无"/>
    <w:basedOn w:val="531"/>
    <w:qFormat/>
    <w:uiPriority w:val="0"/>
    <w:pPr>
      <w:numPr>
        <w:numId w:val="21"/>
      </w:numPr>
      <w:tabs>
        <w:tab w:val="left" w:pos="0"/>
        <w:tab w:val="left" w:pos="420"/>
        <w:tab w:val="left" w:pos="735"/>
        <w:tab w:val="left" w:pos="840"/>
        <w:tab w:val="left" w:pos="1137"/>
        <w:tab w:val="left" w:pos="1200"/>
      </w:tabs>
    </w:pPr>
    <w:rPr>
      <w:rFonts w:ascii="宋体" w:eastAsia="宋体"/>
    </w:rPr>
  </w:style>
  <w:style w:type="paragraph" w:customStyle="1" w:styleId="531">
    <w:name w:val="四级条标题"/>
    <w:basedOn w:val="532"/>
    <w:next w:val="1"/>
    <w:qFormat/>
    <w:uiPriority w:val="0"/>
    <w:pPr>
      <w:numPr>
        <w:ilvl w:val="0"/>
      </w:numPr>
      <w:tabs>
        <w:tab w:val="left" w:pos="0"/>
        <w:tab w:val="left" w:pos="420"/>
        <w:tab w:val="left" w:pos="735"/>
        <w:tab w:val="left" w:pos="840"/>
        <w:tab w:val="left" w:pos="1137"/>
      </w:tabs>
      <w:outlineLvl w:val="5"/>
    </w:pPr>
  </w:style>
  <w:style w:type="paragraph" w:customStyle="1" w:styleId="532">
    <w:name w:val="三级条标题"/>
    <w:basedOn w:val="533"/>
    <w:next w:val="1"/>
    <w:qFormat/>
    <w:uiPriority w:val="0"/>
    <w:pPr>
      <w:numPr>
        <w:ilvl w:val="1"/>
        <w:numId w:val="14"/>
      </w:numPr>
      <w:tabs>
        <w:tab w:val="left" w:pos="0"/>
        <w:tab w:val="left" w:pos="420"/>
        <w:tab w:val="left" w:pos="735"/>
        <w:tab w:val="left" w:pos="1137"/>
      </w:tabs>
      <w:outlineLvl w:val="4"/>
    </w:pPr>
  </w:style>
  <w:style w:type="paragraph" w:customStyle="1" w:styleId="533">
    <w:name w:val="二级条标题"/>
    <w:basedOn w:val="534"/>
    <w:next w:val="1"/>
    <w:qFormat/>
    <w:uiPriority w:val="0"/>
    <w:pPr>
      <w:numPr>
        <w:ilvl w:val="0"/>
        <w:numId w:val="22"/>
      </w:numPr>
      <w:tabs>
        <w:tab w:val="left" w:pos="420"/>
        <w:tab w:val="left" w:pos="735"/>
        <w:tab w:val="left" w:pos="1137"/>
      </w:tabs>
      <w:spacing w:before="50" w:after="50"/>
      <w:ind w:left="735" w:hanging="735"/>
      <w:outlineLvl w:val="3"/>
    </w:pPr>
  </w:style>
  <w:style w:type="paragraph" w:customStyle="1" w:styleId="534">
    <w:name w:val="一级条标题"/>
    <w:next w:val="1"/>
    <w:qFormat/>
    <w:uiPriority w:val="0"/>
    <w:pPr>
      <w:numPr>
        <w:ilvl w:val="1"/>
        <w:numId w:val="23"/>
      </w:numPr>
      <w:tabs>
        <w:tab w:val="left" w:pos="1137"/>
      </w:tabs>
      <w:spacing w:beforeLines="50" w:afterLines="50"/>
      <w:outlineLvl w:val="2"/>
    </w:pPr>
    <w:rPr>
      <w:rFonts w:ascii="黑体" w:hAnsi="Times New Roman" w:eastAsia="黑体" w:cs="Times New Roman"/>
      <w:sz w:val="21"/>
      <w:szCs w:val="21"/>
      <w:lang w:val="en-US" w:eastAsia="zh-CN" w:bidi="ar-SA"/>
    </w:rPr>
  </w:style>
  <w:style w:type="paragraph" w:customStyle="1" w:styleId="535">
    <w:name w:val="注×："/>
    <w:qFormat/>
    <w:uiPriority w:val="0"/>
    <w:pPr>
      <w:widowControl w:val="0"/>
      <w:numPr>
        <w:ilvl w:val="2"/>
        <w:numId w:val="16"/>
      </w:numPr>
      <w:tabs>
        <w:tab w:val="left" w:pos="2581"/>
      </w:tabs>
      <w:autoSpaceDE w:val="0"/>
      <w:autoSpaceDN w:val="0"/>
      <w:ind w:left="431" w:hanging="431"/>
      <w:jc w:val="both"/>
    </w:pPr>
    <w:rPr>
      <w:rFonts w:ascii="宋体" w:hAnsi="Times New Roman" w:eastAsia="宋体" w:cs="Times New Roman"/>
      <w:sz w:val="18"/>
      <w:szCs w:val="18"/>
      <w:lang w:val="en-US" w:eastAsia="zh-CN" w:bidi="ar-SA"/>
    </w:rPr>
  </w:style>
  <w:style w:type="paragraph" w:customStyle="1" w:styleId="536">
    <w:name w:val="xl3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537">
    <w:name w:val="列项说明"/>
    <w:basedOn w:val="1"/>
    <w:qFormat/>
    <w:uiPriority w:val="0"/>
    <w:pPr>
      <w:numPr>
        <w:ilvl w:val="1"/>
        <w:numId w:val="3"/>
      </w:numPr>
      <w:adjustRightInd w:val="0"/>
      <w:spacing w:line="320" w:lineRule="exact"/>
      <w:ind w:left="400" w:leftChars="200" w:hanging="200" w:hangingChars="200"/>
      <w:jc w:val="left"/>
      <w:textAlignment w:val="baseline"/>
    </w:pPr>
    <w:rPr>
      <w:rFonts w:ascii="宋体"/>
      <w:kern w:val="0"/>
      <w:szCs w:val="20"/>
    </w:rPr>
  </w:style>
  <w:style w:type="paragraph" w:customStyle="1" w:styleId="538">
    <w:name w:val="样式 样式 样式 样式 样式 宋体 小四 左 段前: 5 磅 段后: 5 磅 左  2 字符 + 首行缩进:  2 字符 + 首...1"/>
    <w:basedOn w:val="539"/>
    <w:qFormat/>
    <w:uiPriority w:val="0"/>
    <w:pPr>
      <w:ind w:firstLine="480"/>
    </w:pPr>
  </w:style>
  <w:style w:type="paragraph" w:customStyle="1" w:styleId="539">
    <w:name w:val="样式 样式 样式 样式 宋体 小四 左 段前: 5 磅 段后: 5 磅 左  2 字符 + 首行缩进:  2 字符 + 首行缩进..."/>
    <w:basedOn w:val="540"/>
    <w:qFormat/>
    <w:uiPriority w:val="0"/>
  </w:style>
  <w:style w:type="paragraph" w:customStyle="1" w:styleId="540">
    <w:name w:val="样式 样式 样式 宋体 小四 左 段前: 5 磅 段后: 5 磅 左  2 字符 + 首行缩进:  2 字符 + 首行缩进:  ..."/>
    <w:basedOn w:val="541"/>
    <w:qFormat/>
    <w:uiPriority w:val="0"/>
    <w:pPr>
      <w:spacing w:before="120" w:after="120"/>
    </w:pPr>
  </w:style>
  <w:style w:type="paragraph" w:customStyle="1" w:styleId="541">
    <w:name w:val="样式 样式 宋体 小四 左 段前: 5 磅 段后: 5 磅 左  2 字符 + 首行缩进:  2 字符"/>
    <w:basedOn w:val="542"/>
    <w:qFormat/>
    <w:uiPriority w:val="0"/>
    <w:pPr>
      <w:jc w:val="both"/>
    </w:pPr>
  </w:style>
  <w:style w:type="paragraph" w:customStyle="1" w:styleId="542">
    <w:name w:val="样式 宋体 小四 左 段前: 5 磅 段后: 5 磅 左  2 字符"/>
    <w:basedOn w:val="1"/>
    <w:qFormat/>
    <w:uiPriority w:val="0"/>
    <w:pPr>
      <w:spacing w:before="100" w:afterLines="50"/>
      <w:ind w:firstLine="200" w:firstLineChars="200"/>
      <w:jc w:val="left"/>
    </w:pPr>
    <w:rPr>
      <w:kern w:val="0"/>
      <w:sz w:val="24"/>
      <w:szCs w:val="21"/>
    </w:rPr>
  </w:style>
  <w:style w:type="paragraph" w:customStyle="1" w:styleId="543">
    <w:name w:val="样式 小四 首行缩进:  0.85 厘米 段前: 5 磅 段后: 5 磅"/>
    <w:basedOn w:val="1"/>
    <w:qFormat/>
    <w:uiPriority w:val="0"/>
    <w:pPr>
      <w:spacing w:before="100" w:afterLines="50"/>
      <w:ind w:firstLine="482" w:firstLineChars="200"/>
    </w:pPr>
    <w:rPr>
      <w:kern w:val="0"/>
      <w:sz w:val="24"/>
      <w:szCs w:val="21"/>
    </w:rPr>
  </w:style>
  <w:style w:type="paragraph" w:customStyle="1" w:styleId="544">
    <w:name w:val="正文_17"/>
    <w:basedOn w:val="1"/>
    <w:qFormat/>
    <w:uiPriority w:val="99"/>
  </w:style>
  <w:style w:type="paragraph" w:customStyle="1" w:styleId="545">
    <w:name w:val="样式 题注 + 居中 首行缩进:  2 字符"/>
    <w:basedOn w:val="16"/>
    <w:qFormat/>
    <w:uiPriority w:val="0"/>
    <w:pPr>
      <w:spacing w:line="360" w:lineRule="auto"/>
      <w:ind w:firstLine="400" w:firstLineChars="200"/>
      <w:jc w:val="center"/>
    </w:pPr>
    <w:rPr>
      <w:rFonts w:eastAsia="宋体"/>
      <w:kern w:val="0"/>
    </w:rPr>
  </w:style>
  <w:style w:type="paragraph" w:customStyle="1" w:styleId="546">
    <w:name w:val="附录表标号"/>
    <w:basedOn w:val="1"/>
    <w:next w:val="112"/>
    <w:qFormat/>
    <w:uiPriority w:val="0"/>
    <w:pPr>
      <w:numPr>
        <w:ilvl w:val="0"/>
        <w:numId w:val="24"/>
      </w:numPr>
      <w:tabs>
        <w:tab w:val="left" w:pos="630"/>
      </w:tabs>
      <w:spacing w:line="14" w:lineRule="exact"/>
      <w:ind w:left="811" w:hanging="448"/>
      <w:jc w:val="center"/>
      <w:outlineLvl w:val="0"/>
    </w:pPr>
    <w:rPr>
      <w:color w:val="FFFFFF"/>
    </w:rPr>
  </w:style>
  <w:style w:type="paragraph" w:customStyle="1" w:styleId="547">
    <w:name w:val="样式 样式 正文首行缩进 + (符号) 宋体 + 左侧:  2 字符 首行缩进:  2 字符"/>
    <w:basedOn w:val="1"/>
    <w:qFormat/>
    <w:uiPriority w:val="0"/>
    <w:pPr>
      <w:spacing w:line="360" w:lineRule="auto"/>
      <w:ind w:firstLine="200" w:firstLineChars="200"/>
      <w:jc w:val="left"/>
    </w:pPr>
    <w:rPr>
      <w:rFonts w:hAnsi="宋体"/>
      <w:kern w:val="0"/>
      <w:szCs w:val="20"/>
      <w:lang w:eastAsia="en-US"/>
    </w:rPr>
  </w:style>
  <w:style w:type="paragraph" w:customStyle="1" w:styleId="548">
    <w:name w:val="样式 样式 题注 + 居中 首行缩进:  2 字符 + 首行缩进:  2 字符"/>
    <w:basedOn w:val="545"/>
    <w:qFormat/>
    <w:uiPriority w:val="0"/>
    <w:pPr>
      <w:ind w:firstLine="420"/>
    </w:pPr>
    <w:rPr>
      <w:sz w:val="24"/>
    </w:rPr>
  </w:style>
  <w:style w:type="paragraph" w:customStyle="1" w:styleId="549">
    <w:name w:val="D文1"/>
    <w:basedOn w:val="1"/>
    <w:qFormat/>
    <w:uiPriority w:val="0"/>
    <w:pPr>
      <w:tabs>
        <w:tab w:val="left" w:pos="720"/>
      </w:tabs>
      <w:autoSpaceDE w:val="0"/>
      <w:autoSpaceDN w:val="0"/>
      <w:adjustRightInd w:val="0"/>
      <w:spacing w:after="120" w:line="480" w:lineRule="atLeast"/>
      <w:ind w:left="680" w:firstLine="510"/>
    </w:pPr>
    <w:rPr>
      <w:rFonts w:ascii="宋体"/>
      <w:kern w:val="0"/>
      <w:sz w:val="24"/>
      <w:szCs w:val="20"/>
    </w:rPr>
  </w:style>
  <w:style w:type="paragraph" w:customStyle="1" w:styleId="550">
    <w:name w:val="D标4"/>
    <w:basedOn w:val="1"/>
    <w:next w:val="549"/>
    <w:qFormat/>
    <w:uiPriority w:val="0"/>
    <w:pPr>
      <w:tabs>
        <w:tab w:val="left" w:pos="1140"/>
      </w:tabs>
      <w:autoSpaceDE w:val="0"/>
      <w:autoSpaceDN w:val="0"/>
      <w:adjustRightInd w:val="0"/>
      <w:spacing w:before="120" w:line="480" w:lineRule="atLeast"/>
      <w:ind w:left="1140" w:hanging="1140"/>
    </w:pPr>
    <w:rPr>
      <w:rFonts w:ascii="宋体"/>
      <w:kern w:val="0"/>
      <w:sz w:val="24"/>
      <w:szCs w:val="20"/>
    </w:rPr>
  </w:style>
  <w:style w:type="paragraph" w:customStyle="1" w:styleId="551">
    <w:name w:val="标准书眉_奇数页"/>
    <w:next w:val="1"/>
    <w:qFormat/>
    <w:uiPriority w:val="0"/>
    <w:pPr>
      <w:tabs>
        <w:tab w:val="center" w:pos="4154"/>
        <w:tab w:val="right" w:pos="8306"/>
      </w:tabs>
      <w:spacing w:after="220"/>
      <w:ind w:left="576" w:hanging="576"/>
      <w:jc w:val="right"/>
    </w:pPr>
    <w:rPr>
      <w:rFonts w:ascii="黑体" w:hAnsi="Times New Roman" w:eastAsia="黑体" w:cs="Times New Roman"/>
      <w:sz w:val="21"/>
      <w:szCs w:val="21"/>
      <w:lang w:val="en-US" w:eastAsia="zh-CN" w:bidi="ar-SA"/>
    </w:rPr>
  </w:style>
  <w:style w:type="paragraph" w:customStyle="1" w:styleId="552">
    <w:name w:val="style8"/>
    <w:basedOn w:val="1"/>
    <w:qFormat/>
    <w:uiPriority w:val="0"/>
    <w:pPr>
      <w:widowControl/>
      <w:spacing w:before="100" w:beforeAutospacing="1" w:after="100" w:afterAutospacing="1"/>
      <w:jc w:val="left"/>
    </w:pPr>
    <w:rPr>
      <w:rFonts w:ascii="宋体" w:hAnsi="宋体" w:cs="宋体"/>
      <w:b/>
      <w:bCs/>
      <w:color w:val="0000FF"/>
      <w:kern w:val="0"/>
      <w:sz w:val="18"/>
      <w:szCs w:val="18"/>
    </w:rPr>
  </w:style>
  <w:style w:type="paragraph" w:customStyle="1" w:styleId="553">
    <w:name w:val="参考文献、索引标题"/>
    <w:basedOn w:val="1"/>
    <w:next w:val="112"/>
    <w:qFormat/>
    <w:uiPriority w:val="0"/>
    <w:pPr>
      <w:keepNext/>
      <w:pageBreakBefore/>
      <w:widowControl/>
      <w:numPr>
        <w:ilvl w:val="0"/>
        <w:numId w:val="25"/>
      </w:numPr>
      <w:shd w:val="clear" w:color="FFFFFF" w:fill="FFFFFF"/>
      <w:tabs>
        <w:tab w:val="left" w:pos="720"/>
      </w:tabs>
      <w:spacing w:before="640" w:after="200"/>
      <w:ind w:left="0" w:firstLine="0"/>
      <w:jc w:val="center"/>
      <w:outlineLvl w:val="0"/>
    </w:pPr>
    <w:rPr>
      <w:rFonts w:ascii="黑体" w:eastAsia="黑体"/>
      <w:kern w:val="0"/>
      <w:szCs w:val="20"/>
    </w:rPr>
  </w:style>
  <w:style w:type="paragraph" w:customStyle="1" w:styleId="554">
    <w:name w:val="xl69"/>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55">
    <w:name w:val="正文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556">
    <w:name w:val="IBM Response L1 Bul 1 Char"/>
    <w:qFormat/>
    <w:uiPriority w:val="0"/>
    <w:pPr>
      <w:tabs>
        <w:tab w:val="left" w:pos="360"/>
      </w:tabs>
      <w:spacing w:before="120" w:after="120"/>
      <w:ind w:left="360" w:hanging="360"/>
    </w:pPr>
    <w:rPr>
      <w:rFonts w:ascii="Helvetica" w:hAnsi="Helvetica" w:eastAsia="宋体" w:cs="Times New Roman"/>
      <w:color w:val="333399"/>
      <w:sz w:val="24"/>
      <w:szCs w:val="24"/>
      <w:lang w:val="en-US" w:eastAsia="en-US" w:bidi="ar-SA"/>
    </w:rPr>
  </w:style>
  <w:style w:type="paragraph" w:customStyle="1" w:styleId="557">
    <w:name w:val="正文(首行缩进)"/>
    <w:basedOn w:val="442"/>
    <w:qFormat/>
    <w:uiPriority w:val="0"/>
    <w:pPr>
      <w:spacing w:line="360" w:lineRule="auto"/>
      <w:ind w:firstLine="200" w:firstLineChars="200"/>
    </w:pPr>
    <w:rPr>
      <w:rFonts w:ascii="Arial Narrow" w:hAnsi="Arial Narrow" w:eastAsia="楷体_GB2312"/>
      <w:sz w:val="24"/>
    </w:rPr>
  </w:style>
  <w:style w:type="paragraph" w:customStyle="1" w:styleId="558">
    <w:name w:val="普通标题"/>
    <w:basedOn w:val="1"/>
    <w:next w:val="15"/>
    <w:qFormat/>
    <w:uiPriority w:val="0"/>
    <w:pPr>
      <w:pageBreakBefore/>
      <w:spacing w:beforeLines="200" w:afterLines="100"/>
      <w:jc w:val="center"/>
    </w:pPr>
    <w:rPr>
      <w:rFonts w:ascii="Arial" w:hAnsi="Arial" w:eastAsia="黑体"/>
      <w:b/>
      <w:sz w:val="32"/>
      <w:szCs w:val="32"/>
    </w:rPr>
  </w:style>
  <w:style w:type="paragraph" w:customStyle="1" w:styleId="559">
    <w:name w:val="其他标准标志"/>
    <w:basedOn w:val="516"/>
    <w:qFormat/>
    <w:uiPriority w:val="0"/>
    <w:pPr>
      <w:framePr w:w="6101" w:wrap="around" w:vAnchor="page" w:hAnchor="page" w:x="4670" w:y="939"/>
    </w:pPr>
    <w:rPr>
      <w:w w:val="130"/>
    </w:rPr>
  </w:style>
  <w:style w:type="paragraph" w:customStyle="1" w:styleId="560">
    <w:name w:val="附录数字编号列项（二级）"/>
    <w:qFormat/>
    <w:uiPriority w:val="0"/>
    <w:pPr>
      <w:numPr>
        <w:ilvl w:val="1"/>
        <w:numId w:val="26"/>
      </w:numPr>
      <w:tabs>
        <w:tab w:val="left" w:pos="840"/>
      </w:tabs>
      <w:ind w:left="839" w:hanging="419"/>
    </w:pPr>
    <w:rPr>
      <w:rFonts w:ascii="宋体" w:hAnsi="Times New Roman" w:eastAsia="宋体" w:cs="Times New Roman"/>
      <w:sz w:val="21"/>
      <w:lang w:val="en-US" w:eastAsia="zh-CN" w:bidi="ar-SA"/>
    </w:rPr>
  </w:style>
  <w:style w:type="paragraph" w:customStyle="1" w:styleId="561">
    <w:name w:val="封面标准代替信息"/>
    <w:qFormat/>
    <w:uiPriority w:val="0"/>
    <w:pPr>
      <w:framePr w:w="9140" w:h="1242" w:hRule="exact" w:hSpace="284" w:wrap="around" w:vAnchor="page" w:hAnchor="page" w:x="1642" w:y="2907" w:anchorLock="1"/>
      <w:spacing w:before="57" w:line="280" w:lineRule="exact"/>
      <w:jc w:val="right"/>
    </w:pPr>
    <w:rPr>
      <w:rFonts w:ascii="宋体" w:hAnsi="Times New Roman" w:eastAsia="宋体" w:cs="Times New Roman"/>
      <w:sz w:val="21"/>
      <w:szCs w:val="21"/>
      <w:lang w:val="en-US" w:eastAsia="zh-CN" w:bidi="ar-SA"/>
    </w:rPr>
  </w:style>
  <w:style w:type="paragraph" w:customStyle="1" w:styleId="562">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563">
    <w:name w:val="修订1"/>
    <w:semiHidden/>
    <w:qFormat/>
    <w:uiPriority w:val="0"/>
    <w:rPr>
      <w:rFonts w:ascii="Times New Roman" w:hAnsi="Times New Roman" w:eastAsia="宋体" w:cs="Times New Roman"/>
      <w:kern w:val="2"/>
      <w:sz w:val="21"/>
      <w:szCs w:val="24"/>
      <w:lang w:val="en-US" w:eastAsia="zh-CN" w:bidi="ar-SA"/>
    </w:rPr>
  </w:style>
  <w:style w:type="paragraph" w:customStyle="1" w:styleId="564">
    <w:name w:val="TOC 标题1"/>
    <w:basedOn w:val="3"/>
    <w:next w:val="1"/>
    <w:qFormat/>
    <w:uiPriority w:val="39"/>
    <w:pPr>
      <w:widowControl/>
      <w:spacing w:before="480" w:after="0" w:line="276" w:lineRule="auto"/>
      <w:jc w:val="left"/>
      <w:outlineLvl w:val="9"/>
    </w:pPr>
    <w:rPr>
      <w:rFonts w:ascii="Cambria" w:hAnsi="Cambria"/>
      <w:b w:val="0"/>
      <w:bCs w:val="0"/>
      <w:color w:val="365F91"/>
      <w:kern w:val="0"/>
      <w:sz w:val="28"/>
      <w:szCs w:val="28"/>
    </w:rPr>
  </w:style>
  <w:style w:type="paragraph" w:customStyle="1" w:styleId="565">
    <w:name w:val="样式 四号 首行缩进:  1.01 厘米"/>
    <w:basedOn w:val="1"/>
    <w:qFormat/>
    <w:uiPriority w:val="0"/>
    <w:pPr>
      <w:tabs>
        <w:tab w:val="left" w:pos="425"/>
        <w:tab w:val="left" w:pos="995"/>
      </w:tabs>
      <w:ind w:left="425" w:hanging="425"/>
    </w:pPr>
    <w:rPr>
      <w:sz w:val="28"/>
      <w:szCs w:val="20"/>
    </w:rPr>
  </w:style>
  <w:style w:type="paragraph" w:customStyle="1" w:styleId="566">
    <w:name w:val="__正文"/>
    <w:basedOn w:val="1"/>
    <w:next w:val="1"/>
    <w:qFormat/>
    <w:uiPriority w:val="0"/>
    <w:pPr>
      <w:spacing w:line="360" w:lineRule="auto"/>
      <w:ind w:firstLine="200" w:firstLineChars="200"/>
    </w:pPr>
    <w:rPr>
      <w:sz w:val="24"/>
    </w:rPr>
  </w:style>
  <w:style w:type="paragraph" w:customStyle="1" w:styleId="567">
    <w:name w:val="bianhao3"/>
    <w:basedOn w:val="383"/>
    <w:qFormat/>
    <w:uiPriority w:val="0"/>
    <w:pPr>
      <w:tabs>
        <w:tab w:val="left" w:pos="425"/>
        <w:tab w:val="left" w:pos="840"/>
      </w:tabs>
      <w:ind w:left="840" w:hanging="425"/>
    </w:pPr>
  </w:style>
  <w:style w:type="paragraph" w:customStyle="1" w:styleId="568">
    <w:name w:val="样式 题注 + 首行缩进:  2 字符1"/>
    <w:basedOn w:val="16"/>
    <w:qFormat/>
    <w:uiPriority w:val="0"/>
    <w:pPr>
      <w:spacing w:line="360" w:lineRule="auto"/>
      <w:ind w:firstLine="200" w:firstLineChars="200"/>
      <w:jc w:val="center"/>
    </w:pPr>
    <w:rPr>
      <w:rFonts w:ascii="Times New Roman" w:hAnsi="Times New Roman" w:eastAsia="宋体"/>
      <w:kern w:val="0"/>
      <w:sz w:val="24"/>
    </w:rPr>
  </w:style>
  <w:style w:type="paragraph" w:customStyle="1" w:styleId="569">
    <w:name w:val="附录图标题"/>
    <w:basedOn w:val="1"/>
    <w:next w:val="112"/>
    <w:qFormat/>
    <w:uiPriority w:val="0"/>
    <w:pPr>
      <w:numPr>
        <w:ilvl w:val="4"/>
        <w:numId w:val="3"/>
      </w:numPr>
      <w:tabs>
        <w:tab w:val="left" w:pos="363"/>
        <w:tab w:val="left" w:pos="420"/>
      </w:tabs>
      <w:spacing w:beforeLines="50" w:afterLines="50"/>
      <w:jc w:val="center"/>
    </w:pPr>
    <w:rPr>
      <w:rFonts w:ascii="黑体" w:eastAsia="黑体"/>
      <w:szCs w:val="21"/>
    </w:rPr>
  </w:style>
  <w:style w:type="paragraph" w:customStyle="1" w:styleId="57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1">
    <w:name w:val="前言、引言标题"/>
    <w:next w:val="11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7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73">
    <w:name w:val="样式 样式1 + 左侧:  0.67 字符"/>
    <w:basedOn w:val="460"/>
    <w:qFormat/>
    <w:uiPriority w:val="0"/>
    <w:pPr>
      <w:tabs>
        <w:tab w:val="left" w:pos="425"/>
      </w:tabs>
      <w:suppressAutoHyphens/>
      <w:adjustRightInd/>
      <w:spacing w:line="360" w:lineRule="auto"/>
      <w:ind w:left="141" w:firstLine="566"/>
      <w:textAlignment w:val="auto"/>
    </w:pPr>
    <w:rPr>
      <w:rFonts w:cs="宋体"/>
      <w:kern w:val="1"/>
      <w:sz w:val="24"/>
      <w:szCs w:val="28"/>
      <w:lang w:eastAsia="ar-SA"/>
    </w:rPr>
  </w:style>
  <w:style w:type="paragraph" w:customStyle="1" w:styleId="574">
    <w:name w:val="msolistparagraph"/>
    <w:basedOn w:val="1"/>
    <w:qFormat/>
    <w:uiPriority w:val="0"/>
    <w:pPr>
      <w:ind w:firstLine="420" w:firstLineChars="200"/>
    </w:pPr>
  </w:style>
  <w:style w:type="paragraph" w:customStyle="1" w:styleId="575">
    <w:name w:val="xl34"/>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576">
    <w:name w:val="Char121"/>
    <w:basedOn w:val="1"/>
    <w:qFormat/>
    <w:uiPriority w:val="0"/>
    <w:rPr>
      <w:szCs w:val="20"/>
    </w:rPr>
  </w:style>
  <w:style w:type="paragraph" w:customStyle="1" w:styleId="57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579">
    <w:name w:val="信息标题2"/>
    <w:basedOn w:val="16"/>
    <w:next w:val="16"/>
    <w:qFormat/>
    <w:uiPriority w:val="0"/>
    <w:pPr>
      <w:spacing w:beforeLines="50" w:afterLines="50"/>
      <w:ind w:left="422" w:hanging="422" w:hangingChars="200"/>
      <w:jc w:val="left"/>
    </w:pPr>
    <w:rPr>
      <w:rFonts w:ascii="Arial Black" w:hAnsi="Arial Black" w:eastAsia="宋体"/>
      <w:b/>
      <w:bCs/>
      <w:kern w:val="0"/>
      <w:sz w:val="30"/>
    </w:rPr>
  </w:style>
  <w:style w:type="paragraph" w:customStyle="1" w:styleId="580">
    <w:name w:val="Char Char Char Char2"/>
    <w:basedOn w:val="1"/>
    <w:qFormat/>
    <w:uiPriority w:val="0"/>
    <w:rPr>
      <w:rFonts w:ascii="Tahoma" w:hAnsi="Tahoma"/>
      <w:sz w:val="24"/>
      <w:szCs w:val="20"/>
    </w:rPr>
  </w:style>
  <w:style w:type="paragraph" w:customStyle="1" w:styleId="581">
    <w:name w:val="标题（无编号）"/>
    <w:basedOn w:val="6"/>
    <w:qFormat/>
    <w:uiPriority w:val="0"/>
    <w:pPr>
      <w:tabs>
        <w:tab w:val="left" w:pos="425"/>
      </w:tabs>
      <w:spacing w:beforeLines="100" w:afterLines="100" w:line="240" w:lineRule="auto"/>
      <w:jc w:val="left"/>
    </w:pPr>
    <w:rPr>
      <w:sz w:val="30"/>
    </w:rPr>
  </w:style>
  <w:style w:type="paragraph" w:customStyle="1" w:styleId="582">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3">
    <w:name w:val="题注4"/>
    <w:basedOn w:val="1"/>
    <w:next w:val="16"/>
    <w:qFormat/>
    <w:uiPriority w:val="0"/>
    <w:pPr>
      <w:ind w:left="-132" w:leftChars="-64" w:right="-105" w:rightChars="-50" w:hanging="2"/>
      <w:jc w:val="center"/>
    </w:pPr>
    <w:rPr>
      <w:b/>
      <w:color w:val="FF0000"/>
      <w:szCs w:val="21"/>
      <w:lang w:val="en-GB"/>
    </w:rPr>
  </w:style>
  <w:style w:type="paragraph" w:customStyle="1" w:styleId="584">
    <w:name w:val="页脚 New"/>
    <w:basedOn w:val="582"/>
    <w:qFormat/>
    <w:uiPriority w:val="0"/>
    <w:pPr>
      <w:widowControl/>
      <w:tabs>
        <w:tab w:val="center" w:pos="4153"/>
        <w:tab w:val="right" w:pos="8306"/>
      </w:tabs>
      <w:snapToGrid w:val="0"/>
      <w:jc w:val="left"/>
    </w:pPr>
    <w:rPr>
      <w:sz w:val="18"/>
      <w:szCs w:val="18"/>
    </w:rPr>
  </w:style>
  <w:style w:type="paragraph" w:customStyle="1" w:styleId="585">
    <w:name w:val="正文缩入"/>
    <w:basedOn w:val="1"/>
    <w:qFormat/>
    <w:uiPriority w:val="0"/>
    <w:pPr>
      <w:spacing w:after="120"/>
      <w:ind w:firstLine="504"/>
    </w:pPr>
    <w:rPr>
      <w:rFonts w:eastAsia="Times New Roman"/>
      <w:sz w:val="24"/>
    </w:rPr>
  </w:style>
  <w:style w:type="paragraph" w:customStyle="1" w:styleId="586">
    <w:name w:val="Char1 Char Char Char1"/>
    <w:basedOn w:val="1"/>
    <w:qFormat/>
    <w:uiPriority w:val="0"/>
    <w:rPr>
      <w:szCs w:val="20"/>
    </w:rPr>
  </w:style>
  <w:style w:type="paragraph" w:customStyle="1" w:styleId="587">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588">
    <w:name w:val="biaoti1（Alt+1）"/>
    <w:basedOn w:val="1"/>
    <w:qFormat/>
    <w:uiPriority w:val="0"/>
    <w:pPr>
      <w:tabs>
        <w:tab w:val="left" w:pos="1259"/>
      </w:tabs>
      <w:ind w:left="1259" w:hanging="420"/>
    </w:pPr>
  </w:style>
  <w:style w:type="paragraph" w:customStyle="1" w:styleId="589">
    <w:name w:val="参考文献"/>
    <w:basedOn w:val="1"/>
    <w:next w:val="11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590">
    <w:name w:val="项目编号1"/>
    <w:basedOn w:val="1"/>
    <w:qFormat/>
    <w:uiPriority w:val="0"/>
    <w:pPr>
      <w:numPr>
        <w:ilvl w:val="0"/>
        <w:numId w:val="8"/>
      </w:numPr>
      <w:spacing w:line="360" w:lineRule="auto"/>
      <w:jc w:val="left"/>
    </w:pPr>
    <w:rPr>
      <w:rFonts w:ascii="宋体" w:hAnsi="宋体"/>
      <w:sz w:val="24"/>
      <w:szCs w:val="20"/>
    </w:rPr>
  </w:style>
  <w:style w:type="paragraph" w:customStyle="1" w:styleId="591">
    <w:name w:val="终结线"/>
    <w:basedOn w:val="1"/>
    <w:qFormat/>
    <w:uiPriority w:val="0"/>
    <w:pPr>
      <w:framePr w:hSpace="181" w:vSpace="181" w:wrap="around" w:vAnchor="text" w:hAnchor="margin" w:xAlign="center" w:y="282"/>
    </w:pPr>
  </w:style>
  <w:style w:type="paragraph" w:customStyle="1" w:styleId="592">
    <w:name w:val="Char4"/>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93">
    <w:name w:val="Char12"/>
    <w:basedOn w:val="1"/>
    <w:qFormat/>
    <w:uiPriority w:val="0"/>
    <w:pPr>
      <w:widowControl/>
      <w:spacing w:before="100" w:beforeAutospacing="1" w:after="100" w:afterAutospacing="1" w:line="330" w:lineRule="atLeast"/>
      <w:ind w:left="360"/>
      <w:jc w:val="left"/>
    </w:pPr>
  </w:style>
  <w:style w:type="paragraph" w:customStyle="1" w:styleId="594">
    <w:name w:val="contentlabel"/>
    <w:basedOn w:val="1"/>
    <w:qFormat/>
    <w:uiPriority w:val="0"/>
    <w:pPr>
      <w:widowControl/>
      <w:spacing w:before="30" w:after="100" w:afterAutospacing="1"/>
      <w:ind w:left="90"/>
      <w:jc w:val="left"/>
    </w:pPr>
    <w:rPr>
      <w:rFonts w:ascii="Arial Unicode MS" w:hAnsi="Arial Unicode MS"/>
      <w:color w:val="336666"/>
      <w:kern w:val="0"/>
      <w:sz w:val="18"/>
      <w:szCs w:val="18"/>
    </w:rPr>
  </w:style>
  <w:style w:type="paragraph" w:customStyle="1" w:styleId="595">
    <w:name w:val="列项◆（三级）"/>
    <w:basedOn w:val="1"/>
    <w:qFormat/>
    <w:uiPriority w:val="0"/>
    <w:pPr>
      <w:tabs>
        <w:tab w:val="left" w:pos="1616"/>
      </w:tabs>
      <w:ind w:left="1616" w:hanging="567"/>
    </w:pPr>
    <w:rPr>
      <w:rFonts w:ascii="宋体"/>
      <w:szCs w:val="21"/>
    </w:rPr>
  </w:style>
  <w:style w:type="paragraph" w:customStyle="1" w:styleId="596">
    <w:name w:val="xl2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597">
    <w:name w:val="标题 2（绿盟科技）"/>
    <w:basedOn w:val="4"/>
    <w:next w:val="1"/>
    <w:qFormat/>
    <w:uiPriority w:val="99"/>
    <w:pPr>
      <w:keepLines w:val="0"/>
      <w:widowControl/>
      <w:numPr>
        <w:ilvl w:val="1"/>
        <w:numId w:val="11"/>
      </w:numPr>
      <w:tabs>
        <w:tab w:val="left" w:pos="840"/>
      </w:tabs>
      <w:spacing w:before="240" w:after="60" w:line="415" w:lineRule="auto"/>
      <w:ind w:left="840" w:hanging="420"/>
      <w:jc w:val="left"/>
    </w:pPr>
    <w:rPr>
      <w:bCs w:val="0"/>
      <w:iCs/>
      <w:kern w:val="0"/>
      <w:szCs w:val="28"/>
    </w:rPr>
  </w:style>
  <w:style w:type="paragraph" w:customStyle="1" w:styleId="598">
    <w:name w:val="_Style 5"/>
    <w:basedOn w:val="1"/>
    <w:qFormat/>
    <w:uiPriority w:val="34"/>
    <w:pPr>
      <w:ind w:firstLine="420" w:firstLineChars="200"/>
    </w:pPr>
  </w:style>
  <w:style w:type="paragraph" w:customStyle="1" w:styleId="599">
    <w:name w:val="xl75"/>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600">
    <w:name w:val="xl4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601">
    <w:name w:val="xl3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602">
    <w:name w:val="列出段落2"/>
    <w:basedOn w:val="1"/>
    <w:qFormat/>
    <w:uiPriority w:val="0"/>
    <w:pPr>
      <w:widowControl/>
      <w:ind w:left="720"/>
      <w:jc w:val="left"/>
    </w:pPr>
    <w:rPr>
      <w:i/>
      <w:iCs/>
      <w:kern w:val="0"/>
      <w:sz w:val="20"/>
      <w:szCs w:val="20"/>
    </w:rPr>
  </w:style>
  <w:style w:type="paragraph" w:customStyle="1" w:styleId="60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04">
    <w:name w:val="biaoti2"/>
    <w:basedOn w:val="4"/>
    <w:qFormat/>
    <w:uiPriority w:val="0"/>
    <w:pPr>
      <w:tabs>
        <w:tab w:val="left" w:pos="576"/>
      </w:tabs>
      <w:spacing w:line="360" w:lineRule="auto"/>
      <w:ind w:left="576" w:hanging="576"/>
    </w:pPr>
  </w:style>
  <w:style w:type="paragraph" w:customStyle="1" w:styleId="605">
    <w:name w:val="正文2"/>
    <w:basedOn w:val="1"/>
    <w:qFormat/>
    <w:uiPriority w:val="0"/>
    <w:pPr>
      <w:widowControl/>
      <w:spacing w:after="160" w:line="360" w:lineRule="auto"/>
      <w:ind w:firstLine="200" w:firstLineChars="200"/>
      <w:jc w:val="left"/>
    </w:pPr>
    <w:rPr>
      <w:szCs w:val="20"/>
    </w:rPr>
  </w:style>
  <w:style w:type="paragraph" w:customStyle="1" w:styleId="606">
    <w:name w:val="xl3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607">
    <w:name w:val="封面正文"/>
    <w:qFormat/>
    <w:uiPriority w:val="0"/>
    <w:pPr>
      <w:jc w:val="both"/>
    </w:pPr>
    <w:rPr>
      <w:rFonts w:ascii="Times New Roman" w:hAnsi="Times New Roman" w:eastAsia="宋体" w:cs="Times New Roman"/>
      <w:lang w:val="en-US" w:eastAsia="zh-CN" w:bidi="ar-SA"/>
    </w:rPr>
  </w:style>
  <w:style w:type="paragraph" w:customStyle="1" w:styleId="608">
    <w:name w:val="Char Char Char1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0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610">
    <w:name w:val="文档标题"/>
    <w:basedOn w:val="60"/>
    <w:qFormat/>
    <w:uiPriority w:val="0"/>
    <w:pPr>
      <w:spacing w:beforeLines="100" w:afterLines="100" w:line="300" w:lineRule="auto"/>
      <w:outlineLvl w:val="9"/>
    </w:pPr>
    <w:rPr>
      <w:rFonts w:ascii="Cambria" w:hAnsi="Cambria" w:eastAsia="黑体"/>
      <w:bCs w:val="0"/>
      <w:kern w:val="0"/>
      <w:sz w:val="48"/>
    </w:rPr>
  </w:style>
  <w:style w:type="paragraph" w:customStyle="1" w:styleId="611">
    <w:name w:val="方案正文样式"/>
    <w:basedOn w:val="15"/>
    <w:qFormat/>
    <w:uiPriority w:val="0"/>
    <w:pPr>
      <w:adjustRightInd w:val="0"/>
      <w:spacing w:before="120" w:after="120"/>
      <w:ind w:left="600" w:firstLine="200"/>
      <w:textAlignment w:val="baseline"/>
    </w:pPr>
    <w:rPr>
      <w:rFonts w:ascii="宋体" w:hAnsi="宋体"/>
      <w:color w:val="000000"/>
      <w:spacing w:val="4"/>
      <w:kern w:val="0"/>
      <w:sz w:val="20"/>
    </w:rPr>
  </w:style>
  <w:style w:type="paragraph" w:customStyle="1" w:styleId="612">
    <w:name w:val="附录标题 4"/>
    <w:basedOn w:val="6"/>
    <w:next w:val="26"/>
    <w:qFormat/>
    <w:uiPriority w:val="0"/>
    <w:pPr>
      <w:tabs>
        <w:tab w:val="left" w:pos="425"/>
      </w:tabs>
      <w:spacing w:before="0" w:after="0" w:line="240" w:lineRule="atLeast"/>
      <w:jc w:val="left"/>
    </w:pPr>
    <w:rPr>
      <w:rFonts w:ascii="Tahoma" w:hAnsi="Tahoma"/>
      <w:b w:val="0"/>
      <w:smallCaps/>
      <w:kern w:val="20"/>
      <w:szCs w:val="20"/>
    </w:rPr>
  </w:style>
  <w:style w:type="paragraph" w:customStyle="1" w:styleId="613">
    <w:name w:val="封面标准名称2"/>
    <w:basedOn w:val="362"/>
    <w:qFormat/>
    <w:uiPriority w:val="0"/>
    <w:pPr>
      <w:framePr w:w="9639" w:h="6917" w:hRule="exact" w:wrap="around" w:vAnchor="page" w:hAnchor="page" w:xAlign="center" w:y="4466" w:anchorLock="1"/>
      <w:spacing w:beforeLines="630"/>
    </w:pPr>
  </w:style>
  <w:style w:type="paragraph" w:customStyle="1" w:styleId="614">
    <w:name w:val="封面标题"/>
    <w:basedOn w:val="1"/>
    <w:qFormat/>
    <w:uiPriority w:val="0"/>
    <w:pPr>
      <w:spacing w:beforeLines="50"/>
      <w:jc w:val="center"/>
    </w:pPr>
    <w:rPr>
      <w:rFonts w:eastAsia="黑体"/>
      <w:bCs/>
    </w:rPr>
  </w:style>
  <w:style w:type="paragraph" w:customStyle="1" w:styleId="615">
    <w:name w:val="列项——（一级）"/>
    <w:qFormat/>
    <w:uiPriority w:val="0"/>
    <w:pPr>
      <w:widowControl w:val="0"/>
      <w:numPr>
        <w:ilvl w:val="2"/>
        <w:numId w:val="5"/>
      </w:numPr>
      <w:ind w:left="833" w:hanging="408"/>
      <w:jc w:val="both"/>
    </w:pPr>
    <w:rPr>
      <w:rFonts w:ascii="宋体" w:hAnsi="Times New Roman" w:eastAsia="宋体" w:cs="Times New Roman"/>
      <w:sz w:val="21"/>
      <w:lang w:val="en-US" w:eastAsia="zh-CN" w:bidi="ar-SA"/>
    </w:rPr>
  </w:style>
  <w:style w:type="paragraph" w:customStyle="1" w:styleId="61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617">
    <w:name w:val="目次、索引正文"/>
    <w:qFormat/>
    <w:uiPriority w:val="0"/>
    <w:pPr>
      <w:tabs>
        <w:tab w:val="left" w:pos="648"/>
      </w:tabs>
      <w:spacing w:line="320" w:lineRule="exact"/>
      <w:ind w:left="648" w:hanging="648"/>
      <w:jc w:val="both"/>
    </w:pPr>
    <w:rPr>
      <w:rFonts w:ascii="宋体" w:hAnsi="Times New Roman" w:eastAsia="宋体" w:cs="Times New Roman"/>
      <w:sz w:val="21"/>
      <w:lang w:val="en-US" w:eastAsia="zh-CN" w:bidi="ar-SA"/>
    </w:rPr>
  </w:style>
  <w:style w:type="paragraph" w:customStyle="1" w:styleId="618">
    <w:name w:val="Char Char Char Char11"/>
    <w:basedOn w:val="1"/>
    <w:qFormat/>
    <w:uiPriority w:val="0"/>
    <w:pPr>
      <w:adjustRightInd w:val="0"/>
      <w:spacing w:line="360" w:lineRule="auto"/>
    </w:pPr>
    <w:rPr>
      <w:kern w:val="0"/>
      <w:sz w:val="24"/>
      <w:szCs w:val="20"/>
    </w:rPr>
  </w:style>
  <w:style w:type="paragraph" w:customStyle="1" w:styleId="619">
    <w:name w:val="xl2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620">
    <w:name w:val="xl79"/>
    <w:basedOn w:val="1"/>
    <w:qFormat/>
    <w:uiPriority w:val="0"/>
    <w:pPr>
      <w:widowControl/>
      <w:pBdr>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21">
    <w:name w:val="xl31"/>
    <w:basedOn w:val="1"/>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622">
    <w:name w:val="正文表标题"/>
    <w:next w:val="112"/>
    <w:qFormat/>
    <w:uiPriority w:val="0"/>
    <w:pPr>
      <w:numPr>
        <w:ilvl w:val="0"/>
        <w:numId w:val="2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62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24">
    <w:name w:val="标准书脚_奇数页"/>
    <w:qFormat/>
    <w:uiPriority w:val="0"/>
    <w:pPr>
      <w:numPr>
        <w:ilvl w:val="4"/>
        <w:numId w:val="14"/>
      </w:numPr>
      <w:spacing w:before="120"/>
      <w:ind w:right="198"/>
      <w:jc w:val="right"/>
    </w:pPr>
    <w:rPr>
      <w:rFonts w:ascii="宋体" w:hAnsi="Times New Roman" w:eastAsia="宋体" w:cs="Times New Roman"/>
      <w:sz w:val="18"/>
      <w:szCs w:val="18"/>
      <w:lang w:val="en-US" w:eastAsia="zh-CN" w:bidi="ar-SA"/>
    </w:rPr>
  </w:style>
  <w:style w:type="paragraph" w:customStyle="1" w:styleId="625">
    <w:name w:val="xl71"/>
    <w:basedOn w:val="1"/>
    <w:qFormat/>
    <w:uiPriority w:val="0"/>
    <w:pPr>
      <w:widowControl/>
      <w:pBdr>
        <w:top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26">
    <w:name w:val="二级无"/>
    <w:basedOn w:val="533"/>
    <w:qFormat/>
    <w:uiPriority w:val="0"/>
    <w:pPr>
      <w:numPr>
        <w:ilvl w:val="1"/>
        <w:numId w:val="9"/>
      </w:numPr>
      <w:tabs>
        <w:tab w:val="clear" w:pos="0"/>
      </w:tabs>
      <w:ind w:left="0" w:firstLine="0"/>
    </w:pPr>
    <w:rPr>
      <w:rFonts w:ascii="宋体" w:eastAsia="宋体"/>
    </w:rPr>
  </w:style>
  <w:style w:type="paragraph" w:customStyle="1" w:styleId="627">
    <w:name w:val="Char Char Char Char Char Char Char11"/>
    <w:basedOn w:val="1"/>
    <w:qFormat/>
    <w:uiPriority w:val="0"/>
    <w:pPr>
      <w:tabs>
        <w:tab w:val="left" w:pos="425"/>
      </w:tabs>
      <w:ind w:left="425" w:hanging="425"/>
    </w:pPr>
    <w:rPr>
      <w:rFonts w:eastAsia="仿宋_GB2312"/>
      <w:kern w:val="24"/>
      <w:sz w:val="24"/>
    </w:rPr>
  </w:style>
  <w:style w:type="paragraph" w:customStyle="1" w:styleId="628">
    <w:name w:val="Char Char2"/>
    <w:basedOn w:val="1"/>
    <w:qFormat/>
    <w:uiPriority w:val="0"/>
    <w:rPr>
      <w:rFonts w:ascii="Tahoma" w:hAnsi="Tahoma"/>
      <w:sz w:val="24"/>
      <w:szCs w:val="20"/>
    </w:rPr>
  </w:style>
  <w:style w:type="paragraph" w:customStyle="1" w:styleId="629">
    <w:name w:val="_Style 1"/>
    <w:basedOn w:val="1"/>
    <w:qFormat/>
    <w:uiPriority w:val="34"/>
    <w:pPr>
      <w:suppressAutoHyphens/>
      <w:ind w:firstLine="420"/>
    </w:pPr>
    <w:rPr>
      <w:rFonts w:ascii="Calibri" w:hAnsi="Calibri"/>
      <w:kern w:val="1"/>
      <w:szCs w:val="22"/>
      <w:lang w:eastAsia="ar-SA"/>
    </w:rPr>
  </w:style>
  <w:style w:type="paragraph" w:customStyle="1" w:styleId="630">
    <w:name w:val="xl56"/>
    <w:basedOn w:val="1"/>
    <w:qFormat/>
    <w:uiPriority w:val="0"/>
    <w:pPr>
      <w:widowControl/>
      <w:pBdr>
        <w:left w:val="double" w:color="auto" w:sz="6" w:space="0"/>
        <w:bottom w:val="single" w:color="auto" w:sz="4" w:space="0"/>
        <w:right w:val="single" w:color="auto" w:sz="4" w:space="0"/>
      </w:pBdr>
      <w:shd w:val="clear" w:color="auto" w:fill="00CCFF"/>
      <w:spacing w:before="100" w:beforeAutospacing="1" w:after="100" w:afterAutospacing="1"/>
      <w:jc w:val="left"/>
      <w:textAlignment w:val="center"/>
    </w:pPr>
    <w:rPr>
      <w:rFonts w:ascii="宋体" w:hAnsi="宋体" w:cs="宋体"/>
      <w:b/>
      <w:bCs/>
      <w:kern w:val="0"/>
      <w:sz w:val="24"/>
    </w:rPr>
  </w:style>
  <w:style w:type="paragraph" w:customStyle="1" w:styleId="631">
    <w:name w:val="正文-首行缩进"/>
    <w:basedOn w:val="1"/>
    <w:qFormat/>
    <w:uiPriority w:val="0"/>
    <w:pPr>
      <w:widowControl/>
      <w:spacing w:line="360" w:lineRule="auto"/>
      <w:ind w:firstLine="480" w:firstLineChars="200"/>
    </w:pPr>
    <w:rPr>
      <w:sz w:val="24"/>
    </w:rPr>
  </w:style>
  <w:style w:type="paragraph" w:customStyle="1" w:styleId="632">
    <w:name w:val="xl3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633">
    <w:name w:val="xl3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FF00FF"/>
      <w:kern w:val="0"/>
      <w:sz w:val="24"/>
    </w:rPr>
  </w:style>
  <w:style w:type="paragraph" w:customStyle="1" w:styleId="634">
    <w:name w:val="Char3"/>
    <w:basedOn w:val="1"/>
    <w:qFormat/>
    <w:uiPriority w:val="0"/>
    <w:pPr>
      <w:widowControl/>
      <w:spacing w:after="160" w:line="240" w:lineRule="exact"/>
      <w:jc w:val="left"/>
    </w:pPr>
    <w:rPr>
      <w:rFonts w:ascii="Verdana" w:hAnsi="Verdana"/>
      <w:kern w:val="0"/>
      <w:szCs w:val="20"/>
      <w:lang w:eastAsia="en-US"/>
    </w:rPr>
  </w:style>
  <w:style w:type="paragraph" w:customStyle="1" w:styleId="635">
    <w:name w:val="xl49"/>
    <w:basedOn w:val="1"/>
    <w:qFormat/>
    <w:uiPriority w:val="0"/>
    <w:pPr>
      <w:widowControl/>
      <w:pBdr>
        <w:bottom w:val="single" w:color="auto" w:sz="8" w:space="0"/>
      </w:pBdr>
      <w:spacing w:before="100" w:beforeAutospacing="1" w:after="100" w:afterAutospacing="1"/>
      <w:jc w:val="center"/>
      <w:textAlignment w:val="center"/>
    </w:pPr>
    <w:rPr>
      <w:rFonts w:hint="eastAsia" w:ascii="华文中宋" w:hAnsi="华文中宋" w:eastAsia="华文中宋" w:cs="Arial Unicode MS"/>
      <w:kern w:val="0"/>
      <w:sz w:val="32"/>
      <w:szCs w:val="32"/>
      <w:u w:val="single"/>
    </w:rPr>
  </w:style>
  <w:style w:type="paragraph" w:customStyle="1" w:styleId="636">
    <w:name w:val="msonormalcxspmiddle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637">
    <w:name w:val="xl46"/>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638">
    <w:name w:val="五级条标题"/>
    <w:basedOn w:val="531"/>
    <w:next w:val="1"/>
    <w:qFormat/>
    <w:uiPriority w:val="0"/>
    <w:pPr>
      <w:numPr>
        <w:ilvl w:val="2"/>
      </w:numPr>
      <w:ind w:left="840"/>
      <w:outlineLvl w:val="6"/>
    </w:pPr>
  </w:style>
  <w:style w:type="paragraph" w:customStyle="1" w:styleId="639">
    <w:name w:val="五级无"/>
    <w:basedOn w:val="638"/>
    <w:qFormat/>
    <w:uiPriority w:val="0"/>
    <w:pPr>
      <w:numPr>
        <w:ilvl w:val="5"/>
        <w:numId w:val="10"/>
      </w:numPr>
    </w:pPr>
    <w:rPr>
      <w:rFonts w:ascii="宋体" w:eastAsia="宋体"/>
    </w:rPr>
  </w:style>
  <w:style w:type="paragraph" w:customStyle="1" w:styleId="640">
    <w:name w:val="样式 标题 2H2标题 1.1Title2h2Underrubrik1prop2标题二H21Heading 2...1"/>
    <w:basedOn w:val="4"/>
    <w:qFormat/>
    <w:uiPriority w:val="0"/>
    <w:pPr>
      <w:tabs>
        <w:tab w:val="left" w:pos="0"/>
      </w:tabs>
      <w:autoSpaceDE w:val="0"/>
      <w:autoSpaceDN w:val="0"/>
      <w:adjustRightInd w:val="0"/>
      <w:spacing w:before="360" w:line="360" w:lineRule="auto"/>
      <w:ind w:left="420" w:leftChars="100" w:right="210" w:rightChars="100"/>
      <w:textAlignment w:val="baseline"/>
    </w:pPr>
    <w:rPr>
      <w:rFonts w:eastAsia="宋体" w:cs="宋体"/>
      <w:spacing w:val="24"/>
      <w:kern w:val="0"/>
      <w:sz w:val="21"/>
      <w:szCs w:val="20"/>
    </w:rPr>
  </w:style>
  <w:style w:type="paragraph" w:customStyle="1" w:styleId="641">
    <w:name w:val="Normal Indent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642">
    <w:name w:val="Char Char Char Char Char Char Char Char"/>
    <w:basedOn w:val="1"/>
    <w:next w:val="1"/>
    <w:qFormat/>
    <w:uiPriority w:val="0"/>
    <w:pPr>
      <w:widowControl/>
      <w:spacing w:after="160" w:line="240" w:lineRule="exact"/>
      <w:jc w:val="left"/>
    </w:pPr>
    <w:rPr>
      <w:rFonts w:ascii="Verdana" w:hAnsi="Verdana"/>
      <w:kern w:val="0"/>
      <w:sz w:val="20"/>
      <w:szCs w:val="20"/>
      <w:lang w:eastAsia="en-US"/>
    </w:rPr>
  </w:style>
  <w:style w:type="paragraph" w:customStyle="1" w:styleId="643">
    <w:name w:val="Char Char1"/>
    <w:basedOn w:val="1"/>
    <w:qFormat/>
    <w:uiPriority w:val="0"/>
    <w:pPr>
      <w:widowControl/>
      <w:spacing w:after="160" w:line="240" w:lineRule="exact"/>
      <w:jc w:val="left"/>
    </w:pPr>
    <w:rPr>
      <w:szCs w:val="20"/>
    </w:rPr>
  </w:style>
  <w:style w:type="paragraph" w:customStyle="1" w:styleId="644">
    <w:name w:val="Char Char1 Char Char Char Char Char Char"/>
    <w:basedOn w:val="1"/>
    <w:qFormat/>
    <w:uiPriority w:val="0"/>
    <w:pPr>
      <w:widowControl/>
      <w:adjustRightInd w:val="0"/>
      <w:snapToGrid w:val="0"/>
      <w:spacing w:beforeLines="25" w:afterLines="25" w:line="240" w:lineRule="exact"/>
      <w:ind w:firstLine="560" w:firstLineChars="192"/>
      <w:jc w:val="left"/>
    </w:pPr>
    <w:rPr>
      <w:szCs w:val="20"/>
    </w:rPr>
  </w:style>
  <w:style w:type="paragraph" w:customStyle="1" w:styleId="645">
    <w:name w:val="三级无"/>
    <w:basedOn w:val="532"/>
    <w:qFormat/>
    <w:uiPriority w:val="0"/>
    <w:pPr>
      <w:numPr>
        <w:ilvl w:val="3"/>
        <w:numId w:val="10"/>
      </w:numPr>
      <w:tabs>
        <w:tab w:val="clear" w:pos="840"/>
      </w:tabs>
    </w:pPr>
    <w:rPr>
      <w:rFonts w:ascii="宋体" w:eastAsia="宋体"/>
    </w:rPr>
  </w:style>
  <w:style w:type="paragraph" w:customStyle="1" w:styleId="646">
    <w:name w:val="签字"/>
    <w:basedOn w:val="1"/>
    <w:qFormat/>
    <w:uiPriority w:val="0"/>
    <w:pPr>
      <w:spacing w:beforeLines="50"/>
      <w:jc w:val="left"/>
    </w:pPr>
    <w:rPr>
      <w:rFonts w:ascii="宋体" w:hAnsi="宋体"/>
      <w:sz w:val="32"/>
    </w:rPr>
  </w:style>
  <w:style w:type="paragraph" w:customStyle="1" w:styleId="647">
    <w:name w:val="xl4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648">
    <w:name w:val="一级无"/>
    <w:basedOn w:val="534"/>
    <w:qFormat/>
    <w:uiPriority w:val="0"/>
    <w:pPr>
      <w:numPr>
        <w:ilvl w:val="0"/>
        <w:numId w:val="0"/>
      </w:numPr>
      <w:tabs>
        <w:tab w:val="clear" w:pos="420"/>
      </w:tabs>
    </w:pPr>
    <w:rPr>
      <w:rFonts w:ascii="宋体" w:eastAsia="宋体"/>
    </w:rPr>
  </w:style>
  <w:style w:type="paragraph" w:customStyle="1" w:styleId="649">
    <w:name w:val="正文-段落"/>
    <w:qFormat/>
    <w:uiPriority w:val="0"/>
    <w:pPr>
      <w:spacing w:line="360" w:lineRule="auto"/>
      <w:ind w:firstLine="200" w:firstLineChars="200"/>
    </w:pPr>
    <w:rPr>
      <w:rFonts w:ascii="Times New Roman" w:hAnsi="Times New Roman" w:eastAsia="宋体" w:cs="宋体"/>
      <w:sz w:val="24"/>
      <w:szCs w:val="24"/>
      <w:lang w:val="en-US" w:eastAsia="zh-CN" w:bidi="ar-SA"/>
    </w:rPr>
  </w:style>
  <w:style w:type="paragraph" w:customStyle="1" w:styleId="650">
    <w:name w:val="xl6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51">
    <w:name w:val="填表"/>
    <w:qFormat/>
    <w:uiPriority w:val="0"/>
    <w:rPr>
      <w:rFonts w:ascii="Times New Roman" w:hAnsi="Times New Roman" w:eastAsia="宋体" w:cs="Times New Roman"/>
      <w:kern w:val="2"/>
      <w:sz w:val="18"/>
      <w:szCs w:val="21"/>
      <w:lang w:val="en-US" w:eastAsia="zh-CN" w:bidi="ar-SA"/>
    </w:rPr>
  </w:style>
  <w:style w:type="paragraph" w:customStyle="1" w:styleId="652">
    <w:name w:val="标准小四"/>
    <w:basedOn w:val="1"/>
    <w:qFormat/>
    <w:uiPriority w:val="0"/>
    <w:pPr>
      <w:spacing w:line="360" w:lineRule="auto"/>
      <w:ind w:firstLine="480" w:firstLineChars="200"/>
    </w:pPr>
    <w:rPr>
      <w:rFonts w:ascii="Arial" w:hAnsi="Arial"/>
      <w:sz w:val="24"/>
      <w:szCs w:val="21"/>
    </w:rPr>
  </w:style>
  <w:style w:type="paragraph" w:customStyle="1" w:styleId="653">
    <w:name w:val="标题 2_1"/>
    <w:basedOn w:val="654"/>
    <w:next w:val="654"/>
    <w:unhideWhenUsed/>
    <w:qFormat/>
    <w:uiPriority w:val="9"/>
    <w:pPr>
      <w:numPr>
        <w:ilvl w:val="1"/>
        <w:numId w:val="28"/>
      </w:numPr>
      <w:autoSpaceDE w:val="0"/>
      <w:autoSpaceDN w:val="0"/>
      <w:adjustRightInd w:val="0"/>
      <w:spacing w:line="360" w:lineRule="auto"/>
      <w:jc w:val="center"/>
      <w:outlineLvl w:val="1"/>
    </w:pPr>
    <w:rPr>
      <w:rFonts w:ascii="宋体" w:hAnsi="宋体"/>
      <w:b/>
      <w:color w:val="000000"/>
      <w:kern w:val="0"/>
      <w:sz w:val="30"/>
      <w:szCs w:val="20"/>
    </w:rPr>
  </w:style>
  <w:style w:type="paragraph" w:customStyle="1" w:styleId="654">
    <w:name w:val="正文_11"/>
    <w:next w:val="653"/>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5">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56">
    <w:name w:val="标题 1 New"/>
    <w:basedOn w:val="1"/>
    <w:next w:val="1"/>
    <w:qFormat/>
    <w:uiPriority w:val="0"/>
    <w:pPr>
      <w:keepNext/>
      <w:keepLines/>
      <w:tabs>
        <w:tab w:val="left" w:pos="630"/>
        <w:tab w:val="left" w:pos="851"/>
      </w:tabs>
      <w:spacing w:before="240" w:after="100" w:afterAutospacing="1" w:line="578" w:lineRule="auto"/>
      <w:ind w:hanging="1004" w:hangingChars="313"/>
      <w:outlineLvl w:val="0"/>
    </w:pPr>
    <w:rPr>
      <w:b/>
      <w:bCs/>
      <w:kern w:val="44"/>
      <w:sz w:val="32"/>
      <w:szCs w:val="44"/>
    </w:rPr>
  </w:style>
  <w:style w:type="paragraph" w:customStyle="1" w:styleId="657">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58">
    <w:name w:val="明动正文"/>
    <w:basedOn w:val="15"/>
    <w:qFormat/>
    <w:uiPriority w:val="0"/>
    <w:pPr>
      <w:widowControl/>
      <w:adjustRightInd w:val="0"/>
      <w:spacing w:line="360" w:lineRule="auto"/>
      <w:ind w:firstLine="200" w:firstLineChars="200"/>
    </w:pPr>
    <w:rPr>
      <w:rFonts w:cs="宋体"/>
      <w:kern w:val="0"/>
      <w:sz w:val="20"/>
      <w:szCs w:val="21"/>
    </w:rPr>
  </w:style>
  <w:style w:type="paragraph" w:customStyle="1" w:styleId="659">
    <w:name w:val="Char Char1 Char Char Char Char Char Char Char Char Char Char Char"/>
    <w:basedOn w:val="1"/>
    <w:qFormat/>
    <w:uiPriority w:val="0"/>
    <w:pPr>
      <w:widowControl/>
      <w:snapToGrid w:val="0"/>
      <w:spacing w:before="100" w:beforeAutospacing="1" w:after="100" w:afterAutospacing="1" w:line="360" w:lineRule="auto"/>
      <w:jc w:val="left"/>
    </w:pPr>
    <w:rPr>
      <w:rFonts w:ascii="Verdana" w:hAnsi="Verdana"/>
      <w:kern w:val="0"/>
      <w:szCs w:val="20"/>
      <w:lang w:eastAsia="en-US"/>
    </w:rPr>
  </w:style>
  <w:style w:type="paragraph" w:customStyle="1" w:styleId="660">
    <w:name w:val="正文图标题"/>
    <w:next w:val="112"/>
    <w:qFormat/>
    <w:uiPriority w:val="0"/>
    <w:pPr>
      <w:numPr>
        <w:ilvl w:val="0"/>
        <w:numId w:val="29"/>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661">
    <w:name w:val="样式 小四 段前: 5 磅 段后: 5 磅 首行缩进:  2.57 字符"/>
    <w:basedOn w:val="1"/>
    <w:qFormat/>
    <w:uiPriority w:val="0"/>
    <w:pPr>
      <w:spacing w:before="100" w:afterLines="50"/>
      <w:ind w:firstLine="200" w:firstLineChars="200"/>
    </w:pPr>
    <w:rPr>
      <w:kern w:val="0"/>
      <w:sz w:val="24"/>
      <w:szCs w:val="21"/>
    </w:rPr>
  </w:style>
  <w:style w:type="paragraph" w:customStyle="1" w:styleId="662">
    <w:name w:val="投标文件3"/>
    <w:basedOn w:val="1"/>
    <w:qFormat/>
    <w:uiPriority w:val="0"/>
    <w:pPr>
      <w:widowControl/>
      <w:spacing w:line="360" w:lineRule="auto"/>
    </w:pPr>
    <w:rPr>
      <w:rFonts w:ascii="宋体" w:hAnsi="Courier New" w:eastAsia="黑体"/>
      <w:b/>
      <w:sz w:val="30"/>
      <w:szCs w:val="20"/>
    </w:rPr>
  </w:style>
  <w:style w:type="paragraph" w:customStyle="1" w:styleId="663">
    <w:name w:val="其他标准称谓"/>
    <w:next w:val="1"/>
    <w:qFormat/>
    <w:uiPriority w:val="0"/>
    <w:pPr>
      <w:framePr w:hSpace="181" w:vSpace="181" w:wrap="around" w:vAnchor="page" w:hAnchor="page" w:x="1416" w:y="2283"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664">
    <w:name w:val="正文首行缩进 1.5行距"/>
    <w:basedOn w:val="26"/>
    <w:qFormat/>
    <w:uiPriority w:val="0"/>
    <w:pPr>
      <w:widowControl/>
      <w:overflowPunct w:val="0"/>
      <w:autoSpaceDE w:val="0"/>
      <w:autoSpaceDN w:val="0"/>
      <w:adjustRightInd w:val="0"/>
      <w:snapToGrid w:val="0"/>
      <w:spacing w:line="360" w:lineRule="auto"/>
      <w:ind w:firstLine="522" w:firstLineChars="0"/>
      <w:jc w:val="left"/>
      <w:textAlignment w:val="baseline"/>
    </w:pPr>
    <w:rPr>
      <w:rFonts w:ascii="宋体" w:hAnsi="宋体" w:eastAsia="宋体"/>
      <w:kern w:val="0"/>
      <w:sz w:val="24"/>
    </w:rPr>
  </w:style>
  <w:style w:type="paragraph" w:customStyle="1" w:styleId="665">
    <w:name w:val="xl48"/>
    <w:basedOn w:val="1"/>
    <w:qFormat/>
    <w:uiPriority w:val="0"/>
    <w:pPr>
      <w:widowControl/>
      <w:pBdr>
        <w:bottom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32"/>
      <w:szCs w:val="32"/>
      <w:u w:val="single"/>
    </w:rPr>
  </w:style>
  <w:style w:type="paragraph" w:customStyle="1" w:styleId="666">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kern w:val="0"/>
      <w:sz w:val="24"/>
    </w:rPr>
  </w:style>
  <w:style w:type="paragraph" w:customStyle="1" w:styleId="667">
    <w:name w:val="封面标准文稿类别2"/>
    <w:basedOn w:val="502"/>
    <w:qFormat/>
    <w:uiPriority w:val="0"/>
    <w:pPr>
      <w:framePr w:wrap="around" w:y="4466"/>
    </w:pPr>
  </w:style>
  <w:style w:type="paragraph" w:customStyle="1" w:styleId="668">
    <w:name w:val="Char Char Char Char Char Char1 Char"/>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669">
    <w:name w:val="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70">
    <w:name w:val="排列"/>
    <w:basedOn w:val="47"/>
    <w:next w:val="47"/>
    <w:qFormat/>
    <w:uiPriority w:val="0"/>
    <w:pPr>
      <w:tabs>
        <w:tab w:val="left" w:pos="1140"/>
        <w:tab w:val="clear" w:pos="360"/>
        <w:tab w:val="clear" w:pos="709"/>
      </w:tabs>
      <w:ind w:left="1140" w:hanging="360"/>
    </w:pPr>
  </w:style>
  <w:style w:type="paragraph" w:customStyle="1" w:styleId="671">
    <w:name w:val="样式 附录章标题 + 自动设置"/>
    <w:basedOn w:val="1"/>
    <w:qFormat/>
    <w:uiPriority w:val="0"/>
    <w:pPr>
      <w:widowControl/>
      <w:overflowPunct w:val="0"/>
      <w:autoSpaceDE w:val="0"/>
      <w:spacing w:line="312" w:lineRule="auto"/>
      <w:textAlignment w:val="baseline"/>
      <w:outlineLvl w:val="1"/>
    </w:pPr>
    <w:rPr>
      <w:rFonts w:ascii="黑体" w:eastAsia="黑体"/>
      <w:bCs/>
      <w:kern w:val="21"/>
      <w:szCs w:val="21"/>
    </w:rPr>
  </w:style>
  <w:style w:type="paragraph" w:customStyle="1" w:styleId="672">
    <w:name w:val="标准书眉_偶数页"/>
    <w:basedOn w:val="551"/>
    <w:next w:val="1"/>
    <w:qFormat/>
    <w:uiPriority w:val="0"/>
    <w:pPr>
      <w:ind w:left="0" w:firstLine="0"/>
      <w:jc w:val="left"/>
    </w:pPr>
  </w:style>
  <w:style w:type="paragraph" w:customStyle="1" w:styleId="67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74">
    <w:name w:val="Char Char1 Char Char Char Char"/>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675">
    <w:name w:val="标题 3（绿盟科技）"/>
    <w:basedOn w:val="5"/>
    <w:next w:val="1"/>
    <w:qFormat/>
    <w:uiPriority w:val="99"/>
    <w:pPr>
      <w:keepLines w:val="0"/>
      <w:widowControl/>
      <w:numPr>
        <w:ilvl w:val="2"/>
        <w:numId w:val="11"/>
      </w:numPr>
      <w:tabs>
        <w:tab w:val="left" w:pos="780"/>
        <w:tab w:val="left" w:pos="960"/>
      </w:tabs>
      <w:spacing w:before="240" w:after="60" w:line="415" w:lineRule="auto"/>
      <w:ind w:left="780" w:hanging="420"/>
      <w:jc w:val="left"/>
    </w:pPr>
    <w:rPr>
      <w:rFonts w:ascii="Arial" w:hAnsi="Arial"/>
      <w:bCs w:val="0"/>
      <w:kern w:val="0"/>
      <w:sz w:val="24"/>
      <w:szCs w:val="30"/>
      <w:lang w:eastAsia="en-US"/>
    </w:rPr>
  </w:style>
  <w:style w:type="paragraph" w:customStyle="1" w:styleId="676">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677">
    <w:name w:val="_Style 6"/>
    <w:basedOn w:val="1"/>
    <w:next w:val="1"/>
    <w:unhideWhenUsed/>
    <w:qFormat/>
    <w:uiPriority w:val="39"/>
    <w:pPr>
      <w:ind w:left="3360" w:leftChars="1600"/>
    </w:pPr>
    <w:rPr>
      <w:rFonts w:ascii="等线" w:hAnsi="等线" w:eastAsia="等线"/>
      <w:szCs w:val="22"/>
    </w:rPr>
  </w:style>
  <w:style w:type="paragraph" w:customStyle="1" w:styleId="678">
    <w:name w:val="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679">
    <w:name w:val="样式 首行缩进:  2 字符 段后: 0.5 行"/>
    <w:basedOn w:val="1"/>
    <w:qFormat/>
    <w:uiPriority w:val="0"/>
    <w:pPr>
      <w:spacing w:line="360" w:lineRule="auto"/>
    </w:pPr>
    <w:rPr>
      <w:rFonts w:ascii="宋体" w:hAnsi="宋体"/>
      <w:b/>
      <w:bCs/>
      <w:sz w:val="24"/>
      <w:szCs w:val="28"/>
    </w:rPr>
  </w:style>
  <w:style w:type="paragraph" w:customStyle="1" w:styleId="680">
    <w:name w:val="样式3"/>
    <w:basedOn w:val="383"/>
    <w:qFormat/>
    <w:uiPriority w:val="0"/>
  </w:style>
  <w:style w:type="paragraph" w:customStyle="1" w:styleId="681">
    <w:name w:val="文档正文"/>
    <w:basedOn w:val="1"/>
    <w:qFormat/>
    <w:uiPriority w:val="0"/>
    <w:rPr>
      <w:rFonts w:ascii="Arial" w:hAnsi="Arial"/>
      <w:sz w:val="48"/>
      <w:szCs w:val="20"/>
    </w:rPr>
  </w:style>
  <w:style w:type="paragraph" w:customStyle="1" w:styleId="682">
    <w:name w:val="Fließtext"/>
    <w:basedOn w:val="1"/>
    <w:qFormat/>
    <w:uiPriority w:val="0"/>
    <w:pPr>
      <w:widowControl/>
      <w:spacing w:before="40" w:after="40"/>
      <w:jc w:val="left"/>
    </w:pPr>
    <w:rPr>
      <w:rFonts w:ascii="Arial" w:hAnsi="Arial"/>
      <w:kern w:val="0"/>
      <w:sz w:val="20"/>
      <w:szCs w:val="20"/>
      <w:lang w:eastAsia="de-DE"/>
    </w:rPr>
  </w:style>
  <w:style w:type="paragraph" w:customStyle="1" w:styleId="683">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84">
    <w:name w:val="附录标识"/>
    <w:basedOn w:val="1"/>
    <w:next w:val="112"/>
    <w:qFormat/>
    <w:uiPriority w:val="0"/>
    <w:pPr>
      <w:keepNext/>
      <w:widowControl/>
      <w:shd w:val="clear" w:color="FFFFFF" w:fill="FFFFFF"/>
      <w:tabs>
        <w:tab w:val="left" w:pos="312"/>
        <w:tab w:val="left" w:pos="360"/>
        <w:tab w:val="left" w:pos="840"/>
        <w:tab w:val="left" w:pos="6405"/>
      </w:tabs>
      <w:spacing w:before="640" w:after="280"/>
      <w:jc w:val="center"/>
      <w:outlineLvl w:val="0"/>
    </w:pPr>
    <w:rPr>
      <w:rFonts w:ascii="黑体" w:eastAsia="黑体"/>
      <w:kern w:val="0"/>
      <w:szCs w:val="20"/>
    </w:rPr>
  </w:style>
  <w:style w:type="paragraph" w:customStyle="1" w:styleId="685">
    <w:name w:val="Char2 Char Char Char Char Char Char Char Char1 Char"/>
    <w:basedOn w:val="1"/>
    <w:qFormat/>
    <w:uiPriority w:val="0"/>
    <w:pPr>
      <w:spacing w:after="160" w:line="240" w:lineRule="exact"/>
    </w:pPr>
    <w:rPr>
      <w:rFonts w:ascii="Verdana" w:hAnsi="Verdana" w:eastAsia="仿宋_GB2312"/>
      <w:sz w:val="20"/>
      <w:lang w:eastAsia="en-US"/>
    </w:rPr>
  </w:style>
  <w:style w:type="paragraph" w:customStyle="1" w:styleId="686">
    <w:name w:val="Char Char5"/>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87">
    <w:name w:val="标准称谓"/>
    <w:next w:val="1"/>
    <w:qFormat/>
    <w:uiPriority w:val="0"/>
    <w:pPr>
      <w:framePr w:w="9639" w:h="624" w:hRule="exact" w:hSpace="181" w:vSpace="181" w:wrap="around" w:vAnchor="page" w:hAnchor="page" w:x="1416" w:y="2283"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88">
    <w:name w:val="默认段落字体 Para Char Char Char Char Char Char Char Char Char1 Char"/>
    <w:basedOn w:val="1"/>
    <w:qFormat/>
    <w:uiPriority w:val="0"/>
  </w:style>
  <w:style w:type="paragraph" w:customStyle="1" w:styleId="689">
    <w:name w:val="招标文件第六级"/>
    <w:basedOn w:val="8"/>
    <w:next w:val="1"/>
    <w:qFormat/>
    <w:uiPriority w:val="0"/>
    <w:pPr>
      <w:snapToGrid w:val="0"/>
      <w:spacing w:line="360" w:lineRule="auto"/>
      <w:contextualSpacing/>
      <w:outlineLvl w:val="3"/>
    </w:pPr>
    <w:rPr>
      <w:rFonts w:eastAsia="宋体" w:cs="Arial"/>
      <w:b w:val="0"/>
      <w:color w:val="000000"/>
      <w:sz w:val="28"/>
      <w:szCs w:val="28"/>
    </w:rPr>
  </w:style>
  <w:style w:type="paragraph" w:customStyle="1" w:styleId="690">
    <w:name w:val="附录表标题"/>
    <w:basedOn w:val="1"/>
    <w:next w:val="112"/>
    <w:qFormat/>
    <w:uiPriority w:val="0"/>
    <w:pPr>
      <w:numPr>
        <w:ilvl w:val="1"/>
        <w:numId w:val="24"/>
      </w:numPr>
      <w:tabs>
        <w:tab w:val="left" w:pos="180"/>
        <w:tab w:val="left" w:pos="1140"/>
      </w:tabs>
      <w:spacing w:beforeLines="50" w:afterLines="50"/>
      <w:ind w:left="0" w:firstLine="0"/>
      <w:jc w:val="center"/>
    </w:pPr>
    <w:rPr>
      <w:rFonts w:ascii="黑体" w:eastAsia="黑体"/>
      <w:szCs w:val="21"/>
    </w:rPr>
  </w:style>
  <w:style w:type="table" w:customStyle="1" w:styleId="691">
    <w:name w:val="浅色列表1"/>
    <w:basedOn w:val="64"/>
    <w:qFormat/>
    <w:uiPriority w:val="0"/>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692">
    <w:name w:val="Table Normal"/>
    <w:unhideWhenUsed/>
    <w:qFormat/>
    <w:uiPriority w:val="0"/>
    <w:rPr>
      <w:rFonts w:ascii="Arial" w:hAnsi="Arial" w:cs="Arial"/>
      <w:snapToGrid w:val="0"/>
      <w:color w:val="000000"/>
      <w:szCs w:val="21"/>
    </w:rPr>
    <w:tblPr>
      <w:tblCellMar>
        <w:top w:w="0" w:type="dxa"/>
        <w:left w:w="0" w:type="dxa"/>
        <w:bottom w:w="0" w:type="dxa"/>
        <w:right w:w="0" w:type="dxa"/>
      </w:tblCellMar>
    </w:tblPr>
  </w:style>
  <w:style w:type="paragraph" w:customStyle="1" w:styleId="693">
    <w:name w:val="纯文本 New New"/>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83</Pages>
  <Words>43601</Words>
  <Characters>9725</Characters>
  <Lines>81</Lines>
  <Paragraphs>106</Paragraphs>
  <TotalTime>19</TotalTime>
  <ScaleCrop>false</ScaleCrop>
  <LinksUpToDate>false</LinksUpToDate>
  <CharactersWithSpaces>53220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2023-11-07T09:26:00Z</dcterms:created>
  <dc:creator>广招</dc:creator>
  <cp:lastModifiedBy>李东儒</cp:lastModifiedBy>
  <cp:lastPrinted>2023-09-27T08:00:00Z</cp:lastPrinted>
  <dcterms:modified xsi:type="dcterms:W3CDTF">2024-12-10T09:19:09Z</dcterms:modified>
  <dc:subject>政府采购</dc:subject>
  <dc:title>公开招标文件（货物类）</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A3056F6624B946AC848F8CCBD5E83AC4_13</vt:lpwstr>
  </property>
</Properties>
</file>