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hAnsi="Courier New" w:eastAsia="黑体" w:cs="Times New Roman"/>
          <w:bCs/>
          <w:color w:val="000000" w:themeColor="text1"/>
          <w:kern w:val="2"/>
          <w:sz w:val="32"/>
          <w:szCs w:val="20"/>
          <w:highlight w:val="none"/>
          <w:lang w:val="en-US" w:eastAsia="zh-CN" w:bidi="ar-SA"/>
        </w:rPr>
        <w:pict>
          <v:shape id="_x0000_i1025" o:spt="75" type="#_x0000_t75" style="height:29.2pt;width:182.7p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w:pict>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284"/>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YXCG-20230515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top"/>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国家税务总局阳西县税务局2023年－2025年物业管理服务项目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国家税务总局阳西县税务局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vAlign w:val="top"/>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二三年五</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color w:val="000000" w:themeColor="text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color w:val="000000" w:themeColor="text1"/>
          <w:highlight w:val="none"/>
        </w:rPr>
      </w:pPr>
      <w:r>
        <w:rPr>
          <w:rFonts w:hint="eastAsia" w:ascii="宋体" w:hAnsi="宋体"/>
          <w:color w:val="000000" w:themeColor="text1"/>
          <w:szCs w:val="21"/>
          <w:highlight w:val="none"/>
        </w:rPr>
        <w:t>投标人为小型、微型企业的，请提交《中小企业声明函》（详情见《政府采购促进中小企业发展暂行办法》）。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72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_Toc23602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_Toc23602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_Toc24625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_Toc24625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_Toc12273 </w:instrText>
      </w:r>
      <w:r>
        <w:rPr>
          <w:bCs/>
          <w:caps/>
          <w:color w:val="000000" w:themeColor="text1"/>
          <w:szCs w:val="21"/>
          <w:highlight w:val="none"/>
        </w:rPr>
        <w:fldChar w:fldCharType="separate"/>
      </w:r>
      <w:r>
        <w:rPr>
          <w:rFonts w:hint="eastAsia"/>
          <w:color w:val="000000" w:themeColor="text1"/>
          <w:kern w:val="0"/>
          <w:highlight w:val="none"/>
          <w:lang w:val="en-US" w:eastAsia="zh-CN"/>
        </w:rPr>
        <w:t>用户需求书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_Toc12273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_Toc6248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_Toc6248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_Toc22287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_Toc22287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_Toc30048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_Toc30048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_Toc28647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_Toc28647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_Toc8756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_Toc8756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_Toc12627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_Toc12627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_Toc16781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_Toc16781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_Toc2313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_Toc2313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_Toc30538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_Toc30538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_Toc5853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_Toc5853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_Toc4050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_Toc4050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_Toc6617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_Toc6617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_Toc26946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_Toc26946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_Toc3575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_Toc3575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_Toc5304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_Toc5304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_Toc22723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_Toc22723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_Toc7915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_Toc7915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_Toc1032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_Toc1032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_Toc8865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_Toc8865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_Toc16119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_Toc16119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_Toc7108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_Toc7108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_Toc24932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_Toc24932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_Toc26655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_Toc26655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_Toc18958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_Toc18958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_Toc2831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_Toc30738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_Toc30738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_Toc13225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_Toc13225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_Toc16678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_Toc16678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_Toc20434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_Toc20434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_Toc8083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_Toc8083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_Toc16373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_Toc16373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_Toc26386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_Toc26386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_Toc29534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_Toc29534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_Toc14909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_Toc14909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_Toc4170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_Toc4170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_Toc1114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_Toc8945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_Toc8945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_Toc32394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_Toc32394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_Toc3735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_Toc3735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_Toc23321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_Toc23321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_Toc4102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_Toc4102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_Toc12435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_Toc12435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_Toc9438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_Toc9438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_Toc19027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_Toc19027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_Toc1634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_Toc1634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_Toc29341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_Toc29341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_Toc7079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_Toc7079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_Toc10889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_Toc10889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_Toc9812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_Toc9812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_Toc9801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_Toc9801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_Toc18010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_Toc18010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_Toc22667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_Toc22667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_Toc5180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_Toc5180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_Toc28171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_Toc28171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_Toc20204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_Toc20204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_Toc25230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_Toc25230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_Toc16714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w:t>
      </w:r>
      <w:r>
        <w:rPr>
          <w:rFonts w:hint="eastAsia"/>
          <w:color w:val="000000" w:themeColor="text1"/>
          <w:highlight w:val="none"/>
          <w:lang w:val="en-US" w:eastAsia="zh-CN"/>
        </w:rPr>
        <w:t>用户需求</w:t>
      </w:r>
      <w:r>
        <w:rPr>
          <w:rFonts w:hint="eastAsia"/>
          <w:color w:val="000000" w:themeColor="text1"/>
          <w:highlight w:val="none"/>
        </w:rPr>
        <w:t>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_Toc16714 \h </w:instrText>
      </w:r>
      <w:r>
        <w:rPr>
          <w:color w:val="000000" w:themeColor="text1"/>
          <w:highlight w:val="none"/>
        </w:rPr>
        <w:fldChar w:fldCharType="separate"/>
      </w:r>
      <w:r>
        <w:rPr>
          <w:color w:val="000000" w:themeColor="text1"/>
          <w:highlight w:val="none"/>
        </w:rPr>
        <w:t>78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_Toc25309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rFonts w:hint="eastAsia"/>
          <w:color w:val="000000" w:themeColor="text1"/>
          <w:highlight w:val="none"/>
          <w:lang w:val="en-US" w:eastAsia="zh-CN"/>
        </w:rPr>
        <w:t>合同条款</w:t>
      </w:r>
      <w:r>
        <w:rPr>
          <w:rFonts w:hint="eastAsia"/>
          <w:color w:val="000000" w:themeColor="text1"/>
          <w:highlight w:val="none"/>
        </w:rPr>
        <w:t>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_Toc25309 \h </w:instrText>
      </w:r>
      <w:r>
        <w:rPr>
          <w:color w:val="000000" w:themeColor="text1"/>
          <w:highlight w:val="none"/>
        </w:rPr>
        <w:fldChar w:fldCharType="separate"/>
      </w:r>
      <w:r>
        <w:rPr>
          <w:color w:val="000000" w:themeColor="text1"/>
          <w:highlight w:val="none"/>
        </w:rPr>
        <w:t>79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_Toc25789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_Toc25789 \h </w:instrText>
      </w:r>
      <w:r>
        <w:rPr>
          <w:color w:val="000000" w:themeColor="text1"/>
          <w:highlight w:val="none"/>
        </w:rPr>
        <w:fldChar w:fldCharType="separate"/>
      </w:r>
      <w:r>
        <w:rPr>
          <w:color w:val="000000" w:themeColor="text1"/>
          <w:highlight w:val="none"/>
        </w:rPr>
        <w:t>80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_Toc2942 \h </w:instrText>
      </w:r>
      <w:r>
        <w:rPr>
          <w:color w:val="000000" w:themeColor="text1"/>
          <w:highlight w:val="none"/>
        </w:rPr>
        <w:fldChar w:fldCharType="separate"/>
      </w:r>
      <w:r>
        <w:rPr>
          <w:color w:val="000000" w:themeColor="text1"/>
          <w:highlight w:val="none"/>
        </w:rPr>
        <w:t>81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_Toc12680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_Toc12680 \h </w:instrText>
      </w:r>
      <w:r>
        <w:rPr>
          <w:color w:val="000000" w:themeColor="text1"/>
          <w:highlight w:val="none"/>
        </w:rPr>
        <w:fldChar w:fldCharType="separate"/>
      </w:r>
      <w:r>
        <w:rPr>
          <w:color w:val="000000" w:themeColor="text1"/>
          <w:highlight w:val="none"/>
        </w:rPr>
        <w:t>82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_Toc21045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_Toc21045 \h </w:instrText>
      </w:r>
      <w:r>
        <w:rPr>
          <w:color w:val="000000" w:themeColor="text1"/>
          <w:highlight w:val="none"/>
        </w:rPr>
        <w:fldChar w:fldCharType="separate"/>
      </w:r>
      <w:r>
        <w:rPr>
          <w:color w:val="000000" w:themeColor="text1"/>
          <w:highlight w:val="none"/>
        </w:rPr>
        <w:t>83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_Toc21185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_Toc21185 \h </w:instrText>
      </w:r>
      <w:r>
        <w:rPr>
          <w:color w:val="000000" w:themeColor="text1"/>
          <w:highlight w:val="none"/>
        </w:rPr>
        <w:fldChar w:fldCharType="separate"/>
      </w:r>
      <w:r>
        <w:rPr>
          <w:color w:val="000000" w:themeColor="text1"/>
          <w:highlight w:val="none"/>
        </w:rPr>
        <w:t>84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_Toc6294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_Toc6294 \h </w:instrText>
      </w:r>
      <w:r>
        <w:rPr>
          <w:color w:val="000000" w:themeColor="text1"/>
          <w:highlight w:val="none"/>
        </w:rPr>
        <w:fldChar w:fldCharType="separate"/>
      </w:r>
      <w:r>
        <w:rPr>
          <w:color w:val="000000" w:themeColor="text1"/>
          <w:highlight w:val="none"/>
        </w:rPr>
        <w:t>85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_Toc25371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_Toc25371 \h </w:instrText>
      </w:r>
      <w:r>
        <w:rPr>
          <w:color w:val="000000" w:themeColor="text1"/>
          <w:highlight w:val="none"/>
        </w:rPr>
        <w:fldChar w:fldCharType="separate"/>
      </w:r>
      <w:r>
        <w:rPr>
          <w:color w:val="000000" w:themeColor="text1"/>
          <w:highlight w:val="none"/>
        </w:rPr>
        <w:t>86</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7632315"/>
      <w:bookmarkStart w:id="2" w:name="_Toc365985108"/>
      <w:bookmarkStart w:id="3" w:name="_Toc340507403"/>
      <w:bookmarkStart w:id="4" w:name="_Toc350756403"/>
      <w:bookmarkStart w:id="5" w:name="_Toc366072457"/>
      <w:bookmarkStart w:id="6" w:name="_Toc336681892"/>
      <w:bookmarkStart w:id="7" w:name="_Toc339020186"/>
      <w:bookmarkStart w:id="8" w:name="_Toc349143546"/>
      <w:bookmarkStart w:id="9" w:name="_Toc23602"/>
      <w:bookmarkStart w:id="10" w:name="_Toc339362257"/>
      <w:bookmarkStart w:id="11" w:name="_Toc365967002"/>
      <w:bookmarkStart w:id="12" w:name="_Toc340677031"/>
      <w:bookmarkStart w:id="13" w:name="_Toc342060322"/>
      <w:bookmarkStart w:id="14" w:name="_Toc333237723"/>
      <w:bookmarkStart w:id="15" w:name="_Toc339019954"/>
      <w:bookmarkStart w:id="16" w:name="_Toc341348291"/>
      <w:bookmarkStart w:id="17" w:name="_Toc350438702"/>
      <w:bookmarkStart w:id="18" w:name="_Toc340672830"/>
      <w:bookmarkStart w:id="19" w:name="_Toc333238571"/>
      <w:bookmarkStart w:id="20" w:name="_Toc331512856"/>
      <w:bookmarkStart w:id="21" w:name="_Toc331683994"/>
      <w:bookmarkStart w:id="22" w:name="_Toc339441044"/>
      <w:bookmarkStart w:id="23" w:name="_Toc333935278"/>
      <w:bookmarkStart w:id="24" w:name="_Toc339020048"/>
      <w:bookmarkStart w:id="25" w:name="_Toc339019828"/>
      <w:bookmarkStart w:id="26" w:name="_Toc342296708"/>
      <w:bookmarkStart w:id="27" w:name="_Toc333935619"/>
      <w:bookmarkStart w:id="28" w:name="_Toc333237612"/>
      <w:bookmarkStart w:id="29" w:name="_Toc332206657"/>
      <w:bookmarkStart w:id="30" w:name="_Toc330459945"/>
      <w:bookmarkStart w:id="31" w:name="_Toc332270305"/>
      <w:bookmarkStart w:id="32" w:name="_Toc345513762"/>
      <w:bookmarkStart w:id="33" w:name="_Toc349127583"/>
      <w:bookmarkStart w:id="34" w:name="_Toc33668153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国家税务总局阳西县税务局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国家税务总局阳西县税务局2023年－2025年物业管理服务项目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YXCG-20230515</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hint="eastAsia" w:ascii="Tahoma" w:hAnsi="Tahoma" w:eastAsia="宋体" w:cs="Tahoma"/>
          <w:b/>
          <w:bCs/>
          <w:color w:val="000000" w:themeColor="text1"/>
          <w:szCs w:val="21"/>
          <w:highlight w:val="none"/>
          <w:lang w:eastAsia="zh-CN"/>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r>
        <w:rPr>
          <w:rFonts w:hint="eastAsia" w:ascii="Tahoma" w:hAnsi="Tahoma" w:cs="Tahoma"/>
          <w:b/>
          <w:bCs/>
          <w:color w:val="000000" w:themeColor="text1"/>
          <w:szCs w:val="21"/>
          <w:highlight w:val="none"/>
          <w:lang w:eastAsia="zh-CN"/>
        </w:rPr>
        <w:t>等</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国家税务总局阳西县税务局2023年－2025年物业管理服务项目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YXCG-20230515</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项目预算</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人民币240万元，其中每年120万元，不划分包组。</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 w:val="0"/>
          <w:bCs w:val="0"/>
          <w:color w:val="000000" w:themeColor="text1"/>
          <w:szCs w:val="21"/>
          <w:highlight w:val="none"/>
        </w:rPr>
        <w:t>服务期</w:t>
      </w:r>
      <w:r>
        <w:rPr>
          <w:rFonts w:hint="eastAsia" w:ascii="宋体" w:hAnsi="宋体"/>
          <w:b w:val="0"/>
          <w:bCs w:val="0"/>
          <w:color w:val="000000" w:themeColor="text1"/>
          <w:spacing w:val="-6"/>
          <w:szCs w:val="21"/>
          <w:highlight w:val="none"/>
        </w:rPr>
        <w:t>：</w:t>
      </w:r>
      <w:r>
        <w:rPr>
          <w:rFonts w:hint="eastAsia" w:ascii="宋体" w:hAnsi="宋体"/>
          <w:color w:val="000000" w:themeColor="text1"/>
          <w:szCs w:val="21"/>
          <w:highlight w:val="none"/>
          <w:lang w:eastAsia="zh-CN"/>
        </w:rPr>
        <w:t>两年，共24个月。</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b w:val="0"/>
          <w:bCs w:val="0"/>
          <w:color w:val="000000" w:themeColor="text1"/>
          <w:highlight w:val="none"/>
          <w:lang w:eastAsia="zh-CN"/>
        </w:rPr>
      </w:pPr>
      <w:r>
        <w:rPr>
          <w:rFonts w:hint="eastAsia" w:ascii="宋体" w:hAnsi="宋体" w:cs="Tahoma"/>
          <w:color w:val="000000" w:themeColor="text1"/>
          <w:kern w:val="28"/>
          <w:szCs w:val="21"/>
          <w:highlight w:val="none"/>
        </w:rPr>
        <w:t>项目采购方式：公开招标</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b w:val="0"/>
          <w:bCs w:val="0"/>
          <w:color w:val="000000" w:themeColor="text1"/>
          <w:highlight w:val="none"/>
          <w:lang w:eastAsia="zh-CN"/>
        </w:rPr>
      </w:pPr>
      <w:r>
        <w:rPr>
          <w:rFonts w:hint="eastAsia" w:ascii="宋体" w:hAnsi="宋体" w:cs="Tahoma"/>
          <w:b w:val="0"/>
          <w:bCs w:val="0"/>
          <w:color w:val="000000" w:themeColor="text1"/>
          <w:highlight w:val="none"/>
          <w:lang w:eastAsia="zh-CN"/>
        </w:rPr>
        <w:t>项目总费用明细：</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）服务人员正常工作时间的工资及</w:t>
      </w:r>
      <w:r>
        <w:rPr>
          <w:rFonts w:hint="eastAsia" w:ascii="宋体" w:hAnsi="宋体" w:eastAsia="宋体" w:cs="宋体"/>
          <w:color w:val="000000" w:themeColor="text1"/>
          <w:highlight w:val="none"/>
          <w:lang w:val="en-US" w:eastAsia="zh-CN"/>
        </w:rPr>
        <w:t>加班费</w:t>
      </w:r>
      <w:r>
        <w:rPr>
          <w:rFonts w:hint="eastAsia" w:ascii="宋体" w:hAnsi="宋体" w:eastAsia="宋体" w:cs="宋体"/>
          <w:color w:val="000000" w:themeColor="text1"/>
          <w:highlight w:val="none"/>
          <w:lang w:eastAsia="zh-CN"/>
        </w:rPr>
        <w:t>、福利、应缴纳各项社会保险费（含养老、医疗、工伤、失业、生育险</w:t>
      </w:r>
      <w:r>
        <w:rPr>
          <w:rFonts w:hint="eastAsia" w:ascii="宋体" w:hAnsi="宋体" w:cs="宋体"/>
          <w:color w:val="000000" w:themeColor="text1"/>
          <w:highlight w:val="none"/>
          <w:lang w:eastAsia="zh-CN"/>
        </w:rPr>
        <w:t>、高额医疗保险</w:t>
      </w:r>
      <w:r>
        <w:rPr>
          <w:rFonts w:hint="eastAsia" w:ascii="宋体" w:hAnsi="宋体" w:eastAsia="宋体" w:cs="宋体"/>
          <w:color w:val="000000" w:themeColor="text1"/>
          <w:highlight w:val="none"/>
          <w:lang w:eastAsia="zh-CN"/>
        </w:rPr>
        <w:t>）、住房公积金</w:t>
      </w:r>
      <w:r>
        <w:rPr>
          <w:rFonts w:hint="eastAsia" w:ascii="宋体" w:hAnsi="宋体" w:cs="宋体"/>
          <w:color w:val="000000" w:themeColor="text1"/>
          <w:highlight w:val="none"/>
          <w:lang w:eastAsia="zh-CN"/>
        </w:rPr>
        <w:t>。</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（2）对服务人员开展节日慰问，提供年度体检服务、培训教育、工作制服有关的费用。</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上述第（1）（2）项费用，</w:t>
      </w:r>
      <w:r>
        <w:rPr>
          <w:rFonts w:hint="eastAsia" w:ascii="宋体" w:hAnsi="宋体" w:eastAsia="宋体" w:cs="宋体"/>
          <w:color w:val="000000" w:themeColor="text1"/>
          <w:highlight w:val="none"/>
          <w:lang w:eastAsia="zh-CN"/>
        </w:rPr>
        <w:t>以下</w:t>
      </w:r>
      <w:r>
        <w:rPr>
          <w:rFonts w:hint="eastAsia" w:ascii="宋体" w:hAnsi="宋体" w:eastAsia="宋体" w:cs="宋体"/>
          <w:color w:val="000000" w:themeColor="text1"/>
          <w:highlight w:val="none"/>
          <w:lang w:val="en-US" w:eastAsia="zh-CN"/>
        </w:rPr>
        <w:t>合</w:t>
      </w:r>
      <w:r>
        <w:rPr>
          <w:rFonts w:hint="eastAsia" w:ascii="宋体" w:hAnsi="宋体" w:eastAsia="宋体" w:cs="宋体"/>
          <w:color w:val="000000" w:themeColor="text1"/>
          <w:highlight w:val="none"/>
          <w:lang w:eastAsia="zh-CN"/>
        </w:rPr>
        <w:t>称“薪酬”。</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合同履行过程中因与员工产生劳动纠纷而产生的经济补偿金或赔偿金、工伤待遇、未及时签订劳动合同的另一倍工资等可能产生的法律责任和费用均由中标人承担，中标人不得要求采购人承担。</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（4）中标人的服务管理费：每月服务管理费按不得高于该月份服务人员薪酬的10%计算（取小数点后两位）。</w:t>
      </w:r>
    </w:p>
    <w:p>
      <w:pPr>
        <w:numPr>
          <w:ilvl w:val="0"/>
          <w:numId w:val="0"/>
        </w:numPr>
        <w:bidi w:val="0"/>
        <w:spacing w:line="360" w:lineRule="auto"/>
        <w:ind w:firstLine="420" w:firstLineChars="200"/>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投标人只需对服务管理费的折扣率进行报价。报价方式：折扣率（0-100%）</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ascii="宋体" w:hAnsi="宋体"/>
          <w:color w:val="000000" w:themeColor="text1"/>
          <w:szCs w:val="21"/>
          <w:highlight w:val="none"/>
        </w:rPr>
        <w:t>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ascii="宋体" w:hAnsi="宋体"/>
          <w:color w:val="000000" w:themeColor="text1"/>
          <w:szCs w:val="21"/>
          <w:highlight w:val="none"/>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shd w:val="clear" w:color="auto" w:fill="FFFFFF"/>
        </w:rPr>
        <w:t>投标人未被列入“信用中国”网站(</w:t>
      </w:r>
      <w:r>
        <w:rPr>
          <w:rFonts w:hint="eastAsia" w:ascii="宋体" w:hAnsi="宋体" w:eastAsia="宋体" w:cs="宋体"/>
          <w:color w:val="000000" w:themeColor="text1"/>
          <w:szCs w:val="21"/>
          <w:highlight w:val="none"/>
          <w:shd w:val="clear" w:color="auto" w:fill="FFFFFF"/>
        </w:rPr>
        <w:fldChar w:fldCharType="begin"/>
      </w:r>
      <w:r>
        <w:rPr>
          <w:rFonts w:hint="eastAsia" w:ascii="宋体" w:hAnsi="宋体" w:eastAsia="宋体" w:cs="宋体"/>
          <w:color w:val="000000" w:themeColor="text1"/>
          <w:szCs w:val="21"/>
          <w:highlight w:val="none"/>
          <w:shd w:val="clear" w:color="auto" w:fill="FFFFFF"/>
        </w:rPr>
        <w:instrText xml:space="preserve"> HYPERLINK "http://www.creditchina.gov.cn" </w:instrText>
      </w:r>
      <w:r>
        <w:rPr>
          <w:rFonts w:hint="eastAsia" w:ascii="宋体" w:hAnsi="宋体" w:eastAsia="宋体" w:cs="宋体"/>
          <w:color w:val="000000" w:themeColor="text1"/>
          <w:szCs w:val="21"/>
          <w:highlight w:val="none"/>
          <w:shd w:val="clear" w:color="auto" w:fill="FFFFFF"/>
        </w:rPr>
        <w:fldChar w:fldCharType="separate"/>
      </w:r>
      <w:r>
        <w:rPr>
          <w:rFonts w:hint="eastAsia" w:ascii="宋体" w:hAnsi="宋体" w:eastAsia="宋体" w:cs="宋体"/>
          <w:color w:val="000000" w:themeColor="text1"/>
          <w:szCs w:val="21"/>
          <w:highlight w:val="none"/>
          <w:shd w:val="clear" w:color="auto" w:fill="FFFFFF"/>
        </w:rPr>
        <w:t>www.creditchina.gov.cn</w:t>
      </w:r>
      <w:r>
        <w:rPr>
          <w:rFonts w:hint="eastAsia" w:ascii="宋体" w:hAnsi="宋体" w:eastAsia="宋体" w:cs="宋体"/>
          <w:color w:val="000000" w:themeColor="text1"/>
          <w:szCs w:val="21"/>
          <w:highlight w:val="none"/>
          <w:shd w:val="clear" w:color="auto" w:fill="FFFFFF"/>
        </w:rPr>
        <w:fldChar w:fldCharType="end"/>
      </w:r>
      <w:r>
        <w:rPr>
          <w:rFonts w:hint="eastAsia" w:ascii="宋体" w:hAnsi="宋体" w:eastAsia="宋体" w:cs="宋体"/>
          <w:color w:val="000000" w:themeColor="text1"/>
          <w:szCs w:val="21"/>
          <w:highlight w:val="none"/>
          <w:shd w:val="clear" w:color="auto" w:fill="FFFFFF"/>
        </w:rPr>
        <w:t>)以下任意名单之一：①失信被执行人名单；②重大税收违法案件当事人名单；③政府采购严重违法失信名单。同时，不处于中国政府采购网（www.ccgp.gov.cn ）“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shd w:val="clear" w:color="auto" w:fill="FFFFFF"/>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r>
        <w:rPr>
          <w:rFonts w:hint="eastAsia" w:ascii="宋体" w:hAnsi="宋体" w:eastAsia="宋体" w:cs="宋体"/>
          <w:color w:val="000000" w:themeColor="text1"/>
          <w:highlight w:val="none"/>
        </w:rPr>
        <w:t>。（所属行业为：物业管理）</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27</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bCs/>
          <w:color w:val="000000" w:themeColor="text1"/>
          <w:highlight w:val="none"/>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27</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bCs/>
          <w:color w:val="000000" w:themeColor="text1"/>
          <w:highlight w:val="none"/>
        </w:rPr>
        <w:t>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ascii="宋体" w:hAnsi="宋体" w:cs="Arial"/>
          <w:color w:val="000000" w:themeColor="text1"/>
          <w:highlight w:val="none"/>
        </w:rPr>
      </w:pPr>
      <w:r>
        <w:rPr>
          <w:rFonts w:hint="eastAsia" w:ascii="宋体" w:hAnsi="宋体" w:cs="Tahoma"/>
          <w:color w:val="000000" w:themeColor="text1"/>
          <w:highlight w:val="none"/>
        </w:rPr>
        <w:t>1.递交投标文件时间：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7</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11</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2.投标截止时间、开标时间：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7</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11</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国家税务总局阳西县税务局</w:t>
      </w:r>
    </w:p>
    <w:p>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址：广东省阳江市阳西县织篢镇桥平一路278号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人：梁先生</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联系电话：0662-5539357</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wordWrap/>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pPr>
        <w:tabs>
          <w:tab w:val="left" w:pos="4680"/>
        </w:tabs>
        <w:adjustRightInd w:val="0"/>
        <w:snapToGrid w:val="0"/>
        <w:spacing w:line="360" w:lineRule="auto"/>
        <w:ind w:firstLine="1680" w:firstLineChars="800"/>
        <w:rPr>
          <w:rFonts w:ascii="宋体" w:hAnsi="宋体"/>
          <w:bCs/>
          <w:color w:val="000000" w:themeColor="text1"/>
          <w:highlight w:val="none"/>
        </w:rPr>
      </w:pP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adjustRightInd w:val="0"/>
        <w:snapToGrid w:val="0"/>
        <w:spacing w:line="360" w:lineRule="auto"/>
        <w:rPr>
          <w:rFonts w:ascii="宋体" w:hAnsi="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bCs/>
          <w:color w:val="000000" w:themeColor="text1"/>
          <w:highlight w:val="none"/>
        </w:rPr>
      </w:pP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39019955"/>
      <w:bookmarkStart w:id="38" w:name="_Toc331512857"/>
      <w:bookmarkStart w:id="39" w:name="_Toc342296709"/>
      <w:bookmarkStart w:id="40" w:name="_Toc336681893"/>
      <w:bookmarkStart w:id="41" w:name="_Toc333237724"/>
      <w:bookmarkStart w:id="42" w:name="_Toc340672831"/>
      <w:bookmarkStart w:id="43" w:name="_Toc349127584"/>
      <w:bookmarkStart w:id="44" w:name="_Toc336681538"/>
      <w:bookmarkStart w:id="45" w:name="_Toc339362258"/>
      <w:bookmarkStart w:id="46" w:name="_Toc332206658"/>
      <w:bookmarkStart w:id="47" w:name="_Toc337632316"/>
      <w:bookmarkStart w:id="48" w:name="_Toc332270306"/>
      <w:bookmarkStart w:id="49" w:name="_Toc350756404"/>
      <w:bookmarkStart w:id="50" w:name="_Toc341348292"/>
      <w:bookmarkStart w:id="51" w:name="_Toc340677032"/>
      <w:bookmarkStart w:id="52" w:name="_Toc345513763"/>
      <w:bookmarkStart w:id="53" w:name="_Toc339019829"/>
      <w:bookmarkStart w:id="54" w:name="_Toc333238572"/>
      <w:bookmarkStart w:id="55" w:name="_Toc340507404"/>
      <w:bookmarkStart w:id="56" w:name="_Toc339020187"/>
      <w:bookmarkStart w:id="57" w:name="_Toc349143547"/>
      <w:bookmarkStart w:id="58" w:name="_Toc331683995"/>
      <w:bookmarkStart w:id="59" w:name="_Toc365985109"/>
      <w:bookmarkStart w:id="60" w:name="_Toc350438703"/>
      <w:bookmarkStart w:id="61" w:name="_Toc333935279"/>
      <w:bookmarkStart w:id="62" w:name="_Toc333935620"/>
      <w:bookmarkStart w:id="63" w:name="_Toc366072458"/>
      <w:bookmarkStart w:id="64" w:name="_Toc339441045"/>
      <w:bookmarkStart w:id="65" w:name="_Toc342060323"/>
      <w:bookmarkStart w:id="66" w:name="_Toc365967003"/>
      <w:bookmarkStart w:id="67" w:name="_Toc339020049"/>
      <w:bookmarkStart w:id="68" w:name="_Toc330459946"/>
      <w:bookmarkStart w:id="69" w:name="_Toc333237613"/>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jc w:val="center"/>
        <w:rPr>
          <w:color w:val="000000" w:themeColor="text1"/>
          <w:highlight w:val="none"/>
        </w:rPr>
      </w:pPr>
      <w:bookmarkStart w:id="70" w:name="_Toc2462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75570886"/>
      <w:bookmarkStart w:id="74" w:name="_Toc330459949"/>
      <w:bookmarkStart w:id="75" w:name="_Toc333237725"/>
      <w:bookmarkStart w:id="76" w:name="_Toc333237614"/>
      <w:bookmarkStart w:id="77" w:name="_Toc333935280"/>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1"/>
          <w:numId w:val="0"/>
        </w:numPr>
        <w:spacing w:beforeLines="150" w:after="0" w:line="360" w:lineRule="auto"/>
        <w:jc w:val="center"/>
        <w:rPr>
          <w:rFonts w:hint="eastAsia"/>
          <w:color w:val="000000" w:themeColor="text1"/>
          <w:kern w:val="0"/>
          <w:sz w:val="24"/>
          <w:highlight w:val="none"/>
          <w:lang w:val="en-US" w:eastAsia="zh-CN"/>
        </w:rPr>
      </w:pPr>
      <w:bookmarkStart w:id="79" w:name="_Toc12273"/>
      <w:bookmarkStart w:id="80" w:name="_Toc365985146"/>
      <w:bookmarkStart w:id="81" w:name="_Toc339362267"/>
      <w:bookmarkStart w:id="82" w:name="_Toc330459952"/>
      <w:bookmarkStart w:id="83" w:name="_Toc332206675"/>
      <w:bookmarkStart w:id="84" w:name="_Toc350438716"/>
      <w:bookmarkStart w:id="85" w:name="_Toc339020062"/>
      <w:bookmarkStart w:id="86" w:name="_Toc333237644"/>
      <w:bookmarkStart w:id="87" w:name="_Toc336681902"/>
      <w:bookmarkStart w:id="88" w:name="_Toc333935313"/>
      <w:bookmarkStart w:id="89" w:name="_Toc339020200"/>
      <w:bookmarkStart w:id="90" w:name="_Toc342060341"/>
      <w:bookmarkStart w:id="91" w:name="_Toc340677037"/>
      <w:bookmarkStart w:id="92" w:name="_Toc333935654"/>
      <w:bookmarkStart w:id="93" w:name="_Toc332270313"/>
      <w:bookmarkStart w:id="94" w:name="_Toc331512865"/>
      <w:bookmarkStart w:id="95" w:name="_Toc341348305"/>
      <w:bookmarkStart w:id="96" w:name="_Toc345513834"/>
      <w:bookmarkStart w:id="97" w:name="_Toc365967040"/>
      <w:bookmarkStart w:id="98" w:name="_Toc331684005"/>
      <w:bookmarkStart w:id="99" w:name="_Toc339441054"/>
      <w:bookmarkStart w:id="100" w:name="_Toc339019982"/>
      <w:bookmarkStart w:id="101" w:name="_Toc333238600"/>
      <w:bookmarkStart w:id="102" w:name="_Toc340507409"/>
      <w:bookmarkStart w:id="103" w:name="_Toc336681547"/>
      <w:bookmarkStart w:id="104" w:name="_Toc333237755"/>
      <w:bookmarkStart w:id="105" w:name="_Toc337632325"/>
      <w:bookmarkStart w:id="106" w:name="_Toc339019856"/>
      <w:bookmarkStart w:id="107" w:name="_Toc349127593"/>
      <w:bookmarkStart w:id="108" w:name="_Toc366072495"/>
      <w:bookmarkStart w:id="109" w:name="_Toc349143556"/>
      <w:bookmarkStart w:id="110" w:name="_Toc340672836"/>
      <w:bookmarkStart w:id="111" w:name="_Toc342296727"/>
      <w:bookmarkStart w:id="112" w:name="_Toc350756417"/>
      <w:r>
        <w:rPr>
          <w:rFonts w:hint="eastAsia"/>
          <w:color w:val="000000" w:themeColor="text1"/>
          <w:kern w:val="0"/>
          <w:sz w:val="24"/>
          <w:highlight w:val="none"/>
          <w:lang w:val="en-US" w:eastAsia="zh-CN"/>
        </w:rPr>
        <w:t>用户需求书</w:t>
      </w:r>
      <w:bookmarkEnd w:id="7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13" w:name="_Toc10620"/>
      <w:bookmarkStart w:id="114" w:name="_Toc8483"/>
      <w:bookmarkStart w:id="115" w:name="_Toc31316"/>
      <w:bookmarkStart w:id="116" w:name="_Toc12100"/>
      <w:r>
        <w:rPr>
          <w:rFonts w:hint="eastAsia" w:ascii="宋体" w:hAnsi="宋体" w:eastAsia="宋体" w:cs="宋体"/>
          <w:b/>
          <w:bCs/>
          <w:color w:val="000000" w:themeColor="text1"/>
          <w:highlight w:val="none"/>
        </w:rPr>
        <w:t>一、项目概述</w:t>
      </w:r>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一</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项目背景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在政策层面，《中华人民共和国民法典》、《物业管理条例》等法律法规，对规范物业管理行为，强化社会物管意识，保障物管行业健康发展提供了基本遵循。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需求层面，随着国内物业管理品质不断提升，办公楼宇信息技术、节能环保技术的发展，各行业对专业化、人性化物业管理技术能力的需求也不断提高。为适应税收事业现代化发展，满足日益增长的专业化物业管理服务需求，</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开展物业管理服务进行公开招标。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在意义层面，本项目通过公开招标，有利于保障社会公共利益和物业管理服务招标采购活动当事人的合法权益，维护公平竞争的市场秩序，有利于进一步提升</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机关物业管理水平。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项目内容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标的名称：</w:t>
      </w:r>
      <w:r>
        <w:rPr>
          <w:rFonts w:hint="eastAsia" w:ascii="宋体" w:hAnsi="宋体" w:eastAsia="宋体" w:cs="宋体"/>
          <w:color w:val="000000" w:themeColor="text1"/>
          <w:highlight w:val="none"/>
          <w:lang w:eastAsia="zh-CN"/>
        </w:rPr>
        <w:t>国家税务总局阳西县税务局2023年－2025年物业管理服务项目</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标的金额：总预算金额</w:t>
      </w:r>
      <w:r>
        <w:rPr>
          <w:rFonts w:hint="eastAsia" w:ascii="宋体" w:hAnsi="宋体" w:eastAsia="宋体" w:cs="宋体"/>
          <w:color w:val="000000" w:themeColor="text1"/>
          <w:highlight w:val="none"/>
          <w:lang w:val="en-US" w:eastAsia="zh-CN"/>
        </w:rPr>
        <w:t>240</w:t>
      </w:r>
      <w:r>
        <w:rPr>
          <w:rFonts w:hint="eastAsia" w:ascii="宋体" w:hAnsi="宋体" w:eastAsia="宋体" w:cs="宋体"/>
          <w:color w:val="000000" w:themeColor="text1"/>
          <w:highlight w:val="none"/>
        </w:rPr>
        <w:t>万元，其中每年</w:t>
      </w:r>
      <w:r>
        <w:rPr>
          <w:rFonts w:hint="eastAsia" w:ascii="宋体" w:hAnsi="宋体" w:eastAsia="宋体" w:cs="宋体"/>
          <w:color w:val="000000" w:themeColor="text1"/>
          <w:highlight w:val="none"/>
          <w:lang w:val="en-US" w:eastAsia="zh-CN"/>
        </w:rPr>
        <w:t>120</w:t>
      </w:r>
      <w:r>
        <w:rPr>
          <w:rFonts w:hint="eastAsia" w:ascii="宋体" w:hAnsi="宋体" w:eastAsia="宋体" w:cs="宋体"/>
          <w:color w:val="000000" w:themeColor="text1"/>
          <w:highlight w:val="none"/>
        </w:rPr>
        <w:t>万元，不划分包组。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服务期限：两年</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共24个月。采购人对中标人的服务质量进行综合考核，若中标人累计2个月以上服务质量及综合指标考核不合格(考核标准详见附件)，采购人可向中标人送达《终止合同通知书》，并终止合同；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本项目的中小企业划分标准所属行业为：物业管理。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eastAsia="zh-CN"/>
        </w:rPr>
        <w:t>服务地点：</w:t>
      </w:r>
      <w:r>
        <w:rPr>
          <w:rFonts w:hint="eastAsia" w:ascii="宋体" w:hAnsi="宋体" w:eastAsia="宋体" w:cs="宋体"/>
          <w:color w:val="000000" w:themeColor="text1"/>
          <w:highlight w:val="none"/>
        </w:rPr>
        <w:t>国家税务总局阳西县税务局桥平办公区、国家税务总局阳西县税务局升平办公区、</w:t>
      </w:r>
      <w:r>
        <w:rPr>
          <w:rFonts w:hint="eastAsia" w:ascii="宋体" w:hAnsi="宋体" w:eastAsia="宋体" w:cs="宋体"/>
          <w:color w:val="000000" w:themeColor="text1"/>
          <w:highlight w:val="none"/>
          <w:lang w:eastAsia="zh-CN"/>
        </w:rPr>
        <w:t>国家税务总局阳西县税务局第一税务分局（办税服务厅）、</w:t>
      </w:r>
      <w:r>
        <w:rPr>
          <w:rFonts w:hint="eastAsia" w:ascii="宋体" w:hAnsi="宋体" w:eastAsia="宋体" w:cs="宋体"/>
          <w:color w:val="000000" w:themeColor="text1"/>
          <w:highlight w:val="none"/>
        </w:rPr>
        <w:t>国家税务总局阳西县税务局沙扒税务分局、国家税务总局阳西县税务局儒洞税务分局</w:t>
      </w:r>
      <w:r>
        <w:rPr>
          <w:rFonts w:hint="eastAsia" w:ascii="宋体" w:hAnsi="宋体" w:eastAsia="宋体" w:cs="宋体"/>
          <w:color w:val="000000" w:themeColor="text1"/>
          <w:highlight w:val="none"/>
          <w:lang w:eastAsia="zh-CN"/>
        </w:rPr>
        <w:t>，以及阳西县内采购人指定的其他地点。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lang w:eastAsia="zh-CN"/>
        </w:rPr>
        <w:t>项目总费用明细：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服务人员正常工作时间的工资及</w:t>
      </w:r>
      <w:r>
        <w:rPr>
          <w:rFonts w:hint="eastAsia" w:ascii="宋体" w:hAnsi="宋体" w:eastAsia="宋体" w:cs="宋体"/>
          <w:color w:val="000000" w:themeColor="text1"/>
          <w:highlight w:val="none"/>
          <w:lang w:val="en-US" w:eastAsia="zh-CN"/>
        </w:rPr>
        <w:t>加班费</w:t>
      </w:r>
      <w:r>
        <w:rPr>
          <w:rFonts w:hint="eastAsia" w:ascii="宋体" w:hAnsi="宋体" w:eastAsia="宋体" w:cs="宋体"/>
          <w:color w:val="000000" w:themeColor="text1"/>
          <w:highlight w:val="none"/>
          <w:lang w:eastAsia="zh-CN"/>
        </w:rPr>
        <w:t>、福利、应缴纳各项社会保险费（含养老、医疗、工伤、失业、生育险</w:t>
      </w:r>
      <w:r>
        <w:rPr>
          <w:rFonts w:hint="eastAsia"/>
          <w:color w:val="000000" w:themeColor="text1"/>
          <w:highlight w:val="none"/>
          <w:lang w:eastAsia="zh-CN"/>
        </w:rPr>
        <w:t>、高额医疗保险</w:t>
      </w:r>
      <w:r>
        <w:rPr>
          <w:rFonts w:hint="eastAsia" w:ascii="宋体" w:hAnsi="宋体" w:eastAsia="宋体" w:cs="宋体"/>
          <w:color w:val="000000" w:themeColor="text1"/>
          <w:highlight w:val="none"/>
          <w:lang w:eastAsia="zh-CN"/>
        </w:rPr>
        <w:t>）、住房公积金</w:t>
      </w:r>
      <w:r>
        <w:rPr>
          <w:rFonts w:hint="eastAsia" w:ascii="宋体" w:hAnsi="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对服务人员开展节日慰问，提供年度体检服务、培训教育、工作制服有关的费用。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上述第（1）（2）项费用，</w:t>
      </w:r>
      <w:r>
        <w:rPr>
          <w:rFonts w:hint="eastAsia" w:ascii="宋体" w:hAnsi="宋体" w:eastAsia="宋体" w:cs="宋体"/>
          <w:color w:val="000000" w:themeColor="text1"/>
          <w:highlight w:val="none"/>
          <w:lang w:eastAsia="zh-CN"/>
        </w:rPr>
        <w:t>以下</w:t>
      </w:r>
      <w:r>
        <w:rPr>
          <w:rFonts w:hint="eastAsia" w:ascii="宋体" w:hAnsi="宋体" w:eastAsia="宋体" w:cs="宋体"/>
          <w:color w:val="000000" w:themeColor="text1"/>
          <w:highlight w:val="none"/>
          <w:lang w:val="en-US" w:eastAsia="zh-CN"/>
        </w:rPr>
        <w:t>合</w:t>
      </w:r>
      <w:r>
        <w:rPr>
          <w:rFonts w:hint="eastAsia" w:ascii="宋体" w:hAnsi="宋体" w:eastAsia="宋体" w:cs="宋体"/>
          <w:color w:val="000000" w:themeColor="text1"/>
          <w:highlight w:val="none"/>
          <w:lang w:eastAsia="zh-CN"/>
        </w:rPr>
        <w:t>称“薪酬”。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合同履行过程中因与员工产生劳动纠纷而产生的经济补偿金或赔偿金、工伤待遇、未及时签订劳动合同的另一倍工资等可能产生的法律责任和费用均由中标人承担，中标人不得要求采购人承担。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（4）中标人的服务管理费：每月服务管理费按不得高于该月份服务人员薪酬的10%计算（取小数点后两位）。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lang w:val="en-US" w:eastAsia="zh-CN"/>
        </w:rPr>
        <w:t>投标人只需对服务管理费的折扣率进行报价。报价方式：折扣率（0-100%）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7、其他要求：中标人在中标后优先录用本次公开招标前自愿与采购人或者相关物业公司解除劳动合同的人员，且录用后其待遇与原待遇应相当。若低于原待遇的，采购人有权要求中标人纠正。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17" w:name="_Toc11200"/>
      <w:bookmarkStart w:id="118" w:name="_Toc12738"/>
      <w:bookmarkStart w:id="119" w:name="_Toc6361"/>
      <w:bookmarkStart w:id="120" w:name="_Toc17937"/>
      <w:r>
        <w:rPr>
          <w:rFonts w:hint="eastAsia" w:ascii="宋体" w:hAnsi="宋体" w:eastAsia="宋体" w:cs="宋体"/>
          <w:b/>
          <w:bCs/>
          <w:color w:val="000000" w:themeColor="text1"/>
          <w:highlight w:val="none"/>
        </w:rPr>
        <w:t>二、投标要求</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（一）满足《中华人民共和国政府采购法》第二十二条规定，提供下列材料：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具有独立承担民事责任的能力</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具有良好的商业信誉和健全的财务会计制度</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具有履行合同所必需的设备和专业技术能力</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有依法缴纳税收和社会保障资金的良好记录</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参加政府采购活动前三年内，在经营活动中没有重大违法记录</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法律、行政法规规定的其他条件</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为采购项目提供整体设计、规范编制或者项目管理、监理、检测等服务的供应商，不再参加该采购项目的其他采购活动。（</w:t>
      </w:r>
      <w:r>
        <w:rPr>
          <w:rFonts w:hint="eastAsia" w:ascii="宋体" w:hAnsi="宋体" w:eastAsia="宋体" w:cs="宋体"/>
          <w:color w:val="000000" w:themeColor="text1"/>
          <w:highlight w:val="none"/>
          <w:lang w:val="en-US" w:eastAsia="zh-CN"/>
        </w:rPr>
        <w:t>提供《投标函》承诺</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提供《投标函》承诺</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投标人未被列入“信用中国”网站(</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"http://www.creditchina.gov.cn"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szCs w:val="21"/>
          <w:highlight w:val="none"/>
          <w:shd w:val="clear" w:color="auto" w:fill="FFFFFF"/>
        </w:rPr>
        <w:t>www.creditchina.gov.cn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)以下任意名单之一：①失信被执行人名单；②重大税收违法案件当事人名单；③政府采购严重违法失信名单。同时，不处于中国政府采购网（www.ccgp.gov.cn ）“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注：需要落实的政府采购政策：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（1）《政府采购促进中小企业发展管理办法》的通知(财库[2020]46号)；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（4）《关于运用政府采购政策支持乡村产业振兴的通知》(财库(2021)19号)等。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21" w:name="_Toc27984"/>
      <w:bookmarkStart w:id="122" w:name="_Toc20864"/>
      <w:bookmarkStart w:id="123" w:name="_Toc29114"/>
      <w:bookmarkStart w:id="124" w:name="_Toc32519"/>
      <w:r>
        <w:rPr>
          <w:rFonts w:hint="eastAsia" w:ascii="宋体" w:hAnsi="宋体" w:eastAsia="宋体" w:cs="宋体"/>
          <w:b/>
          <w:bCs/>
          <w:color w:val="000000" w:themeColor="text1"/>
          <w:highlight w:val="none"/>
        </w:rPr>
        <w:t>三、项目需求</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bookmarkStart w:id="125" w:name="_Hlk98325502"/>
      <w:bookmarkStart w:id="126" w:name="_Hlk99114877"/>
      <w:r>
        <w:rPr>
          <w:rFonts w:hint="eastAsia" w:ascii="宋体" w:hAnsi="宋体" w:eastAsia="宋体" w:cs="宋体"/>
          <w:color w:val="000000" w:themeColor="text1"/>
          <w:highlight w:val="none"/>
          <w:lang w:val="en-US" w:eastAsia="zh-CN"/>
        </w:rPr>
        <w:t>物业服务需求事项：物业档案建立和管理、环境卫生与保洁管理服务</w:t>
      </w:r>
      <w:r>
        <w:rPr>
          <w:rFonts w:hint="eastAsia" w:ascii="宋体" w:hAnsi="宋体" w:eastAsia="宋体" w:cs="宋体"/>
          <w:color w:val="000000" w:themeColor="text1"/>
          <w:highlight w:val="none"/>
        </w:rPr>
        <w:t>（垃圾清</w:t>
      </w:r>
      <w:r>
        <w:rPr>
          <w:rFonts w:hint="eastAsia" w:ascii="宋体" w:hAnsi="宋体" w:eastAsia="宋体" w:cs="宋体"/>
          <w:color w:val="000000" w:themeColor="text1"/>
          <w:highlight w:val="none"/>
          <w:lang w:eastAsia="zh-CN"/>
        </w:rPr>
        <w:t>运</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、污水及化粪池管理、安保及秩序管理服务</w:t>
      </w:r>
      <w:r>
        <w:rPr>
          <w:rFonts w:hint="eastAsia" w:ascii="宋体" w:hAnsi="宋体" w:eastAsia="宋体" w:cs="宋体"/>
          <w:color w:val="000000" w:themeColor="text1"/>
          <w:highlight w:val="none"/>
        </w:rPr>
        <w:t>（停车场管理）</w:t>
      </w:r>
      <w:r>
        <w:rPr>
          <w:rFonts w:hint="eastAsia" w:ascii="宋体" w:hAnsi="宋体" w:eastAsia="宋体" w:cs="宋体"/>
          <w:color w:val="000000" w:themeColor="text1"/>
          <w:highlight w:val="none"/>
          <w:lang w:val="en-US" w:eastAsia="zh-CN"/>
        </w:rPr>
        <w:t>、绿化的养护和管理、物业配套设施设备的日常维护管理等，具体服务内容按照招标文件、合同及双方约定执行。</w:t>
      </w:r>
    </w:p>
    <w:bookmarkEnd w:id="125"/>
    <w:bookmarkEnd w:id="126"/>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127" w:name="_Toc18749"/>
      <w:bookmarkStart w:id="128" w:name="_Toc11004"/>
      <w:bookmarkStart w:id="129" w:name="_Toc26949"/>
      <w:bookmarkStart w:id="130" w:name="_Toc28305"/>
      <w:r>
        <w:rPr>
          <w:rFonts w:hint="eastAsia" w:ascii="宋体" w:hAnsi="宋体" w:eastAsia="宋体" w:cs="宋体"/>
          <w:b/>
          <w:bCs/>
          <w:color w:val="000000" w:themeColor="text1"/>
          <w:sz w:val="21"/>
          <w:szCs w:val="21"/>
          <w:highlight w:val="none"/>
        </w:rPr>
        <w:t>四、项目实施要求</w:t>
      </w:r>
      <w:bookmarkEnd w:id="127"/>
      <w:bookmarkEnd w:id="128"/>
      <w:bookmarkEnd w:id="129"/>
      <w:bookmarkEnd w:id="1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环境卫生与保洁管理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每天至少1次清扫、拖抹公共部分。门厅每天用水拖抹1次，雨天随脏随抹;对人员走动频繁之地，进行不间断巡回保洁</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要求做到地面干净、保持材料本色，无明显灰尘、污渍和杂物，无积水。发现杂物、废弃物立即清理。特殊情况或特殊时期要每天1次消毒。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区域内垃圾实行袋装化，在各公共部位设立公共垃圾箱，在露天公共部位设立杂物箱。由专人分类、清运、处理(包括联系环卫部门运出处理)。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及时清扫服务区域地面积水、垃圾、烟头、枯叶等，使保持干净、无杂物、无积水等。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eastAsia="zh-CN"/>
        </w:rPr>
        <w:t>对垃圾筒每天清洁或清洗</w:t>
      </w:r>
      <w:r>
        <w:rPr>
          <w:rFonts w:hint="eastAsia" w:ascii="宋体" w:hAnsi="宋体" w:eastAsia="宋体" w:cs="宋体"/>
          <w:color w:val="000000" w:themeColor="text1"/>
          <w:sz w:val="21"/>
          <w:szCs w:val="21"/>
          <w:highlight w:val="none"/>
          <w:lang w:val="en-US" w:eastAsia="zh-CN"/>
        </w:rPr>
        <w:t>1次，停车场、室外地面每周进行1次高压冲洗。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每天至少</w:t>
      </w:r>
      <w:r>
        <w:rPr>
          <w:rFonts w:hint="eastAsia" w:ascii="宋体" w:hAnsi="宋体" w:eastAsia="宋体" w:cs="宋体"/>
          <w:color w:val="000000" w:themeColor="text1"/>
          <w:sz w:val="21"/>
          <w:szCs w:val="21"/>
          <w:highlight w:val="none"/>
          <w:lang w:val="en-US" w:eastAsia="zh-CN"/>
        </w:rPr>
        <w:t>1次对公共设备、设施的表面进行清洁、抹净处理，保持洁净。每天擦净、抹净各办公室、会议室、接待室、休息室、餐厅等的办公桌、讲台、文件柜等家具。门窗、梯间内、楼梯扶手、灯饰栏杆、指示牌等无污渍及明显灰尘。每月至少1次用水冲洗所有水泥地面、沥青地面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清洗及保洁各区域的洗手间、更换卫生纸、洗手液、洁厕精。厕内无臭无味，目视地面、坑位、小便池、洗手盆干净，无尿迹、痰迹和其它污迹，无茶渣、烟头、纸巾、果皮等垃圾存在，特殊情况需按实际加强消毒频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每</w:t>
      </w:r>
      <w:r>
        <w:rPr>
          <w:rFonts w:hint="eastAsia" w:ascii="宋体" w:hAnsi="宋体" w:eastAsia="宋体" w:cs="宋体"/>
          <w:color w:val="000000" w:themeColor="text1"/>
          <w:sz w:val="21"/>
          <w:szCs w:val="21"/>
          <w:highlight w:val="none"/>
        </w:rPr>
        <w:t>周至少1</w:t>
      </w:r>
      <w:r>
        <w:rPr>
          <w:rFonts w:hint="eastAsia" w:ascii="宋体" w:hAnsi="宋体" w:eastAsia="宋体" w:cs="宋体"/>
          <w:color w:val="000000" w:themeColor="text1"/>
          <w:sz w:val="21"/>
          <w:szCs w:val="21"/>
          <w:highlight w:val="none"/>
          <w:lang w:eastAsia="zh-CN"/>
        </w:rPr>
        <w:t>次检查并</w:t>
      </w:r>
      <w:r>
        <w:rPr>
          <w:rFonts w:hint="eastAsia" w:ascii="宋体" w:hAnsi="宋体" w:eastAsia="宋体" w:cs="宋体"/>
          <w:color w:val="000000" w:themeColor="text1"/>
          <w:sz w:val="21"/>
          <w:szCs w:val="21"/>
          <w:highlight w:val="none"/>
        </w:rPr>
        <w:t>清</w:t>
      </w:r>
      <w:r>
        <w:rPr>
          <w:rFonts w:hint="eastAsia" w:ascii="宋体" w:hAnsi="宋体" w:eastAsia="宋体" w:cs="宋体"/>
          <w:color w:val="000000" w:themeColor="text1"/>
          <w:sz w:val="21"/>
          <w:szCs w:val="21"/>
          <w:highlight w:val="none"/>
          <w:lang w:eastAsia="zh-CN"/>
        </w:rPr>
        <w:t>扫</w:t>
      </w:r>
      <w:r>
        <w:rPr>
          <w:rFonts w:hint="eastAsia" w:ascii="宋体" w:hAnsi="宋体" w:eastAsia="宋体" w:cs="宋体"/>
          <w:color w:val="000000" w:themeColor="text1"/>
          <w:sz w:val="21"/>
          <w:szCs w:val="21"/>
          <w:highlight w:val="none"/>
        </w:rPr>
        <w:t>大楼天台，</w:t>
      </w:r>
      <w:r>
        <w:rPr>
          <w:rFonts w:hint="eastAsia" w:ascii="宋体" w:hAnsi="宋体" w:eastAsia="宋体" w:cs="宋体"/>
          <w:color w:val="000000" w:themeColor="text1"/>
          <w:sz w:val="21"/>
          <w:szCs w:val="21"/>
          <w:highlight w:val="none"/>
          <w:lang w:eastAsia="zh-CN"/>
        </w:rPr>
        <w:t>设备机房</w:t>
      </w:r>
      <w:r>
        <w:rPr>
          <w:rFonts w:hint="eastAsia" w:ascii="宋体" w:hAnsi="宋体" w:eastAsia="宋体" w:cs="宋体"/>
          <w:color w:val="000000" w:themeColor="text1"/>
          <w:sz w:val="21"/>
          <w:szCs w:val="21"/>
          <w:highlight w:val="none"/>
        </w:rPr>
        <w:t>等</w:t>
      </w:r>
      <w:r>
        <w:rPr>
          <w:rFonts w:hint="eastAsia" w:ascii="宋体" w:hAnsi="宋体" w:eastAsia="宋体" w:cs="宋体"/>
          <w:color w:val="000000" w:themeColor="text1"/>
          <w:sz w:val="21"/>
          <w:szCs w:val="21"/>
          <w:highlight w:val="none"/>
          <w:lang w:eastAsia="zh-CN"/>
        </w:rPr>
        <w:t>场所</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作业时</w:t>
      </w:r>
      <w:r>
        <w:rPr>
          <w:rFonts w:hint="eastAsia" w:ascii="宋体" w:hAnsi="宋体" w:eastAsia="宋体" w:cs="宋体"/>
          <w:color w:val="000000" w:themeColor="text1"/>
          <w:sz w:val="21"/>
          <w:szCs w:val="21"/>
          <w:highlight w:val="none"/>
          <w:lang w:eastAsia="zh-CN"/>
        </w:rPr>
        <w:t>应小</w:t>
      </w:r>
      <w:r>
        <w:rPr>
          <w:rFonts w:hint="eastAsia" w:ascii="宋体" w:hAnsi="宋体" w:eastAsia="宋体" w:cs="宋体"/>
          <w:color w:val="000000" w:themeColor="text1"/>
          <w:sz w:val="21"/>
          <w:szCs w:val="21"/>
          <w:highlight w:val="none"/>
        </w:rPr>
        <w:t>心执行、控制</w:t>
      </w:r>
      <w:r>
        <w:rPr>
          <w:rFonts w:hint="eastAsia" w:ascii="宋体" w:hAnsi="宋体" w:eastAsia="宋体" w:cs="宋体"/>
          <w:color w:val="000000" w:themeColor="text1"/>
          <w:sz w:val="21"/>
          <w:szCs w:val="21"/>
          <w:highlight w:val="none"/>
          <w:lang w:eastAsia="zh-CN"/>
        </w:rPr>
        <w:t>扬尘</w:t>
      </w:r>
      <w:r>
        <w:rPr>
          <w:rFonts w:hint="eastAsia" w:ascii="宋体" w:hAnsi="宋体" w:eastAsia="宋体" w:cs="宋体"/>
          <w:color w:val="000000" w:themeColor="text1"/>
          <w:sz w:val="21"/>
          <w:szCs w:val="21"/>
          <w:highlight w:val="none"/>
        </w:rPr>
        <w:t>，不</w:t>
      </w:r>
      <w:r>
        <w:rPr>
          <w:rFonts w:hint="eastAsia" w:ascii="宋体" w:hAnsi="宋体" w:eastAsia="宋体" w:cs="宋体"/>
          <w:color w:val="000000" w:themeColor="text1"/>
          <w:sz w:val="21"/>
          <w:szCs w:val="21"/>
          <w:highlight w:val="none"/>
          <w:lang w:eastAsia="zh-CN"/>
        </w:rPr>
        <w:t>扰</w:t>
      </w:r>
      <w:r>
        <w:rPr>
          <w:rFonts w:hint="eastAsia" w:ascii="宋体" w:hAnsi="宋体" w:eastAsia="宋体" w:cs="宋体"/>
          <w:color w:val="000000" w:themeColor="text1"/>
          <w:sz w:val="21"/>
          <w:szCs w:val="21"/>
          <w:highlight w:val="none"/>
        </w:rPr>
        <w:t>民，不</w:t>
      </w:r>
      <w:r>
        <w:rPr>
          <w:rFonts w:hint="eastAsia" w:ascii="宋体" w:hAnsi="宋体" w:eastAsia="宋体" w:cs="宋体"/>
          <w:color w:val="000000" w:themeColor="text1"/>
          <w:sz w:val="21"/>
          <w:szCs w:val="21"/>
          <w:highlight w:val="none"/>
          <w:lang w:eastAsia="zh-CN"/>
        </w:rPr>
        <w:t>溅</w:t>
      </w:r>
      <w:r>
        <w:rPr>
          <w:rFonts w:hint="eastAsia" w:ascii="宋体" w:hAnsi="宋体" w:eastAsia="宋体" w:cs="宋体"/>
          <w:color w:val="000000" w:themeColor="text1"/>
          <w:sz w:val="21"/>
          <w:szCs w:val="21"/>
          <w:highlight w:val="none"/>
        </w:rPr>
        <w:t>污</w:t>
      </w:r>
      <w:r>
        <w:rPr>
          <w:rFonts w:hint="eastAsia" w:ascii="宋体" w:hAnsi="宋体" w:eastAsia="宋体" w:cs="宋体"/>
          <w:color w:val="000000" w:themeColor="text1"/>
          <w:sz w:val="21"/>
          <w:szCs w:val="21"/>
          <w:highlight w:val="none"/>
          <w:lang w:eastAsia="zh-CN"/>
        </w:rPr>
        <w:t>行</w:t>
      </w:r>
      <w:r>
        <w:rPr>
          <w:rFonts w:hint="eastAsia" w:ascii="宋体" w:hAnsi="宋体" w:eastAsia="宋体" w:cs="宋体"/>
          <w:color w:val="000000" w:themeColor="text1"/>
          <w:sz w:val="21"/>
          <w:szCs w:val="21"/>
          <w:highlight w:val="none"/>
        </w:rPr>
        <w:t>人及住户</w:t>
      </w:r>
      <w:r>
        <w:rPr>
          <w:rFonts w:hint="eastAsia" w:ascii="宋体" w:hAnsi="宋体" w:eastAsia="宋体" w:cs="宋体"/>
          <w:color w:val="000000" w:themeColor="text1"/>
          <w:sz w:val="21"/>
          <w:szCs w:val="21"/>
          <w:highlight w:val="none"/>
          <w:lang w:eastAsia="zh-CN"/>
        </w:rPr>
        <w:t>衣</w:t>
      </w:r>
      <w:r>
        <w:rPr>
          <w:rFonts w:hint="eastAsia" w:ascii="宋体" w:hAnsi="宋体" w:eastAsia="宋体" w:cs="宋体"/>
          <w:color w:val="000000" w:themeColor="text1"/>
          <w:sz w:val="21"/>
          <w:szCs w:val="21"/>
          <w:highlight w:val="none"/>
        </w:rPr>
        <w:t>物，避免</w:t>
      </w:r>
      <w:r>
        <w:rPr>
          <w:rFonts w:hint="eastAsia" w:ascii="宋体" w:hAnsi="宋体" w:eastAsia="宋体" w:cs="宋体"/>
          <w:color w:val="000000" w:themeColor="text1"/>
          <w:sz w:val="21"/>
          <w:szCs w:val="21"/>
          <w:highlight w:val="none"/>
          <w:lang w:eastAsia="zh-CN"/>
        </w:rPr>
        <w:t>妨</w:t>
      </w:r>
      <w:r>
        <w:rPr>
          <w:rFonts w:hint="eastAsia" w:ascii="宋体" w:hAnsi="宋体" w:eastAsia="宋体" w:cs="宋体"/>
          <w:color w:val="000000" w:themeColor="text1"/>
          <w:sz w:val="21"/>
          <w:szCs w:val="21"/>
          <w:highlight w:val="none"/>
        </w:rPr>
        <w:t>碍行人和车辆正常</w:t>
      </w:r>
      <w:r>
        <w:rPr>
          <w:rFonts w:hint="eastAsia" w:ascii="宋体" w:hAnsi="宋体" w:eastAsia="宋体" w:cs="宋体"/>
          <w:color w:val="000000" w:themeColor="text1"/>
          <w:sz w:val="21"/>
          <w:szCs w:val="21"/>
          <w:highlight w:val="none"/>
          <w:lang w:eastAsia="zh-CN"/>
        </w:rPr>
        <w:t>行驶</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垃圾清理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垃圾清运</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处理</w:t>
      </w:r>
      <w:r>
        <w:rPr>
          <w:rFonts w:hint="eastAsia" w:ascii="宋体" w:hAnsi="宋体" w:eastAsia="宋体" w:cs="宋体"/>
          <w:color w:val="000000" w:themeColor="text1"/>
          <w:sz w:val="21"/>
          <w:szCs w:val="21"/>
          <w:highlight w:val="none"/>
          <w:lang w:eastAsia="zh-CN"/>
        </w:rPr>
        <w:t>分为：生活垃圾（有机、无机、有害垃圾）清运处理、督促装修垃圾清运处理和废纸及可再生废物的回收。所有垃圾清运</w:t>
      </w:r>
      <w:r>
        <w:rPr>
          <w:rFonts w:hint="eastAsia" w:ascii="宋体" w:hAnsi="宋体" w:eastAsia="宋体" w:cs="宋体"/>
          <w:color w:val="000000" w:themeColor="text1"/>
          <w:sz w:val="21"/>
          <w:szCs w:val="21"/>
          <w:highlight w:val="none"/>
        </w:rPr>
        <w:t>应符合广东省及省内各地有关法律、法规规定。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垃圾清运、处理的范围分为：日常办公垃圾、日常生活垃圾、日常厨余垃圾、公共部位上通道、园林、道路等综合垃圾。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垃圾清运、处理工作分为：收集区域内垃圾，并更换垃圾袋，每天至少</w:t>
      </w:r>
      <w:r>
        <w:rPr>
          <w:rFonts w:hint="eastAsia" w:ascii="宋体" w:hAnsi="宋体" w:eastAsia="宋体" w:cs="宋体"/>
          <w:color w:val="000000" w:themeColor="text1"/>
          <w:sz w:val="21"/>
          <w:szCs w:val="21"/>
          <w:highlight w:val="none"/>
          <w:lang w:val="en-US" w:eastAsia="zh-CN"/>
        </w:rPr>
        <w:t>1次清洁垃圾筒。每天定时清运、处理不少于2次。将物业</w:t>
      </w:r>
      <w:r>
        <w:rPr>
          <w:rFonts w:hint="eastAsia" w:ascii="宋体" w:hAnsi="宋体" w:eastAsia="宋体" w:cs="宋体"/>
          <w:color w:val="000000" w:themeColor="text1"/>
          <w:sz w:val="21"/>
          <w:szCs w:val="21"/>
          <w:highlight w:val="none"/>
        </w:rPr>
        <w:t>项目内所有桶内垃圾清理于净封好胶袋口。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果皮箱随满随掏。垃圾无爆满落地，周边无散落垃圾，无陈旧垃圾，无垃圾堆积。箱体经常擦拭、清洗、保持干净整法、无异味、无旧污迹，无污水漫溢，箱桶周边地面整洁，无蝇、无臭。垃圾不外溢，周边无垃圾散落，无蝇、无臭、无残留或堆积垃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污水及化粪池管理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区</w:t>
      </w:r>
      <w:r>
        <w:rPr>
          <w:rFonts w:hint="eastAsia" w:ascii="宋体" w:hAnsi="宋体" w:eastAsia="宋体" w:cs="宋体"/>
          <w:color w:val="000000" w:themeColor="text1"/>
          <w:sz w:val="21"/>
          <w:szCs w:val="21"/>
          <w:highlight w:val="none"/>
          <w:lang w:eastAsia="zh-CN"/>
        </w:rPr>
        <w:t>域</w:t>
      </w:r>
      <w:r>
        <w:rPr>
          <w:rFonts w:hint="eastAsia" w:ascii="宋体" w:hAnsi="宋体" w:eastAsia="宋体" w:cs="宋体"/>
          <w:color w:val="000000" w:themeColor="text1"/>
          <w:sz w:val="21"/>
          <w:szCs w:val="21"/>
          <w:highlight w:val="none"/>
        </w:rPr>
        <w:t>内生活污水经污水管道集中排放</w:t>
      </w:r>
      <w:r>
        <w:rPr>
          <w:rFonts w:hint="eastAsia" w:ascii="宋体" w:hAnsi="宋体" w:eastAsia="宋体" w:cs="宋体"/>
          <w:color w:val="000000" w:themeColor="text1"/>
          <w:sz w:val="21"/>
          <w:szCs w:val="21"/>
          <w:highlight w:val="none"/>
          <w:lang w:eastAsia="zh-CN"/>
        </w:rPr>
        <w:t>处</w:t>
      </w:r>
      <w:r>
        <w:rPr>
          <w:rFonts w:hint="eastAsia" w:ascii="宋体" w:hAnsi="宋体" w:eastAsia="宋体" w:cs="宋体"/>
          <w:color w:val="000000" w:themeColor="text1"/>
          <w:sz w:val="21"/>
          <w:szCs w:val="21"/>
          <w:highlight w:val="none"/>
        </w:rPr>
        <w:t>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为保持</w:t>
      </w:r>
      <w:r>
        <w:rPr>
          <w:rFonts w:hint="eastAsia" w:ascii="宋体" w:hAnsi="宋体" w:eastAsia="宋体" w:cs="宋体"/>
          <w:color w:val="000000" w:themeColor="text1"/>
          <w:sz w:val="21"/>
          <w:szCs w:val="21"/>
          <w:highlight w:val="none"/>
          <w:lang w:eastAsia="zh-CN"/>
        </w:rPr>
        <w:t>污</w:t>
      </w:r>
      <w:r>
        <w:rPr>
          <w:rFonts w:hint="eastAsia" w:ascii="宋体" w:hAnsi="宋体" w:eastAsia="宋体" w:cs="宋体"/>
          <w:color w:val="000000" w:themeColor="text1"/>
          <w:sz w:val="21"/>
          <w:szCs w:val="21"/>
          <w:highlight w:val="none"/>
        </w:rPr>
        <w:t>水管通</w:t>
      </w:r>
      <w:r>
        <w:rPr>
          <w:rFonts w:hint="eastAsia" w:ascii="宋体" w:hAnsi="宋体" w:eastAsia="宋体" w:cs="宋体"/>
          <w:color w:val="000000" w:themeColor="text1"/>
          <w:sz w:val="21"/>
          <w:szCs w:val="21"/>
          <w:highlight w:val="none"/>
          <w:lang w:eastAsia="zh-CN"/>
        </w:rPr>
        <w:t>畅</w:t>
      </w:r>
      <w:r>
        <w:rPr>
          <w:rFonts w:hint="eastAsia" w:ascii="宋体" w:hAnsi="宋体" w:eastAsia="宋体" w:cs="宋体"/>
          <w:color w:val="000000" w:themeColor="text1"/>
          <w:sz w:val="21"/>
          <w:szCs w:val="21"/>
          <w:highlight w:val="none"/>
        </w:rPr>
        <w:t>，保</w:t>
      </w:r>
      <w:r>
        <w:rPr>
          <w:rFonts w:hint="eastAsia" w:ascii="宋体" w:hAnsi="宋体" w:eastAsia="宋体" w:cs="宋体"/>
          <w:color w:val="000000" w:themeColor="text1"/>
          <w:sz w:val="21"/>
          <w:szCs w:val="21"/>
          <w:highlight w:val="none"/>
          <w:lang w:eastAsia="zh-CN"/>
        </w:rPr>
        <w:t>洁</w:t>
      </w:r>
      <w:r>
        <w:rPr>
          <w:rFonts w:hint="eastAsia" w:ascii="宋体" w:hAnsi="宋体" w:eastAsia="宋体" w:cs="宋体"/>
          <w:color w:val="000000" w:themeColor="text1"/>
          <w:sz w:val="21"/>
          <w:szCs w:val="21"/>
          <w:highlight w:val="none"/>
        </w:rPr>
        <w:t>员每月</w:t>
      </w:r>
      <w:r>
        <w:rPr>
          <w:rFonts w:hint="eastAsia" w:ascii="宋体" w:hAnsi="宋体" w:eastAsia="宋体" w:cs="宋体"/>
          <w:color w:val="000000" w:themeColor="text1"/>
          <w:sz w:val="21"/>
          <w:szCs w:val="21"/>
          <w:highlight w:val="none"/>
          <w:lang w:eastAsia="zh-CN"/>
        </w:rPr>
        <w:t>按</w:t>
      </w:r>
      <w:r>
        <w:rPr>
          <w:rFonts w:hint="eastAsia" w:ascii="宋体" w:hAnsi="宋体" w:eastAsia="宋体" w:cs="宋体"/>
          <w:color w:val="000000" w:themeColor="text1"/>
          <w:sz w:val="21"/>
          <w:szCs w:val="21"/>
          <w:highlight w:val="none"/>
        </w:rPr>
        <w:t>时排水沟清扫3次</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含明沟、暗沟</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保持化粪池</w:t>
      </w:r>
      <w:r>
        <w:rPr>
          <w:rFonts w:hint="eastAsia" w:ascii="宋体" w:hAnsi="宋体" w:eastAsia="宋体" w:cs="宋体"/>
          <w:color w:val="000000" w:themeColor="text1"/>
          <w:sz w:val="21"/>
          <w:szCs w:val="21"/>
          <w:highlight w:val="none"/>
        </w:rPr>
        <w:t>工作正</w:t>
      </w:r>
      <w:r>
        <w:rPr>
          <w:rFonts w:hint="eastAsia" w:ascii="宋体" w:hAnsi="宋体" w:eastAsia="宋体" w:cs="宋体"/>
          <w:color w:val="000000" w:themeColor="text1"/>
          <w:sz w:val="21"/>
          <w:szCs w:val="21"/>
          <w:highlight w:val="none"/>
          <w:lang w:eastAsia="zh-CN"/>
        </w:rPr>
        <w:t>常，每月检</w:t>
      </w:r>
      <w:r>
        <w:rPr>
          <w:rFonts w:hint="eastAsia" w:ascii="宋体" w:hAnsi="宋体" w:eastAsia="宋体" w:cs="宋体"/>
          <w:color w:val="000000" w:themeColor="text1"/>
          <w:sz w:val="21"/>
          <w:szCs w:val="21"/>
          <w:highlight w:val="none"/>
        </w:rPr>
        <w:t>查1次、每半年</w:t>
      </w:r>
      <w:r>
        <w:rPr>
          <w:rFonts w:hint="eastAsia" w:ascii="宋体" w:hAnsi="宋体" w:eastAsia="宋体" w:cs="宋体"/>
          <w:color w:val="000000" w:themeColor="text1"/>
          <w:sz w:val="21"/>
          <w:szCs w:val="21"/>
          <w:highlight w:val="none"/>
          <w:lang w:eastAsia="zh-CN"/>
        </w:rPr>
        <w:t>联系专门机构</w:t>
      </w:r>
      <w:r>
        <w:rPr>
          <w:rFonts w:hint="eastAsia" w:ascii="宋体" w:hAnsi="宋体" w:eastAsia="宋体" w:cs="宋体"/>
          <w:color w:val="000000" w:themeColor="text1"/>
          <w:sz w:val="21"/>
          <w:szCs w:val="21"/>
          <w:highlight w:val="none"/>
        </w:rPr>
        <w:t>清</w:t>
      </w:r>
      <w:r>
        <w:rPr>
          <w:rFonts w:hint="eastAsia" w:ascii="宋体" w:hAnsi="宋体" w:eastAsia="宋体" w:cs="宋体"/>
          <w:color w:val="000000" w:themeColor="text1"/>
          <w:sz w:val="21"/>
          <w:szCs w:val="21"/>
          <w:highlight w:val="none"/>
          <w:lang w:eastAsia="zh-CN"/>
        </w:rPr>
        <w:t>掏</w:t>
      </w:r>
      <w:r>
        <w:rPr>
          <w:rFonts w:hint="eastAsia" w:ascii="宋体" w:hAnsi="宋体" w:eastAsia="宋体" w:cs="宋体"/>
          <w:color w:val="000000" w:themeColor="text1"/>
          <w:sz w:val="21"/>
          <w:szCs w:val="21"/>
          <w:highlight w:val="none"/>
        </w:rPr>
        <w:t>1次，发现异常及时清</w:t>
      </w:r>
      <w:r>
        <w:rPr>
          <w:rFonts w:hint="eastAsia" w:ascii="宋体" w:hAnsi="宋体" w:eastAsia="宋体" w:cs="宋体"/>
          <w:color w:val="000000" w:themeColor="text1"/>
          <w:sz w:val="21"/>
          <w:szCs w:val="21"/>
          <w:highlight w:val="none"/>
          <w:lang w:eastAsia="zh-CN"/>
        </w:rPr>
        <w:t>掏</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（四）安保及秩序</w:t>
      </w:r>
      <w:r>
        <w:rPr>
          <w:rFonts w:hint="eastAsia" w:ascii="宋体" w:hAnsi="宋体" w:eastAsia="宋体" w:cs="宋体"/>
          <w:color w:val="000000" w:themeColor="text1"/>
          <w:sz w:val="21"/>
          <w:szCs w:val="21"/>
          <w:highlight w:val="none"/>
        </w:rPr>
        <w:t>管理服务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全天</w:t>
      </w:r>
      <w:r>
        <w:rPr>
          <w:rFonts w:hint="eastAsia" w:ascii="宋体" w:hAnsi="宋体" w:eastAsia="宋体" w:cs="宋体"/>
          <w:color w:val="000000" w:themeColor="text1"/>
          <w:sz w:val="21"/>
          <w:szCs w:val="21"/>
          <w:highlight w:val="none"/>
          <w:lang w:eastAsia="zh-CN"/>
        </w:rPr>
        <w:t>候</w:t>
      </w:r>
      <w:r>
        <w:rPr>
          <w:rFonts w:hint="eastAsia" w:ascii="宋体" w:hAnsi="宋体" w:eastAsia="宋体" w:cs="宋体"/>
          <w:color w:val="000000" w:themeColor="text1"/>
          <w:sz w:val="21"/>
          <w:szCs w:val="21"/>
          <w:highlight w:val="none"/>
        </w:rPr>
        <w:t>负</w:t>
      </w:r>
      <w:r>
        <w:rPr>
          <w:rFonts w:hint="eastAsia" w:ascii="宋体" w:hAnsi="宋体" w:eastAsia="宋体" w:cs="宋体"/>
          <w:color w:val="000000" w:themeColor="text1"/>
          <w:sz w:val="21"/>
          <w:szCs w:val="21"/>
          <w:highlight w:val="none"/>
          <w:lang w:eastAsia="zh-CN"/>
        </w:rPr>
        <w:t>责</w:t>
      </w:r>
      <w:r>
        <w:rPr>
          <w:rFonts w:hint="eastAsia" w:ascii="宋体" w:hAnsi="宋体" w:eastAsia="宋体" w:cs="宋体"/>
          <w:color w:val="000000" w:themeColor="text1"/>
          <w:sz w:val="21"/>
          <w:szCs w:val="21"/>
          <w:highlight w:val="none"/>
        </w:rPr>
        <w:t>区域内正门、</w:t>
      </w:r>
      <w:r>
        <w:rPr>
          <w:rFonts w:hint="eastAsia" w:ascii="宋体" w:hAnsi="宋体" w:eastAsia="宋体" w:cs="宋体"/>
          <w:color w:val="000000" w:themeColor="text1"/>
          <w:sz w:val="21"/>
          <w:szCs w:val="21"/>
          <w:highlight w:val="none"/>
          <w:lang w:eastAsia="zh-CN"/>
        </w:rPr>
        <w:t>侧</w:t>
      </w:r>
      <w:r>
        <w:rPr>
          <w:rFonts w:hint="eastAsia" w:ascii="宋体" w:hAnsi="宋体" w:eastAsia="宋体" w:cs="宋体"/>
          <w:color w:val="000000" w:themeColor="text1"/>
          <w:sz w:val="21"/>
          <w:szCs w:val="21"/>
          <w:highlight w:val="none"/>
        </w:rPr>
        <w:t>门、区域通</w:t>
      </w:r>
      <w:r>
        <w:rPr>
          <w:rFonts w:hint="eastAsia" w:ascii="宋体" w:hAnsi="宋体" w:eastAsia="宋体" w:cs="宋体"/>
          <w:color w:val="000000" w:themeColor="text1"/>
          <w:sz w:val="21"/>
          <w:szCs w:val="21"/>
          <w:highlight w:val="none"/>
          <w:lang w:eastAsia="zh-CN"/>
        </w:rPr>
        <w:t>道</w:t>
      </w:r>
      <w:r>
        <w:rPr>
          <w:rFonts w:hint="eastAsia" w:ascii="宋体" w:hAnsi="宋体" w:eastAsia="宋体" w:cs="宋体"/>
          <w:color w:val="000000" w:themeColor="text1"/>
          <w:sz w:val="21"/>
          <w:szCs w:val="21"/>
          <w:highlight w:val="none"/>
        </w:rPr>
        <w:t>、围墙、各楼层/区域内办公室及公</w:t>
      </w:r>
      <w:r>
        <w:rPr>
          <w:rFonts w:hint="eastAsia" w:ascii="宋体" w:hAnsi="宋体" w:eastAsia="宋体" w:cs="宋体"/>
          <w:color w:val="000000" w:themeColor="text1"/>
          <w:sz w:val="21"/>
          <w:szCs w:val="21"/>
          <w:highlight w:val="none"/>
          <w:lang w:eastAsia="zh-CN"/>
        </w:rPr>
        <w:t>共</w:t>
      </w:r>
      <w:r>
        <w:rPr>
          <w:rFonts w:hint="eastAsia" w:ascii="宋体" w:hAnsi="宋体" w:eastAsia="宋体" w:cs="宋体"/>
          <w:color w:val="000000" w:themeColor="text1"/>
          <w:sz w:val="21"/>
          <w:szCs w:val="21"/>
          <w:highlight w:val="none"/>
        </w:rPr>
        <w:t>走道交通及24个时</w:t>
      </w:r>
      <w:r>
        <w:rPr>
          <w:rFonts w:hint="eastAsia" w:ascii="宋体" w:hAnsi="宋体" w:eastAsia="宋体" w:cs="宋体"/>
          <w:color w:val="000000" w:themeColor="text1"/>
          <w:sz w:val="21"/>
          <w:szCs w:val="21"/>
          <w:highlight w:val="none"/>
          <w:lang w:eastAsia="zh-CN"/>
        </w:rPr>
        <w:t>巡逻、值勤。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办公楼(区域)来访人员通</w:t>
      </w:r>
      <w:r>
        <w:rPr>
          <w:rFonts w:hint="eastAsia" w:ascii="宋体" w:hAnsi="宋体" w:eastAsia="宋体" w:cs="宋体"/>
          <w:color w:val="000000" w:themeColor="text1"/>
          <w:sz w:val="21"/>
          <w:szCs w:val="21"/>
          <w:highlight w:val="none"/>
          <w:lang w:eastAsia="zh-CN"/>
        </w:rPr>
        <w:t>报</w:t>
      </w:r>
      <w:r>
        <w:rPr>
          <w:rFonts w:hint="eastAsia" w:ascii="宋体" w:hAnsi="宋体" w:eastAsia="宋体" w:cs="宋体"/>
          <w:color w:val="000000" w:themeColor="text1"/>
          <w:sz w:val="21"/>
          <w:szCs w:val="21"/>
          <w:highlight w:val="none"/>
        </w:rPr>
        <w:t>、登记、证件检查等。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积极配合公安部门工作，制定或完善监控室管理制度。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执行当地公安部门关于物业区域范围内的安全保卫工作方针、政策和有关条例。认真做好各种应急预案，并报备采购人</w:t>
      </w:r>
      <w:r>
        <w:rPr>
          <w:rFonts w:hint="eastAsia" w:ascii="宋体" w:hAnsi="宋体" w:eastAsia="宋体" w:cs="宋体"/>
          <w:color w:val="000000" w:themeColor="text1"/>
          <w:sz w:val="21"/>
          <w:szCs w:val="21"/>
          <w:highlight w:val="none"/>
          <w:lang w:eastAsia="zh-CN"/>
        </w:rPr>
        <w:t>审查。遇恶劣</w:t>
      </w:r>
      <w:r>
        <w:rPr>
          <w:rFonts w:hint="eastAsia" w:ascii="宋体" w:hAnsi="宋体" w:eastAsia="宋体" w:cs="宋体"/>
          <w:color w:val="000000" w:themeColor="text1"/>
          <w:sz w:val="21"/>
          <w:szCs w:val="21"/>
          <w:highlight w:val="none"/>
        </w:rPr>
        <w:t>天气(如台风、雷雨、</w:t>
      </w:r>
      <w:r>
        <w:rPr>
          <w:rFonts w:hint="eastAsia" w:ascii="宋体" w:hAnsi="宋体" w:eastAsia="宋体" w:cs="宋体"/>
          <w:color w:val="000000" w:themeColor="text1"/>
          <w:sz w:val="21"/>
          <w:szCs w:val="21"/>
          <w:highlight w:val="none"/>
          <w:lang w:eastAsia="zh-CN"/>
        </w:rPr>
        <w:t>槽壁</w:t>
      </w:r>
      <w:r>
        <w:rPr>
          <w:rFonts w:hint="eastAsia" w:ascii="宋体" w:hAnsi="宋体" w:eastAsia="宋体" w:cs="宋体"/>
          <w:color w:val="000000" w:themeColor="text1"/>
          <w:sz w:val="21"/>
          <w:szCs w:val="21"/>
          <w:highlight w:val="none"/>
        </w:rPr>
        <w:t>和极潮湿等)或突发事件须及时出示警告牌，并记录和保护相关资料，尽量降低损失。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及时制止物业管理区域内的不文明及违法行为。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每天至少1次对电气设备、开关、线路和照明灯具等进行检查。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建立防火制度和安全操作等制度。每半年开展防盗、防火宣传。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eastAsia="zh-CN"/>
        </w:rPr>
        <w:t>巡</w:t>
      </w:r>
      <w:r>
        <w:rPr>
          <w:rFonts w:hint="eastAsia" w:ascii="宋体" w:hAnsi="宋体" w:eastAsia="宋体" w:cs="宋体"/>
          <w:color w:val="000000" w:themeColor="text1"/>
          <w:sz w:val="21"/>
          <w:szCs w:val="21"/>
          <w:highlight w:val="none"/>
        </w:rPr>
        <w:t>逻范围包括区域的公共区城、绿地带、设备用房和各办公楼(区域)及采购人指定场所。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处理各种突发事件，严重事件及时报警。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定期</w:t>
      </w:r>
      <w:r>
        <w:rPr>
          <w:rFonts w:hint="eastAsia" w:ascii="宋体" w:hAnsi="宋体" w:eastAsia="宋体" w:cs="宋体"/>
          <w:color w:val="000000" w:themeColor="text1"/>
          <w:sz w:val="21"/>
          <w:szCs w:val="21"/>
          <w:highlight w:val="none"/>
          <w:lang w:eastAsia="zh-CN"/>
        </w:rPr>
        <w:t>巡</w:t>
      </w:r>
      <w:r>
        <w:rPr>
          <w:rFonts w:hint="eastAsia" w:ascii="宋体" w:hAnsi="宋体" w:eastAsia="宋体" w:cs="宋体"/>
          <w:color w:val="000000" w:themeColor="text1"/>
          <w:sz w:val="21"/>
          <w:szCs w:val="21"/>
          <w:highlight w:val="none"/>
        </w:rPr>
        <w:t>视消防器材和设备。及时通知</w:t>
      </w:r>
      <w:r>
        <w:rPr>
          <w:rFonts w:hint="eastAsia" w:ascii="宋体" w:hAnsi="宋体" w:eastAsia="宋体" w:cs="宋体"/>
          <w:color w:val="000000" w:themeColor="text1"/>
          <w:sz w:val="21"/>
          <w:szCs w:val="21"/>
          <w:highlight w:val="none"/>
          <w:lang w:eastAsia="zh-CN"/>
        </w:rPr>
        <w:t>指</w:t>
      </w:r>
      <w:r>
        <w:rPr>
          <w:rFonts w:hint="eastAsia" w:ascii="宋体" w:hAnsi="宋体" w:eastAsia="宋体" w:cs="宋体"/>
          <w:color w:val="000000" w:themeColor="text1"/>
          <w:sz w:val="21"/>
          <w:szCs w:val="21"/>
          <w:highlight w:val="none"/>
        </w:rPr>
        <w:t>定有关人员负责保养、维修和管理。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（五）</w:t>
      </w:r>
      <w:r>
        <w:rPr>
          <w:rFonts w:hint="eastAsia" w:ascii="宋体" w:hAnsi="宋体" w:eastAsia="宋体" w:cs="宋体"/>
          <w:color w:val="000000" w:themeColor="text1"/>
          <w:sz w:val="21"/>
          <w:szCs w:val="21"/>
          <w:highlight w:val="none"/>
          <w:lang w:val="en-US" w:eastAsia="zh-CN"/>
        </w:rPr>
        <w:t>停车场</w:t>
      </w:r>
      <w:r>
        <w:rPr>
          <w:rFonts w:hint="eastAsia" w:ascii="宋体" w:hAnsi="宋体" w:eastAsia="宋体" w:cs="宋体"/>
          <w:color w:val="000000" w:themeColor="text1"/>
          <w:sz w:val="21"/>
          <w:szCs w:val="21"/>
          <w:highlight w:val="none"/>
        </w:rPr>
        <w:t>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执行</w:t>
      </w:r>
      <w:r>
        <w:rPr>
          <w:rFonts w:hint="eastAsia" w:ascii="宋体" w:hAnsi="宋体" w:eastAsia="宋体" w:cs="宋体"/>
          <w:color w:val="000000" w:themeColor="text1"/>
          <w:sz w:val="21"/>
          <w:szCs w:val="21"/>
          <w:highlight w:val="none"/>
          <w:lang w:val="en-US" w:eastAsia="zh-CN"/>
        </w:rPr>
        <w:t>采购人</w:t>
      </w:r>
      <w:r>
        <w:rPr>
          <w:rFonts w:hint="eastAsia" w:ascii="宋体" w:hAnsi="宋体" w:eastAsia="宋体" w:cs="宋体"/>
          <w:color w:val="000000" w:themeColor="text1"/>
          <w:sz w:val="21"/>
          <w:szCs w:val="21"/>
          <w:highlight w:val="none"/>
        </w:rPr>
        <w:t>制定的</w:t>
      </w:r>
      <w:r>
        <w:rPr>
          <w:rFonts w:hint="eastAsia" w:ascii="宋体" w:hAnsi="宋体" w:eastAsia="宋体" w:cs="宋体"/>
          <w:color w:val="000000" w:themeColor="text1"/>
          <w:sz w:val="21"/>
          <w:szCs w:val="21"/>
          <w:highlight w:val="none"/>
          <w:lang w:eastAsia="zh-CN"/>
        </w:rPr>
        <w:t>停车场</w:t>
      </w:r>
      <w:r>
        <w:rPr>
          <w:rFonts w:hint="eastAsia" w:ascii="宋体" w:hAnsi="宋体" w:eastAsia="宋体" w:cs="宋体"/>
          <w:color w:val="000000" w:themeColor="text1"/>
          <w:sz w:val="21"/>
          <w:szCs w:val="21"/>
          <w:highlight w:val="none"/>
        </w:rPr>
        <w:t>管理规定。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外来车辆进出辖区应登记日期、进出时间、车牌号码。建立登记制度，严防盗抢事件发生。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非</w:t>
      </w:r>
      <w:r>
        <w:rPr>
          <w:rFonts w:hint="eastAsia" w:ascii="宋体" w:hAnsi="宋体" w:eastAsia="宋体" w:cs="宋体"/>
          <w:color w:val="000000" w:themeColor="text1"/>
          <w:sz w:val="21"/>
          <w:szCs w:val="21"/>
          <w:highlight w:val="none"/>
        </w:rPr>
        <w:t>机动车、机动车等各种车辆停放有序，有专人指引按规定停放在划定的露天车位或车棚内，做到车辆停放规范、整齐、分类。制止车辆在行车通道、消防通道及非停车位上停车。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（六）</w:t>
      </w:r>
      <w:r>
        <w:rPr>
          <w:rFonts w:hint="eastAsia" w:ascii="宋体" w:hAnsi="宋体" w:eastAsia="宋体" w:cs="宋体"/>
          <w:color w:val="000000" w:themeColor="text1"/>
          <w:sz w:val="21"/>
          <w:szCs w:val="21"/>
          <w:highlight w:val="none"/>
        </w:rPr>
        <w:t>绿化的养护和管理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、对服务区域内的所有绿化植物进行日常管理和养护，包括室内摆设植物、室外绿地、花木等。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根据植物状况定期浇水</w:t>
      </w:r>
      <w:r>
        <w:rPr>
          <w:rFonts w:hint="eastAsia" w:ascii="宋体" w:hAnsi="宋体" w:eastAsia="宋体" w:cs="宋体"/>
          <w:color w:val="000000" w:themeColor="text1"/>
          <w:sz w:val="21"/>
          <w:szCs w:val="21"/>
          <w:highlight w:val="none"/>
          <w:lang w:eastAsia="zh-CN"/>
        </w:rPr>
        <w:t>和施肥</w:t>
      </w:r>
      <w:r>
        <w:rPr>
          <w:rFonts w:hint="eastAsia" w:ascii="宋体" w:hAnsi="宋体" w:eastAsia="宋体" w:cs="宋体"/>
          <w:color w:val="000000" w:themeColor="text1"/>
          <w:sz w:val="21"/>
          <w:szCs w:val="21"/>
          <w:highlight w:val="none"/>
        </w:rPr>
        <w:t>，及时修剪枯枝、残技和养护树木、草坪、花卉、盆栽等，保持无病虫、无黄叶、无脏物、造型优美，绿化植物应叶片茂盛，枝条均匀，花朵鲜艳，无病虫害</w:t>
      </w:r>
      <w:r>
        <w:rPr>
          <w:rFonts w:hint="eastAsia" w:ascii="宋体" w:hAnsi="宋体" w:eastAsia="宋体" w:cs="宋体"/>
          <w:color w:val="000000" w:themeColor="text1"/>
          <w:sz w:val="21"/>
          <w:szCs w:val="21"/>
          <w:highlight w:val="none"/>
          <w:lang w:eastAsia="zh-CN"/>
        </w:rPr>
        <w:t>，并做好抵御如台风、暴雨等自然灾害防护措施，需要时联系专业公司对安全隐患进行消除</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七</w:t>
      </w:r>
      <w:r>
        <w:rPr>
          <w:rFonts w:hint="eastAsia" w:ascii="宋体" w:hAnsi="宋体" w:eastAsia="宋体" w:cs="宋体"/>
          <w:color w:val="000000" w:themeColor="text1"/>
          <w:sz w:val="21"/>
          <w:szCs w:val="21"/>
          <w:highlight w:val="none"/>
          <w:lang w:eastAsia="zh-CN"/>
        </w:rPr>
        <w:t>）建筑</w:t>
      </w:r>
      <w:r>
        <w:rPr>
          <w:rFonts w:hint="eastAsia" w:ascii="宋体" w:hAnsi="宋体" w:eastAsia="宋体" w:cs="宋体"/>
          <w:color w:val="000000" w:themeColor="text1"/>
          <w:sz w:val="21"/>
          <w:szCs w:val="21"/>
          <w:highlight w:val="none"/>
        </w:rPr>
        <w:t>设备、设施维修、</w:t>
      </w:r>
      <w:r>
        <w:rPr>
          <w:rFonts w:hint="eastAsia" w:ascii="宋体" w:hAnsi="宋体" w:eastAsia="宋体" w:cs="宋体"/>
          <w:color w:val="000000" w:themeColor="text1"/>
          <w:sz w:val="21"/>
          <w:szCs w:val="21"/>
          <w:highlight w:val="none"/>
          <w:lang w:eastAsia="zh-CN"/>
        </w:rPr>
        <w:t>维</w:t>
      </w:r>
      <w:r>
        <w:rPr>
          <w:rFonts w:hint="eastAsia" w:ascii="宋体" w:hAnsi="宋体" w:eastAsia="宋体" w:cs="宋体"/>
          <w:color w:val="000000" w:themeColor="text1"/>
          <w:sz w:val="21"/>
          <w:szCs w:val="21"/>
          <w:highlight w:val="none"/>
        </w:rPr>
        <w:t>护、管理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给排水、供水系统</w:t>
      </w:r>
      <w:r>
        <w:rPr>
          <w:rFonts w:hint="eastAsia" w:ascii="宋体" w:hAnsi="宋体" w:eastAsia="宋体" w:cs="宋体"/>
          <w:color w:val="000000" w:themeColor="text1"/>
          <w:sz w:val="21"/>
          <w:szCs w:val="21"/>
          <w:highlight w:val="none"/>
          <w:lang w:eastAsia="zh-CN"/>
        </w:rPr>
        <w:t>维护管理</w:t>
      </w:r>
      <w:r>
        <w:rPr>
          <w:rFonts w:hint="eastAsia" w:ascii="宋体" w:hAnsi="宋体" w:eastAsia="宋体" w:cs="宋体"/>
          <w:color w:val="000000" w:themeColor="text1"/>
          <w:sz w:val="21"/>
          <w:szCs w:val="21"/>
          <w:highlight w:val="none"/>
        </w:rPr>
        <w:t>:建立正常用水、供水、排水管理制度并根据实际使用情况制订年度设备、设施管理、维修保养计划及总体划</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节约用水，防止冒、滴、漏</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或大面积跑水事故的发生。保持供水系统的正常运转</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每周检查水泵运转情况</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保持水池、水箱的清洁卫生，防止二次污染。每周检修维护供水系统管路、水泵、水池、水箱、阀门、水表、保证其正常</w:t>
      </w:r>
      <w:r>
        <w:rPr>
          <w:rFonts w:hint="eastAsia" w:ascii="宋体" w:hAnsi="宋体" w:eastAsia="宋体" w:cs="宋体"/>
          <w:color w:val="000000" w:themeColor="text1"/>
          <w:sz w:val="21"/>
          <w:szCs w:val="21"/>
          <w:highlight w:val="none"/>
          <w:lang w:eastAsia="zh-CN"/>
        </w:rPr>
        <w:t>运</w:t>
      </w:r>
      <w:r>
        <w:rPr>
          <w:rFonts w:hint="eastAsia" w:ascii="宋体" w:hAnsi="宋体" w:eastAsia="宋体" w:cs="宋体"/>
          <w:color w:val="000000" w:themeColor="text1"/>
          <w:sz w:val="21"/>
          <w:szCs w:val="21"/>
          <w:highlight w:val="none"/>
        </w:rPr>
        <w:t>转</w:t>
      </w:r>
      <w:r>
        <w:rPr>
          <w:rFonts w:hint="eastAsia" w:ascii="宋体" w:hAnsi="宋体" w:eastAsia="宋体" w:cs="宋体"/>
          <w:color w:val="000000" w:themeColor="text1"/>
          <w:sz w:val="21"/>
          <w:szCs w:val="21"/>
          <w:highlight w:val="none"/>
          <w:lang w:eastAsia="zh-CN"/>
        </w:rPr>
        <w:t>，发现故障及时排除</w:t>
      </w:r>
      <w:r>
        <w:rPr>
          <w:rFonts w:hint="eastAsia" w:ascii="宋体" w:hAnsi="宋体" w:eastAsia="宋体" w:cs="宋体"/>
          <w:color w:val="000000" w:themeColor="text1"/>
          <w:sz w:val="21"/>
          <w:szCs w:val="21"/>
          <w:highlight w:val="none"/>
        </w:rPr>
        <w:t>。保证排水系统的正常运转，防止阻塞。遇停水应预先通知</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及受影响部门。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机电、照明及自动化系统</w:t>
      </w:r>
      <w:r>
        <w:rPr>
          <w:rFonts w:hint="eastAsia" w:ascii="宋体" w:hAnsi="宋体" w:eastAsia="宋体" w:cs="宋体"/>
          <w:color w:val="000000" w:themeColor="text1"/>
          <w:sz w:val="21"/>
          <w:szCs w:val="21"/>
          <w:highlight w:val="none"/>
          <w:lang w:eastAsia="zh-CN"/>
        </w:rPr>
        <w:t>维护</w:t>
      </w:r>
      <w:r>
        <w:rPr>
          <w:rFonts w:hint="eastAsia" w:ascii="宋体" w:hAnsi="宋体" w:eastAsia="宋体" w:cs="宋体"/>
          <w:color w:val="000000" w:themeColor="text1"/>
          <w:sz w:val="21"/>
          <w:szCs w:val="21"/>
          <w:highlight w:val="none"/>
        </w:rPr>
        <w:t>管理:对办公楼(区域)供电系统高、低压电器设备、</w:t>
      </w:r>
      <w:r>
        <w:rPr>
          <w:rFonts w:hint="eastAsia" w:ascii="宋体" w:hAnsi="宋体" w:eastAsia="宋体" w:cs="宋体"/>
          <w:color w:val="000000" w:themeColor="text1"/>
          <w:sz w:val="21"/>
          <w:szCs w:val="21"/>
          <w:highlight w:val="none"/>
          <w:lang w:eastAsia="zh-CN"/>
        </w:rPr>
        <w:t>照</w:t>
      </w:r>
      <w:r>
        <w:rPr>
          <w:rFonts w:hint="eastAsia" w:ascii="宋体" w:hAnsi="宋体" w:eastAsia="宋体" w:cs="宋体"/>
          <w:color w:val="000000" w:themeColor="text1"/>
          <w:sz w:val="21"/>
          <w:szCs w:val="21"/>
          <w:highlight w:val="none"/>
        </w:rPr>
        <w:t>明装置等设备正常运行使用进行日常管理和养护维修并根据实际使用情况制订年度总体节能计划。建立严格的配送电运行制度和电气维修制度。保证公共使用的照明、指示、显示灯完好;电气线路设计、施工技术要求，线路负荷要满</w:t>
      </w:r>
      <w:r>
        <w:rPr>
          <w:rFonts w:hint="eastAsia" w:ascii="宋体" w:hAnsi="宋体" w:eastAsia="宋体" w:cs="宋体"/>
          <w:color w:val="000000" w:themeColor="text1"/>
          <w:sz w:val="21"/>
          <w:szCs w:val="21"/>
          <w:highlight w:val="none"/>
          <w:lang w:eastAsia="zh-CN"/>
        </w:rPr>
        <w:t>足</w:t>
      </w:r>
      <w:r>
        <w:rPr>
          <w:rFonts w:hint="eastAsia" w:ascii="宋体" w:hAnsi="宋体" w:eastAsia="宋体" w:cs="宋体"/>
          <w:color w:val="000000" w:themeColor="text1"/>
          <w:sz w:val="21"/>
          <w:szCs w:val="21"/>
          <w:highlight w:val="none"/>
        </w:rPr>
        <w:t>用户的要求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确保发配电设备安全运行。遇停电限电预先通知</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及受影响部门。发生特殊情况</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如火灾、地震、水灾时，及时切断电源。确保办公区域内所有公共及专用照明灯管灯泡完好，发现损坏，及时调换。负责办公楼(区域)楼音源、服务器、喇叭等广播设备的正常使用及维修保养工作。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3、空调系统管理：</w:t>
      </w:r>
      <w:r>
        <w:rPr>
          <w:rFonts w:hint="eastAsia" w:ascii="宋体" w:hAnsi="宋体" w:eastAsia="宋体" w:cs="宋体"/>
          <w:color w:val="000000" w:themeColor="text1"/>
          <w:sz w:val="21"/>
          <w:szCs w:val="21"/>
          <w:highlight w:val="none"/>
        </w:rPr>
        <w:t>制定并严格执行空调运行管理制度、安全操作规程和空调系统设备维修保养制度，监控专业公司定期对空调系统范围内的设备设施进行检查、检修和保养，确保空调系统安全运行、正常使用；做好各项运行和维修保养记录；制定切实可行节能运行制度，有明显节能降耗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4、消防系统管理：</w:t>
      </w:r>
      <w:r>
        <w:rPr>
          <w:rFonts w:hint="eastAsia" w:ascii="宋体" w:hAnsi="宋体" w:eastAsia="宋体" w:cs="宋体"/>
          <w:color w:val="000000" w:themeColor="text1"/>
          <w:sz w:val="21"/>
          <w:szCs w:val="21"/>
          <w:highlight w:val="none"/>
        </w:rPr>
        <w:t>制订并严格执行消防管理制度，监控消防专业公司</w:t>
      </w:r>
      <w:r>
        <w:rPr>
          <w:rFonts w:hint="eastAsia" w:ascii="宋体" w:hAnsi="宋体" w:eastAsia="宋体" w:cs="宋体"/>
          <w:color w:val="000000" w:themeColor="text1"/>
          <w:sz w:val="21"/>
          <w:szCs w:val="21"/>
          <w:highlight w:val="none"/>
          <w:lang w:eastAsia="zh-CN"/>
        </w:rPr>
        <w:t>定期</w:t>
      </w:r>
      <w:r>
        <w:rPr>
          <w:rFonts w:hint="eastAsia" w:ascii="宋体" w:hAnsi="宋体" w:eastAsia="宋体" w:cs="宋体"/>
          <w:color w:val="000000" w:themeColor="text1"/>
          <w:sz w:val="21"/>
          <w:szCs w:val="21"/>
          <w:highlight w:val="none"/>
        </w:rPr>
        <w:t>对消防系统设备维修保养，加强对消防系统范围内的设备设施包括控制中心、报警系统、应急广播和对讲电话、防排烟风机、气体灭火系统、消防栓及管网、消防泵、喷淋泵、喷淋管网、各类阀门、疏散指示牌等的日常检查、检测</w:t>
      </w:r>
      <w:r>
        <w:rPr>
          <w:rFonts w:hint="eastAsia" w:ascii="宋体" w:hAnsi="宋体" w:eastAsia="宋体" w:cs="宋体"/>
          <w:color w:val="000000" w:themeColor="text1"/>
          <w:sz w:val="21"/>
          <w:szCs w:val="21"/>
          <w:highlight w:val="none"/>
          <w:lang w:eastAsia="zh-CN"/>
        </w:rPr>
        <w:t>等管理，</w:t>
      </w:r>
      <w:r>
        <w:rPr>
          <w:rFonts w:hint="eastAsia" w:ascii="宋体" w:hAnsi="宋体" w:eastAsia="宋体" w:cs="宋体"/>
          <w:color w:val="000000" w:themeColor="text1"/>
          <w:sz w:val="21"/>
          <w:szCs w:val="21"/>
          <w:highlight w:val="none"/>
        </w:rPr>
        <w:t>设立消防疏散示意图，保证紧急疏散通道通畅，确保无消防安全隐患</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及时发现并协助排除设施设备故障，</w:t>
      </w:r>
      <w:r>
        <w:rPr>
          <w:rFonts w:hint="eastAsia" w:ascii="宋体" w:hAnsi="宋体" w:eastAsia="宋体" w:cs="宋体"/>
          <w:color w:val="000000" w:themeColor="text1"/>
          <w:sz w:val="21"/>
          <w:szCs w:val="21"/>
          <w:highlight w:val="none"/>
          <w:lang w:eastAsia="zh-CN"/>
        </w:rPr>
        <w:t>确保</w:t>
      </w:r>
      <w:r>
        <w:rPr>
          <w:rFonts w:hint="eastAsia" w:ascii="宋体" w:hAnsi="宋体" w:eastAsia="宋体" w:cs="宋体"/>
          <w:color w:val="000000" w:themeColor="text1"/>
          <w:sz w:val="21"/>
          <w:szCs w:val="21"/>
          <w:highlight w:val="none"/>
        </w:rPr>
        <w:t>维修合格率100%</w:t>
      </w:r>
      <w:r>
        <w:rPr>
          <w:rFonts w:hint="eastAsia" w:ascii="宋体" w:hAnsi="宋体" w:eastAsia="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5、电梯系统管理：</w:t>
      </w:r>
      <w:r>
        <w:rPr>
          <w:rFonts w:hint="eastAsia" w:ascii="宋体" w:hAnsi="宋体" w:eastAsia="宋体" w:cs="宋体"/>
          <w:color w:val="000000" w:themeColor="text1"/>
          <w:sz w:val="21"/>
          <w:szCs w:val="21"/>
          <w:highlight w:val="none"/>
        </w:rPr>
        <w:t>负责监督电梯维护专业公司定时、定期对电梯系统各项设施设备进行检查、检测、检修和保养；及时配合有效处理电梯事故，维修质量合格率100%；协助对电梯进行年度定期检验，办理安全运行证。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6、监控系统管理：</w:t>
      </w:r>
      <w:r>
        <w:rPr>
          <w:rFonts w:hint="eastAsia" w:ascii="宋体" w:hAnsi="宋体" w:eastAsia="宋体" w:cs="宋体"/>
          <w:color w:val="000000" w:themeColor="text1"/>
          <w:sz w:val="21"/>
          <w:szCs w:val="21"/>
          <w:highlight w:val="none"/>
        </w:rPr>
        <w:t>制定并严格执行监控系统运行管理制度、安全操作规程。定时、定期对监控系统各项设施设备进行检查，保证监控设备运作正常，画面清晰。做好录像资料储存设备的安全工作，录像资料至少保留一个月以上。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31" w:name="_Toc377552351"/>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八</w:t>
      </w:r>
      <w:r>
        <w:rPr>
          <w:rFonts w:hint="eastAsia" w:ascii="宋体" w:hAnsi="宋体" w:eastAsia="宋体" w:cs="宋体"/>
          <w:color w:val="000000" w:themeColor="text1"/>
          <w:sz w:val="21"/>
          <w:szCs w:val="21"/>
          <w:highlight w:val="none"/>
        </w:rPr>
        <w:t>）人员配置要求</w:t>
      </w:r>
      <w:bookmarkEnd w:id="13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1、中标人须按国家有关规定与员工签订劳动合同，并保证所聘人员符合采购人要求。主要管理人员更换，须提前向采购人申请报备，采购人书面同意后才可更换。更换人员的用人标准、资格要求保持不变。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★2、中标人配备服务人员总人数</w:t>
      </w:r>
      <w:r>
        <w:rPr>
          <w:rFonts w:hint="eastAsia" w:ascii="宋体" w:hAnsi="宋体" w:eastAsia="宋体" w:cs="宋体"/>
          <w:color w:val="000000" w:themeColor="text1"/>
          <w:sz w:val="21"/>
          <w:szCs w:val="21"/>
          <w:highlight w:val="none"/>
          <w:lang w:eastAsia="zh-CN"/>
        </w:rPr>
        <w:t>不少于</w:t>
      </w:r>
      <w:r>
        <w:rPr>
          <w:rFonts w:hint="eastAsia" w:ascii="宋体" w:hAnsi="宋体" w:eastAsia="宋体" w:cs="宋体"/>
          <w:color w:val="000000" w:themeColor="text1"/>
          <w:sz w:val="21"/>
          <w:szCs w:val="21"/>
          <w:highlight w:val="none"/>
          <w:lang w:val="en-US" w:eastAsia="zh-CN"/>
        </w:rPr>
        <w:t>20</w:t>
      </w:r>
      <w:r>
        <w:rPr>
          <w:rFonts w:hint="eastAsia" w:ascii="宋体" w:hAnsi="宋体" w:eastAsia="宋体" w:cs="宋体"/>
          <w:color w:val="000000" w:themeColor="text1"/>
          <w:sz w:val="21"/>
          <w:szCs w:val="21"/>
          <w:highlight w:val="none"/>
        </w:rPr>
        <w:t>人，</w:t>
      </w:r>
      <w:r>
        <w:rPr>
          <w:rFonts w:hint="eastAsia" w:ascii="宋体" w:hAnsi="宋体" w:eastAsia="宋体" w:cs="宋体"/>
          <w:color w:val="000000" w:themeColor="text1"/>
          <w:sz w:val="21"/>
          <w:szCs w:val="21"/>
          <w:highlight w:val="none"/>
          <w:lang w:eastAsia="zh-CN"/>
        </w:rPr>
        <w:t>实际服务人员数量可以根据采购方的服务需要进行调整，调整后根据实际服务量进行结算</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必须是品行端正、身体健康的</w:t>
      </w:r>
      <w:r>
        <w:rPr>
          <w:rFonts w:hint="eastAsia" w:ascii="宋体" w:hAnsi="宋体" w:eastAsia="宋体" w:cs="宋体"/>
          <w:color w:val="000000" w:themeColor="text1"/>
          <w:sz w:val="21"/>
          <w:szCs w:val="21"/>
          <w:highlight w:val="none"/>
          <w:lang w:eastAsia="zh-CN"/>
        </w:rPr>
        <w:t>服务人员</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在服务过程中应该态度良好。如</w:t>
      </w:r>
      <w:r>
        <w:rPr>
          <w:rFonts w:hint="eastAsia" w:ascii="宋体" w:hAnsi="宋体" w:eastAsia="宋体" w:cs="宋体"/>
          <w:color w:val="000000" w:themeColor="text1"/>
          <w:sz w:val="21"/>
          <w:szCs w:val="21"/>
          <w:highlight w:val="none"/>
          <w:lang w:eastAsia="zh-CN"/>
        </w:rPr>
        <w:t>中标人人员</w:t>
      </w:r>
      <w:r>
        <w:rPr>
          <w:rFonts w:hint="eastAsia" w:ascii="宋体" w:hAnsi="宋体" w:eastAsia="宋体" w:cs="宋体"/>
          <w:color w:val="000000" w:themeColor="text1"/>
          <w:sz w:val="21"/>
          <w:szCs w:val="21"/>
          <w:highlight w:val="none"/>
        </w:rPr>
        <w:t>在服务过程中出现服务质量问题，</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改正或通知</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责令</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改正，若</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再不能达到要求的，</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有权将该</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退回</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，并有权要求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另行</w:t>
      </w:r>
      <w:r>
        <w:rPr>
          <w:rFonts w:hint="eastAsia" w:ascii="宋体" w:hAnsi="宋体" w:eastAsia="宋体" w:cs="宋体"/>
          <w:color w:val="000000" w:themeColor="text1"/>
          <w:sz w:val="21"/>
          <w:szCs w:val="21"/>
          <w:highlight w:val="none"/>
          <w:lang w:eastAsia="zh-CN"/>
        </w:rPr>
        <w:t>配备</w:t>
      </w:r>
      <w:r>
        <w:rPr>
          <w:rFonts w:hint="eastAsia" w:ascii="宋体" w:hAnsi="宋体" w:eastAsia="宋体" w:cs="宋体"/>
          <w:color w:val="000000" w:themeColor="text1"/>
          <w:sz w:val="21"/>
          <w:szCs w:val="21"/>
          <w:highlight w:val="none"/>
        </w:rPr>
        <w:t>符合条件和要求的</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应与所</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的</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签订正式的劳动合同，并承担所</w:t>
      </w:r>
      <w:r>
        <w:rPr>
          <w:rFonts w:hint="eastAsia" w:ascii="宋体" w:hAnsi="宋体" w:eastAsia="宋体" w:cs="宋体"/>
          <w:color w:val="000000" w:themeColor="text1"/>
          <w:sz w:val="21"/>
          <w:szCs w:val="21"/>
          <w:highlight w:val="none"/>
          <w:lang w:eastAsia="zh-CN"/>
        </w:rPr>
        <w:t>服务人员</w:t>
      </w:r>
      <w:r>
        <w:rPr>
          <w:rFonts w:hint="eastAsia" w:ascii="宋体" w:hAnsi="宋体" w:eastAsia="宋体" w:cs="宋体"/>
          <w:color w:val="000000" w:themeColor="text1"/>
          <w:sz w:val="21"/>
          <w:szCs w:val="21"/>
          <w:highlight w:val="none"/>
        </w:rPr>
        <w:t>的工资</w:t>
      </w:r>
      <w:r>
        <w:rPr>
          <w:rFonts w:hint="eastAsia" w:ascii="宋体" w:hAnsi="宋体" w:eastAsia="宋体" w:cs="宋体"/>
          <w:color w:val="000000" w:themeColor="text1"/>
          <w:sz w:val="21"/>
          <w:szCs w:val="21"/>
          <w:highlight w:val="none"/>
          <w:lang w:eastAsia="zh-CN"/>
        </w:rPr>
        <w:t>及加班费</w:t>
      </w:r>
      <w:r>
        <w:rPr>
          <w:rFonts w:hint="eastAsia" w:ascii="宋体" w:hAnsi="宋体" w:eastAsia="宋体" w:cs="宋体"/>
          <w:color w:val="000000" w:themeColor="text1"/>
          <w:sz w:val="21"/>
          <w:szCs w:val="21"/>
          <w:highlight w:val="none"/>
        </w:rPr>
        <w:t>、福利、</w:t>
      </w:r>
      <w:r>
        <w:rPr>
          <w:rFonts w:hint="eastAsia" w:ascii="宋体" w:hAnsi="宋体" w:eastAsia="宋体" w:cs="宋体"/>
          <w:color w:val="000000" w:themeColor="text1"/>
          <w:sz w:val="21"/>
          <w:szCs w:val="21"/>
          <w:highlight w:val="none"/>
          <w:lang w:eastAsia="zh-CN"/>
        </w:rPr>
        <w:t>应缴纳</w:t>
      </w:r>
      <w:r>
        <w:rPr>
          <w:rFonts w:hint="eastAsia" w:ascii="宋体" w:hAnsi="宋体" w:eastAsia="宋体" w:cs="宋体"/>
          <w:color w:val="000000" w:themeColor="text1"/>
          <w:sz w:val="21"/>
          <w:szCs w:val="21"/>
          <w:highlight w:val="none"/>
        </w:rPr>
        <w:t>各项社会保险（含养老、医疗、工伤、失业、生育险</w:t>
      </w:r>
      <w:r>
        <w:rPr>
          <w:rFonts w:hint="eastAsia" w:ascii="宋体" w:hAnsi="宋体" w:cs="宋体"/>
          <w:color w:val="000000" w:themeColor="text1"/>
          <w:sz w:val="21"/>
          <w:szCs w:val="21"/>
          <w:highlight w:val="none"/>
          <w:lang w:eastAsia="zh-CN"/>
        </w:rPr>
        <w:t>、高额医疗保险</w:t>
      </w:r>
      <w:r>
        <w:rPr>
          <w:rFonts w:hint="eastAsia" w:ascii="宋体" w:hAnsi="宋体" w:eastAsia="宋体" w:cs="宋体"/>
          <w:color w:val="000000" w:themeColor="text1"/>
          <w:sz w:val="21"/>
          <w:szCs w:val="21"/>
          <w:highlight w:val="none"/>
        </w:rPr>
        <w:t>）、人身意外伤害保险</w:t>
      </w:r>
      <w:r>
        <w:rPr>
          <w:rFonts w:hint="eastAsia" w:ascii="宋体" w:hAnsi="宋体" w:eastAsia="宋体" w:cs="宋体"/>
          <w:color w:val="000000" w:themeColor="text1"/>
          <w:sz w:val="21"/>
          <w:szCs w:val="21"/>
          <w:highlight w:val="none"/>
          <w:lang w:eastAsia="zh-CN"/>
        </w:rPr>
        <w:t>、住房公积金及其他费用等</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应以法定货币形式按月支付</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人员工资，不得克扣或无故拖欠。</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应执行有关最低工资的规定。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如果患病、因事不能提供服务的，必须提前向</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请假。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为</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提供服务期间，对</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有关工作内容及其它信息有保密义务，</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期间，服务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要与</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签定保密协议。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、被</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人员有《劳动合同法》第三十九条第（二）、（三）、（六）项和第四十条第（一）、第（二）项规定情形的，</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可以将</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人员退回</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，并有权要求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重新</w:t>
      </w:r>
      <w:r>
        <w:rPr>
          <w:rFonts w:hint="eastAsia" w:ascii="宋体" w:hAnsi="宋体" w:eastAsia="宋体" w:cs="宋体"/>
          <w:color w:val="000000" w:themeColor="text1"/>
          <w:sz w:val="21"/>
          <w:szCs w:val="21"/>
          <w:highlight w:val="none"/>
          <w:lang w:eastAsia="zh-CN"/>
        </w:rPr>
        <w:t>配备</w:t>
      </w:r>
      <w:r>
        <w:rPr>
          <w:rFonts w:hint="eastAsia" w:ascii="宋体" w:hAnsi="宋体" w:eastAsia="宋体" w:cs="宋体"/>
          <w:color w:val="000000" w:themeColor="text1"/>
          <w:sz w:val="21"/>
          <w:szCs w:val="21"/>
          <w:highlight w:val="none"/>
        </w:rPr>
        <w:t>符合条件的人员。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有权查询</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发放</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人员的</w:t>
      </w:r>
      <w:r>
        <w:rPr>
          <w:rFonts w:hint="eastAsia" w:ascii="宋体" w:hAnsi="宋体" w:eastAsia="宋体" w:cs="宋体"/>
          <w:color w:val="000000" w:themeColor="text1"/>
          <w:sz w:val="21"/>
          <w:szCs w:val="21"/>
          <w:highlight w:val="none"/>
          <w:lang w:eastAsia="zh-CN"/>
        </w:rPr>
        <w:t>薪酬</w:t>
      </w:r>
      <w:r>
        <w:rPr>
          <w:rFonts w:hint="eastAsia" w:ascii="宋体" w:hAnsi="宋体" w:eastAsia="宋体" w:cs="宋体"/>
          <w:color w:val="000000" w:themeColor="text1"/>
          <w:sz w:val="21"/>
          <w:szCs w:val="21"/>
          <w:highlight w:val="none"/>
        </w:rPr>
        <w:t>情况，出现违法现象，</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可以依法向</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交涉要求纠正，因此造成</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损失的，</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应当给予</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不得将被</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人员再</w:t>
      </w:r>
      <w:r>
        <w:rPr>
          <w:rFonts w:hint="eastAsia" w:ascii="宋体" w:hAnsi="宋体" w:eastAsia="宋体" w:cs="宋体"/>
          <w:color w:val="000000" w:themeColor="text1"/>
          <w:sz w:val="21"/>
          <w:szCs w:val="21"/>
          <w:highlight w:val="none"/>
          <w:lang w:eastAsia="zh-CN"/>
        </w:rPr>
        <w:t>调用</w:t>
      </w:r>
      <w:r>
        <w:rPr>
          <w:rFonts w:hint="eastAsia" w:ascii="宋体" w:hAnsi="宋体" w:eastAsia="宋体" w:cs="宋体"/>
          <w:color w:val="000000" w:themeColor="text1"/>
          <w:sz w:val="21"/>
          <w:szCs w:val="21"/>
          <w:highlight w:val="none"/>
        </w:rPr>
        <w:t>到其他用人单位，否则，</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有权解除合同并要求</w:t>
      </w:r>
      <w:r>
        <w:rPr>
          <w:rFonts w:hint="eastAsia" w:ascii="宋体" w:hAnsi="宋体" w:eastAsia="宋体" w:cs="宋体"/>
          <w:color w:val="000000" w:themeColor="text1"/>
          <w:sz w:val="21"/>
          <w:szCs w:val="21"/>
          <w:highlight w:val="none"/>
          <w:lang w:eastAsia="zh-CN"/>
        </w:rPr>
        <w:t>中标人</w:t>
      </w:r>
      <w:r>
        <w:rPr>
          <w:rFonts w:hint="eastAsia" w:ascii="宋体" w:hAnsi="宋体" w:eastAsia="宋体" w:cs="宋体"/>
          <w:color w:val="000000" w:themeColor="text1"/>
          <w:sz w:val="21"/>
          <w:szCs w:val="21"/>
          <w:highlight w:val="none"/>
        </w:rPr>
        <w:t>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11、</w:t>
      </w:r>
      <w:r>
        <w:rPr>
          <w:rFonts w:hint="eastAsia" w:ascii="宋体" w:hAnsi="宋体" w:eastAsia="宋体" w:cs="宋体"/>
          <w:color w:val="000000" w:themeColor="text1"/>
          <w:sz w:val="21"/>
          <w:szCs w:val="21"/>
          <w:highlight w:val="none"/>
        </w:rPr>
        <w:t>中标人配备服务人员具体岗位及人员素质要求明细如下：</w:t>
      </w:r>
    </w:p>
    <w:tbl>
      <w:tblPr>
        <w:tblStyle w:val="46"/>
        <w:tblW w:w="0" w:type="auto"/>
        <w:jc w:val="center"/>
        <w:tblLayout w:type="fixed"/>
        <w:tblCellMar>
          <w:top w:w="0" w:type="dxa"/>
          <w:left w:w="108" w:type="dxa"/>
          <w:bottom w:w="0" w:type="dxa"/>
          <w:right w:w="108" w:type="dxa"/>
        </w:tblCellMar>
      </w:tblPr>
      <w:tblGrid>
        <w:gridCol w:w="553"/>
        <w:gridCol w:w="1009"/>
        <w:gridCol w:w="3299"/>
        <w:gridCol w:w="567"/>
        <w:gridCol w:w="3845"/>
      </w:tblGrid>
      <w:tr>
        <w:tblPrEx>
          <w:tblCellMar>
            <w:top w:w="0" w:type="dxa"/>
            <w:left w:w="108" w:type="dxa"/>
            <w:bottom w:w="0" w:type="dxa"/>
            <w:right w:w="108" w:type="dxa"/>
          </w:tblCellMar>
        </w:tblPrEx>
        <w:trPr>
          <w:trHeight w:val="285"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分项名称</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具体服务内容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人数</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人员素质要求</w:t>
            </w:r>
          </w:p>
        </w:tc>
      </w:tr>
      <w:tr>
        <w:tblPrEx>
          <w:tblCellMar>
            <w:top w:w="0" w:type="dxa"/>
            <w:left w:w="108" w:type="dxa"/>
            <w:bottom w:w="0" w:type="dxa"/>
            <w:right w:w="108" w:type="dxa"/>
          </w:tblCellMar>
        </w:tblPrEx>
        <w:trPr>
          <w:trHeight w:val="1785"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1</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保安人员</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负责办公大楼及其管辖范围内的安全防范、秩序管理、车辆管理等服务。做好</w:t>
            </w:r>
            <w:r>
              <w:rPr>
                <w:rFonts w:hint="eastAsia" w:ascii="宋体" w:hAnsi="宋体" w:cs="宋体"/>
                <w:color w:val="000000" w:themeColor="text1"/>
                <w:szCs w:val="21"/>
                <w:highlight w:val="none"/>
              </w:rPr>
              <w:t>安全防范工作、车辆的停放管理、来访人员指引服务，维护公共秩序、保护公共设施不受人为破坏</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采购人或领导交代的其他事项。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16</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ascii="宋体" w:hAnsi="宋体" w:cs="宋体"/>
                <w:color w:val="000000" w:themeColor="text1"/>
                <w:szCs w:val="21"/>
                <w:highlight w:val="none"/>
              </w:rPr>
            </w:pPr>
            <w:r>
              <w:rPr>
                <w:rFonts w:hint="eastAsia" w:ascii="宋体" w:hAnsi="宋体"/>
                <w:color w:val="000000" w:themeColor="text1"/>
                <w:szCs w:val="21"/>
                <w:highlight w:val="none"/>
                <w:lang w:val="en-US" w:eastAsia="zh-CN"/>
              </w:rPr>
              <w:t>具有良好的语言表达能力和处理突发事件工作能力，工作严谨认真，具有敬业精神和责任感，无违法犯罪记录。</w:t>
            </w:r>
          </w:p>
        </w:tc>
      </w:tr>
      <w:tr>
        <w:tblPrEx>
          <w:tblCellMar>
            <w:top w:w="0" w:type="dxa"/>
            <w:left w:w="108" w:type="dxa"/>
            <w:bottom w:w="0" w:type="dxa"/>
            <w:right w:w="108" w:type="dxa"/>
          </w:tblCellMar>
        </w:tblPrEx>
        <w:trPr>
          <w:trHeight w:val="1785"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eastAsia="zh-CN"/>
              </w:rPr>
              <w:t>绿化养护员</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cs="宋体"/>
                <w:color w:val="000000" w:themeColor="text1"/>
                <w:szCs w:val="21"/>
                <w:highlight w:val="none"/>
                <w:lang w:val="en-US" w:eastAsia="zh-CN"/>
              </w:rPr>
            </w:pPr>
            <w:r>
              <w:rPr>
                <w:rFonts w:hint="eastAsia" w:ascii="宋体" w:hAnsi="宋体"/>
                <w:color w:val="000000" w:themeColor="text1"/>
                <w:szCs w:val="21"/>
                <w:highlight w:val="none"/>
                <w:lang w:eastAsia="zh-CN"/>
              </w:rPr>
              <w:t>办公大楼及其管辖范围内的室内摆设植物、室外绿地和花木等的养护和管理。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身体健康，能吃苦耐劳，掌握绿化养护管理基本知识。</w:t>
            </w:r>
          </w:p>
        </w:tc>
      </w:tr>
      <w:tr>
        <w:tblPrEx>
          <w:tblCellMar>
            <w:top w:w="0" w:type="dxa"/>
            <w:left w:w="108" w:type="dxa"/>
            <w:bottom w:w="0" w:type="dxa"/>
            <w:right w:w="108" w:type="dxa"/>
          </w:tblCellMar>
        </w:tblPrEx>
        <w:trPr>
          <w:trHeight w:val="1680"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3</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水电</w:t>
            </w:r>
            <w:r>
              <w:rPr>
                <w:rFonts w:hint="eastAsia" w:ascii="宋体" w:hAnsi="宋体" w:cs="宋体"/>
                <w:color w:val="000000" w:themeColor="text1"/>
                <w:szCs w:val="21"/>
                <w:highlight w:val="none"/>
              </w:rPr>
              <w:t>工</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负责</w:t>
            </w:r>
            <w:r>
              <w:rPr>
                <w:rFonts w:hint="eastAsia" w:ascii="宋体" w:hAnsi="宋体" w:cs="宋体"/>
                <w:color w:val="000000" w:themeColor="text1"/>
                <w:szCs w:val="21"/>
                <w:highlight w:val="none"/>
                <w:lang w:eastAsia="zh-CN"/>
              </w:rPr>
              <w:t>建筑设备、设施维修、养护、管理工作。</w:t>
            </w:r>
            <w:r>
              <w:rPr>
                <w:rFonts w:hint="eastAsia" w:ascii="宋体" w:hAnsi="宋体" w:cs="宋体"/>
                <w:color w:val="000000" w:themeColor="text1"/>
                <w:szCs w:val="21"/>
                <w:highlight w:val="none"/>
              </w:rPr>
              <w:t>各种设施设备系统的日常巡查、运行值班、养护、修缮，维修、协助配合工作</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采购人或领导交代的其他事项。</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1</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hint="eastAsia" w:ascii="宋体" w:hAnsi="宋体" w:eastAsia="宋体" w:cs="宋体"/>
                <w:color w:val="000000" w:themeColor="text1"/>
                <w:szCs w:val="21"/>
                <w:highlight w:val="none"/>
                <w:lang w:eastAsia="zh-CN"/>
              </w:rPr>
            </w:pPr>
            <w:r>
              <w:rPr>
                <w:rFonts w:hint="eastAsia" w:ascii="宋体" w:hAnsi="宋体"/>
                <w:color w:val="000000" w:themeColor="text1"/>
                <w:szCs w:val="21"/>
                <w:highlight w:val="none"/>
                <w:lang w:val="en-US" w:eastAsia="zh-CN"/>
              </w:rPr>
              <w:t>具有良好的语言表达能力和处理突发事件工作能力，工作严谨认真，具有敬业精神和责任感，</w:t>
            </w:r>
            <w:r>
              <w:rPr>
                <w:rFonts w:hint="eastAsia" w:ascii="宋体" w:hAnsi="宋体" w:cs="宋体"/>
                <w:color w:val="000000" w:themeColor="text1"/>
                <w:szCs w:val="21"/>
                <w:highlight w:val="none"/>
                <w:lang w:eastAsia="zh-CN"/>
              </w:rPr>
              <w:t>掌握水电维护基本知识。</w:t>
            </w:r>
          </w:p>
        </w:tc>
      </w:tr>
      <w:tr>
        <w:tblPrEx>
          <w:tblCellMar>
            <w:top w:w="0" w:type="dxa"/>
            <w:left w:w="108" w:type="dxa"/>
            <w:bottom w:w="0" w:type="dxa"/>
            <w:right w:w="108" w:type="dxa"/>
          </w:tblCellMar>
        </w:tblPrEx>
        <w:trPr>
          <w:trHeight w:val="2169" w:hRule="atLeast"/>
          <w:jc w:val="center"/>
        </w:trPr>
        <w:tc>
          <w:tcPr>
            <w:tcW w:w="55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100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保洁员</w:t>
            </w:r>
          </w:p>
        </w:tc>
        <w:tc>
          <w:tcPr>
            <w:tcW w:w="32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负责办公大楼及其管辖范围内的环境卫生与保洁管理工作，垃圾清运、处理工作、</w:t>
            </w:r>
            <w:r>
              <w:rPr>
                <w:rFonts w:hint="eastAsia" w:ascii="宋体" w:hAnsi="宋体" w:eastAsia="宋体"/>
                <w:color w:val="000000" w:themeColor="text1"/>
                <w:sz w:val="21"/>
                <w:szCs w:val="21"/>
                <w:highlight w:val="none"/>
                <w:lang w:val="en-US" w:eastAsia="zh-CN"/>
              </w:rPr>
              <w:t>污水及化粪池管理工作</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实行标准化清扫保洁，对本项目内</w:t>
            </w:r>
            <w:r>
              <w:rPr>
                <w:rFonts w:hint="eastAsia" w:ascii="宋体" w:hAnsi="宋体" w:cs="宋体"/>
                <w:color w:val="000000" w:themeColor="text1"/>
                <w:szCs w:val="21"/>
                <w:highlight w:val="none"/>
                <w:lang w:eastAsia="zh-CN"/>
              </w:rPr>
              <w:t>的公共</w:t>
            </w:r>
            <w:r>
              <w:rPr>
                <w:rFonts w:hint="eastAsia" w:ascii="宋体" w:hAnsi="宋体" w:cs="宋体"/>
                <w:color w:val="000000" w:themeColor="text1"/>
                <w:szCs w:val="21"/>
                <w:highlight w:val="none"/>
              </w:rPr>
              <w:t>区域进行清扫、保洁</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垃圾日产日清。</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身体健康，能吃苦耐劳，有相关保洁工作经验。</w:t>
            </w:r>
          </w:p>
        </w:tc>
      </w:tr>
      <w:tr>
        <w:tblPrEx>
          <w:tblCellMar>
            <w:top w:w="0" w:type="dxa"/>
            <w:left w:w="108" w:type="dxa"/>
            <w:bottom w:w="0" w:type="dxa"/>
            <w:right w:w="108" w:type="dxa"/>
          </w:tblCellMar>
        </w:tblPrEx>
        <w:trPr>
          <w:trHeight w:val="522" w:hRule="atLeast"/>
          <w:jc w:val="center"/>
        </w:trPr>
        <w:tc>
          <w:tcPr>
            <w:tcW w:w="486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20</w:t>
            </w:r>
          </w:p>
        </w:tc>
        <w:tc>
          <w:tcPr>
            <w:tcW w:w="384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276" w:lineRule="auto"/>
              <w:jc w:val="center"/>
              <w:rPr>
                <w:rFonts w:ascii="宋体" w:hAnsi="宋体" w:cs="宋体"/>
                <w:color w:val="000000" w:themeColor="text1"/>
                <w:szCs w:val="21"/>
                <w:highlight w:val="none"/>
              </w:rPr>
            </w:pPr>
          </w:p>
        </w:tc>
      </w:tr>
    </w:tbl>
    <w:p>
      <w:pPr>
        <w:bidi w:val="0"/>
        <w:spacing w:line="360" w:lineRule="auto"/>
        <w:ind w:firstLine="420" w:firstLineChars="200"/>
        <w:rPr>
          <w:color w:val="000000" w:themeColor="text1"/>
          <w:highlight w:val="none"/>
        </w:rPr>
      </w:pPr>
      <w:r>
        <w:rPr>
          <w:rFonts w:hint="eastAsia"/>
          <w:color w:val="000000" w:themeColor="text1"/>
          <w:highlight w:val="none"/>
        </w:rPr>
        <w:t>①以上物业服务人员必须身体健康，上岗前须取得阳江地区医院体检的健康证明。</w:t>
      </w:r>
    </w:p>
    <w:p>
      <w:pPr>
        <w:bidi w:val="0"/>
        <w:spacing w:line="360" w:lineRule="auto"/>
        <w:ind w:firstLine="420" w:firstLineChars="200"/>
        <w:rPr>
          <w:rFonts w:hint="eastAsia"/>
          <w:color w:val="000000" w:themeColor="text1"/>
          <w:highlight w:val="none"/>
        </w:rPr>
      </w:pPr>
      <w:r>
        <w:rPr>
          <w:rFonts w:hint="eastAsia"/>
          <w:color w:val="000000" w:themeColor="text1"/>
          <w:highlight w:val="none"/>
        </w:rPr>
        <w:t>②所有人员不能有违法犯罪、劳教等不良记录，必须是具备岗位所需知识和技能的合法、合格劳动者。中标人对录用人员须严格政审，采购人保留最终政审权。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32" w:name="_Toc10024"/>
      <w:bookmarkStart w:id="133" w:name="_Toc2860"/>
      <w:bookmarkStart w:id="134" w:name="_Toc12247"/>
      <w:bookmarkStart w:id="135" w:name="_Toc20492"/>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九</w:t>
      </w:r>
      <w:r>
        <w:rPr>
          <w:rFonts w:hint="eastAsia" w:ascii="宋体" w:hAnsi="宋体" w:eastAsia="宋体" w:cs="宋体"/>
          <w:color w:val="000000" w:themeColor="text1"/>
          <w:highlight w:val="none"/>
        </w:rPr>
        <w:t>）用工程序</w:t>
      </w:r>
      <w:bookmarkEnd w:id="132"/>
      <w:bookmarkEnd w:id="133"/>
      <w:bookmarkEnd w:id="134"/>
      <w:bookmarkEnd w:id="13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采购人如需新增新</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服务人员，中标人按如下要求新增：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1、采购人根据业务需要和岗位设置情况，以书面形式向中标人发出需求通知书。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2、中标人收到采购人用工需求通知书后，按照需求提供</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3、采购人对中标人推荐的</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服务人员进行选用确认。采购人有权自行决定是否接受选用中标人推荐的</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▲4、中标人须组织获得选用资格的人员进行体检，审验、收集获得选用资格人员的相关证件等资料，上述资料须备份给采购人。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5、采购人对获得选用资格并体检合格的人员进行岗位培训，中标人对其进行公共职业培训，上述培训均合格后，由采购人确定正式选用名单。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6、中标人通知选用人员入职，并办理相关入职手续、签订劳动合同等。签订的劳动合同须备份给采购人。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▲7、采购人有权要求调换不适合岗位要求的</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服务人员，中标人调换</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服务人员须经过采购人同意。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36" w:name="_Toc6145"/>
      <w:bookmarkStart w:id="137" w:name="_Toc6889"/>
      <w:bookmarkStart w:id="138" w:name="_Toc30127"/>
      <w:bookmarkStart w:id="139" w:name="_Toc24684"/>
      <w:r>
        <w:rPr>
          <w:rFonts w:hint="eastAsia" w:ascii="宋体" w:hAnsi="宋体" w:eastAsia="宋体" w:cs="宋体"/>
          <w:b/>
          <w:bCs/>
          <w:color w:val="000000" w:themeColor="text1"/>
          <w:highlight w:val="none"/>
        </w:rPr>
        <w:t>五、项目验收要求</w:t>
      </w:r>
      <w:bookmarkEnd w:id="136"/>
      <w:bookmarkEnd w:id="137"/>
      <w:bookmarkEnd w:id="138"/>
      <w:bookmarkEnd w:id="13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40" w:name="_Hlk98325914"/>
      <w:r>
        <w:rPr>
          <w:rFonts w:hint="eastAsia" w:ascii="宋体" w:hAnsi="宋体" w:eastAsia="宋体" w:cs="宋体"/>
          <w:color w:val="000000" w:themeColor="text1"/>
          <w:highlight w:val="none"/>
        </w:rPr>
        <w:t>1、采购人对中标人的物业管理服务情况进行考核及验收，并对造成失误、过错、事故的，当月</w:t>
      </w:r>
      <w:r>
        <w:rPr>
          <w:rFonts w:hint="eastAsia" w:ascii="宋体" w:hAnsi="宋体" w:eastAsia="宋体" w:cs="宋体"/>
          <w:color w:val="000000" w:themeColor="text1"/>
          <w:highlight w:val="none"/>
          <w:lang w:eastAsia="zh-CN"/>
        </w:rPr>
        <w:t>作出处理</w:t>
      </w:r>
      <w:r>
        <w:rPr>
          <w:rFonts w:hint="eastAsia" w:ascii="宋体" w:hAnsi="宋体" w:eastAsia="宋体" w:cs="宋体"/>
          <w:color w:val="000000" w:themeColor="text1"/>
          <w:highlight w:val="none"/>
        </w:rPr>
        <w:t>并追究相关责任，其考核扣罚费用下月据实结算。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2、招标文件条款明确的责任及罚则所涉及的投诉类型、失误、过错大小、事故性质、有效性的确定由采购人与中标人在合同签订时协商予以明确,分歧异议部分，以采购人后勤主管部门的意见为准。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3、采购人对中标人管理服务期间每月综合考评一次，累计有两个月得分低于</w:t>
      </w:r>
      <w:r>
        <w:rPr>
          <w:rFonts w:hint="eastAsia" w:ascii="宋体" w:hAnsi="宋体" w:eastAsia="宋体" w:cs="宋体"/>
          <w:color w:val="000000" w:themeColor="text1"/>
          <w:highlight w:val="none"/>
          <w:lang w:val="en-US" w:eastAsia="zh-CN"/>
        </w:rPr>
        <w:t>80</w:t>
      </w:r>
      <w:r>
        <w:rPr>
          <w:rFonts w:hint="eastAsia" w:ascii="宋体" w:hAnsi="宋体" w:eastAsia="宋体" w:cs="宋体"/>
          <w:color w:val="000000" w:themeColor="text1"/>
          <w:highlight w:val="none"/>
        </w:rPr>
        <w:t>分，则视为不合格，采购人有权终止合同。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4、中标人如有违反或未达到招标文件内★号项要求，视为0分考评，采购人有权终止合同，重新组织招标。有分歧异议的，以采购人的意见为准。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采购人和中标人共同参与中标人服务工作人员考勤管理，中标人服务工作人员出勤率应达规定人数的100%，每日全勤奖励加8分。考勤按在岗时间以小时计算，全体员工迟到、早退等不在岗时间累计共（到）有八小时视为1人当天缺勤，</w:t>
      </w:r>
      <w:r>
        <w:rPr>
          <w:rFonts w:hint="eastAsia" w:ascii="宋体" w:hAnsi="宋体" w:eastAsia="宋体" w:cs="宋体"/>
          <w:color w:val="000000" w:themeColor="text1"/>
          <w:highlight w:val="none"/>
          <w:lang w:eastAsia="zh-CN"/>
        </w:rPr>
        <w:t>按本岗位用工</w:t>
      </w:r>
      <w:r>
        <w:rPr>
          <w:rFonts w:hint="eastAsia" w:ascii="宋体" w:hAnsi="宋体" w:eastAsia="宋体" w:cs="宋体"/>
          <w:color w:val="000000" w:themeColor="text1"/>
          <w:highlight w:val="none"/>
          <w:lang w:val="en-US" w:eastAsia="zh-CN"/>
        </w:rPr>
        <w:t>3倍工资的标准计算扣减物业管理服务费</w:t>
      </w:r>
      <w:r>
        <w:rPr>
          <w:rFonts w:hint="eastAsia" w:ascii="宋体" w:hAnsi="宋体" w:eastAsia="宋体" w:cs="宋体"/>
          <w:color w:val="000000" w:themeColor="text1"/>
          <w:highlight w:val="none"/>
        </w:rPr>
        <w:t>，累计时间缺勤一小时扣一分；因员工离职和考核考评不合格、违规遭到投诉等换人造成的岗位即时缺人，按本岗位用工3倍工资计算扣减物业管理服务费，每人每天扣8分。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6、在经营活动中存在违反税收法规财务制度及其他违法违规记录，扣20分。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7、在经营中是否履行合同承诺。很好履行合同承诺得3分；基本履行合同承诺不得分；未履行合同承诺每次扣3分。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8、提倡节约能源，不准浪费水、电及消耗品等公共资源（违反则扣0.5分/次）。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9、不准违反工作纪律、违规操作。严格执行和遵守各项管理制度（违反扣1分）。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41" w:name="_Hlk98325757"/>
      <w:r>
        <w:rPr>
          <w:rFonts w:hint="eastAsia" w:ascii="宋体" w:hAnsi="宋体" w:eastAsia="宋体" w:cs="宋体"/>
          <w:color w:val="000000" w:themeColor="text1"/>
          <w:highlight w:val="none"/>
        </w:rPr>
        <w:t>10、一般过错的有效投诉，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60元/次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11、一般过错的重（反）复性有效投诉，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120元/次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12、较大过错的有效投诉，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180元/次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13、较大过错的的重（反）复性有效投诉，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480元/次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14、重大过错的有效投诉，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720元/次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15、重大过错的重（反）复性有效投诉，</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1800元/次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16、一般事故过错的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1.5-2.4万元/次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17、较大事故过错的</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3-6万元/次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18、重大事故过错的</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按</w:t>
      </w:r>
      <w:r>
        <w:rPr>
          <w:rFonts w:hint="eastAsia" w:ascii="宋体" w:hAnsi="宋体" w:eastAsia="宋体" w:cs="宋体"/>
          <w:color w:val="000000" w:themeColor="text1"/>
          <w:highlight w:val="none"/>
        </w:rPr>
        <w:t>6-15万元/次</w:t>
      </w:r>
      <w:r>
        <w:rPr>
          <w:rFonts w:hint="eastAsia" w:ascii="宋体" w:hAnsi="宋体" w:eastAsia="宋体" w:cs="宋体"/>
          <w:color w:val="000000" w:themeColor="text1"/>
          <w:highlight w:val="none"/>
          <w:lang w:eastAsia="zh-CN"/>
        </w:rPr>
        <w:t>扣减物业管理服务费</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19、违反以下条款每条每个事项扣0.1分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（1）工作或执勤时，中标人的所有服务人员必须身着制服，佩证上岗，制服不准混穿；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（2）中标人的所有服务人员的制服要保持整洁、平整，不得敞胸露怀、卷袖子、挽裤腿；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（3）上班时间须精神振作、精力集中，不得袖手、插手、背手；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值班在岗时站姿、坐姿姿态端正，保持立正姿势，不得东摇西晃、坐卧、倚靠、躺卧、打盹、吸烟、吃东西、电话聊天、看书报、下棋、玩弄手机、听看音频视频，不得聊天，大声说话，喧闹，嘻哈玩笑，随意走动、乱堆乱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（5）上班人员提前十五分钟达到各执勤工作岗位，办理接班手续、做好交班记录和物品出入登记，没人顶接不准擅自离开岗位；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（6）值班人员不准在岗就餐，值班时不得会客；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（7）工作有礼有节，热情受理各种问题，对发现的问题要及时解决，解决不了的及时汇报并做好登记管理；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（8）工作场所保持整洁、不准随意粘贴、悬挂与堆放与工作无关的物品；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（9）有效投诉一次。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20、如有气味、噪音、饮水等影响了采购人正常工作秩序，中标人没能及时处理和制止，每次扣减物业管理费¥</w:t>
      </w:r>
      <w:r>
        <w:rPr>
          <w:rFonts w:hint="eastAsia" w:ascii="宋体" w:hAnsi="宋体" w:eastAsia="宋体" w:cs="宋体"/>
          <w:color w:val="000000" w:themeColor="text1"/>
          <w:highlight w:val="none"/>
          <w:lang w:val="en-US" w:eastAsia="zh-CN"/>
        </w:rPr>
        <w:t>500</w:t>
      </w:r>
      <w:r>
        <w:rPr>
          <w:rFonts w:hint="eastAsia" w:ascii="宋体" w:hAnsi="宋体" w:eastAsia="宋体" w:cs="宋体"/>
          <w:color w:val="000000" w:themeColor="text1"/>
          <w:highlight w:val="none"/>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21、按规定准时关闭空调、电脑、照明、抽风及非须使用的电气设备，若造成浪费，每次扣减物业管理费¥100元。</w:t>
      </w:r>
    </w:p>
    <w:bookmarkEnd w:id="141"/>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22、招标文件和合同其它约定相关事项。</w:t>
      </w:r>
    </w:p>
    <w:bookmarkEnd w:id="14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其它由于中标人责任发生的过错，物业管理费</w:t>
      </w:r>
      <w:r>
        <w:rPr>
          <w:rFonts w:hint="eastAsia" w:ascii="宋体" w:hAnsi="宋体" w:eastAsia="宋体" w:cs="宋体"/>
          <w:color w:val="000000" w:themeColor="text1"/>
          <w:highlight w:val="none"/>
          <w:lang w:val="en-US" w:eastAsia="zh-CN"/>
        </w:rPr>
        <w:t>扣减</w:t>
      </w:r>
      <w:r>
        <w:rPr>
          <w:rFonts w:hint="eastAsia" w:ascii="宋体" w:hAnsi="宋体" w:eastAsia="宋体" w:cs="宋体"/>
          <w:color w:val="000000" w:themeColor="text1"/>
          <w:highlight w:val="none"/>
        </w:rPr>
        <w:t>标准详见附表。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附表1：物业管理服务综合考评、管理服务考评满意度调查表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附表2：物业管理服务综合考评、管理服务分数统计表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附表3：物业管理服务</w:t>
      </w:r>
      <w:r>
        <w:rPr>
          <w:rFonts w:hint="eastAsia" w:ascii="宋体" w:hAnsi="宋体" w:eastAsia="宋体" w:cs="宋体"/>
          <w:color w:val="000000" w:themeColor="text1"/>
          <w:highlight w:val="none"/>
          <w:lang w:val="en-US" w:eastAsia="zh-CN"/>
        </w:rPr>
        <w:t>处理</w:t>
      </w:r>
      <w:r>
        <w:rPr>
          <w:rFonts w:hint="eastAsia" w:ascii="宋体" w:hAnsi="宋体" w:eastAsia="宋体" w:cs="宋体"/>
          <w:color w:val="000000" w:themeColor="text1"/>
          <w:highlight w:val="none"/>
        </w:rPr>
        <w:t>单</w:t>
      </w:r>
    </w:p>
    <w:p>
      <w:pPr>
        <w:jc w:val="left"/>
        <w:rPr>
          <w:rFonts w:ascii="宋体" w:hAnsi="宋体" w:cs="宋体"/>
          <w:color w:val="000000" w:themeColor="text1"/>
          <w:szCs w:val="21"/>
          <w:highlight w:val="none"/>
        </w:rPr>
      </w:pPr>
      <w:r>
        <w:rPr>
          <w:rFonts w:ascii="宋体" w:hAnsi="宋体" w:cs="宋体"/>
          <w:color w:val="000000" w:themeColor="text1"/>
          <w:spacing w:val="-10"/>
          <w:szCs w:val="21"/>
          <w:highlight w:val="none"/>
        </w:rPr>
        <w:br w:type="page"/>
      </w:r>
      <w:r>
        <w:rPr>
          <w:rFonts w:ascii="宋体" w:hAnsi="宋体" w:cs="宋体"/>
          <w:color w:val="000000" w:themeColor="text1"/>
          <w:spacing w:val="-10"/>
          <w:szCs w:val="21"/>
          <w:highlight w:val="none"/>
        </w:rPr>
        <w:t>附表1：</w:t>
      </w:r>
      <w:r>
        <w:rPr>
          <w:rFonts w:ascii="宋体" w:hAnsi="宋体" w:cs="宋体"/>
          <w:color w:val="000000" w:themeColor="text1"/>
          <w:spacing w:val="-1"/>
          <w:szCs w:val="21"/>
          <w:highlight w:val="none"/>
        </w:rPr>
        <w:t>物业管理服务综合考评、管理</w:t>
      </w:r>
      <w:r>
        <w:rPr>
          <w:rFonts w:ascii="宋体" w:hAnsi="宋体" w:eastAsia="宋体" w:cs="宋体"/>
          <w:color w:val="000000" w:themeColor="text1"/>
          <w:spacing w:val="-1"/>
          <w:szCs w:val="21"/>
          <w:highlight w:val="none"/>
        </w:rPr>
        <w:t>服务</w:t>
      </w:r>
      <w:r>
        <w:rPr>
          <w:rFonts w:ascii="宋体" w:hAnsi="宋体" w:cs="宋体"/>
          <w:color w:val="000000" w:themeColor="text1"/>
          <w:spacing w:val="-10"/>
          <w:szCs w:val="21"/>
          <w:highlight w:val="none"/>
        </w:rPr>
        <w:t>考评满意度调查表</w:t>
      </w:r>
    </w:p>
    <w:p>
      <w:pPr>
        <w:spacing w:before="196" w:line="276" w:lineRule="auto"/>
        <w:ind w:firstLine="2706"/>
        <w:rPr>
          <w:rFonts w:ascii="宋体" w:hAnsi="宋体" w:cs="宋体"/>
          <w:color w:val="000000" w:themeColor="text1"/>
          <w:szCs w:val="21"/>
          <w:highlight w:val="none"/>
        </w:rPr>
      </w:pPr>
      <w:r>
        <w:rPr>
          <w:rFonts w:ascii="宋体" w:hAnsi="宋体" w:cs="宋体"/>
          <w:color w:val="000000" w:themeColor="text1"/>
          <w:spacing w:val="-1"/>
          <w:szCs w:val="21"/>
          <w:highlight w:val="none"/>
        </w:rPr>
        <w:t>考评单位考核评</w:t>
      </w:r>
      <w:r>
        <w:rPr>
          <w:rFonts w:hint="eastAsia" w:ascii="宋体" w:hAnsi="宋体" w:cs="宋体"/>
          <w:color w:val="000000" w:themeColor="text1"/>
          <w:spacing w:val="-1"/>
          <w:szCs w:val="21"/>
          <w:highlight w:val="none"/>
        </w:rPr>
        <w:t>分</w:t>
      </w:r>
      <w:r>
        <w:rPr>
          <w:rFonts w:ascii="宋体" w:hAnsi="宋体" w:cs="宋体"/>
          <w:color w:val="000000" w:themeColor="text1"/>
          <w:spacing w:val="-1"/>
          <w:szCs w:val="21"/>
          <w:highlight w:val="none"/>
        </w:rPr>
        <w:t>（请打“√”）</w:t>
      </w:r>
    </w:p>
    <w:p>
      <w:pPr>
        <w:spacing w:line="276" w:lineRule="auto"/>
        <w:rPr>
          <w:rFonts w:ascii="宋体" w:hAnsi="宋体"/>
          <w:color w:val="000000" w:themeColor="text1"/>
          <w:szCs w:val="21"/>
          <w:highlight w:val="none"/>
        </w:rPr>
      </w:pPr>
    </w:p>
    <w:tbl>
      <w:tblPr>
        <w:tblStyle w:val="4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676"/>
        <w:gridCol w:w="1606"/>
        <w:gridCol w:w="1765"/>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725" w:type="dxa"/>
            <w:noWrap w:val="0"/>
            <w:vAlign w:val="top"/>
          </w:tcPr>
          <w:p>
            <w:pPr>
              <w:spacing w:before="36" w:line="276" w:lineRule="auto"/>
              <w:ind w:firstLine="664"/>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1676" w:type="dxa"/>
            <w:noWrap w:val="0"/>
            <w:vAlign w:val="top"/>
          </w:tcPr>
          <w:p>
            <w:pPr>
              <w:spacing w:before="36" w:line="276" w:lineRule="auto"/>
              <w:ind w:firstLine="318"/>
              <w:rPr>
                <w:rFonts w:ascii="宋体" w:hAnsi="宋体" w:cs="宋体"/>
                <w:color w:val="000000" w:themeColor="text1"/>
                <w:szCs w:val="21"/>
                <w:highlight w:val="none"/>
              </w:rPr>
            </w:pPr>
            <w:r>
              <w:rPr>
                <w:rFonts w:ascii="宋体" w:hAnsi="宋体" w:cs="宋体"/>
                <w:color w:val="000000" w:themeColor="text1"/>
                <w:spacing w:val="-5"/>
                <w:szCs w:val="21"/>
                <w:highlight w:val="none"/>
              </w:rPr>
              <w:t>很满意5分</w:t>
            </w:r>
          </w:p>
        </w:tc>
        <w:tc>
          <w:tcPr>
            <w:tcW w:w="1606" w:type="dxa"/>
            <w:noWrap w:val="0"/>
            <w:vAlign w:val="top"/>
          </w:tcPr>
          <w:p>
            <w:pPr>
              <w:spacing w:before="36" w:line="276" w:lineRule="auto"/>
              <w:ind w:firstLine="389"/>
              <w:rPr>
                <w:rFonts w:ascii="宋体" w:hAnsi="宋体" w:cs="宋体"/>
                <w:color w:val="000000" w:themeColor="text1"/>
                <w:szCs w:val="21"/>
                <w:highlight w:val="none"/>
              </w:rPr>
            </w:pPr>
            <w:r>
              <w:rPr>
                <w:rFonts w:ascii="宋体" w:hAnsi="宋体" w:cs="宋体"/>
                <w:color w:val="000000" w:themeColor="text1"/>
                <w:spacing w:val="-4"/>
                <w:szCs w:val="21"/>
                <w:highlight w:val="none"/>
              </w:rPr>
              <w:t>满意4分</w:t>
            </w:r>
          </w:p>
        </w:tc>
        <w:tc>
          <w:tcPr>
            <w:tcW w:w="1765" w:type="dxa"/>
            <w:noWrap w:val="0"/>
            <w:vAlign w:val="top"/>
          </w:tcPr>
          <w:p>
            <w:pPr>
              <w:spacing w:before="36" w:line="276" w:lineRule="auto"/>
              <w:ind w:firstLine="258"/>
              <w:rPr>
                <w:rFonts w:ascii="宋体" w:hAnsi="宋体" w:cs="宋体"/>
                <w:color w:val="000000" w:themeColor="text1"/>
                <w:szCs w:val="21"/>
                <w:highlight w:val="none"/>
              </w:rPr>
            </w:pPr>
            <w:r>
              <w:rPr>
                <w:rFonts w:ascii="宋体" w:hAnsi="宋体" w:cs="宋体"/>
                <w:color w:val="000000" w:themeColor="text1"/>
                <w:spacing w:val="-3"/>
                <w:szCs w:val="21"/>
                <w:highlight w:val="none"/>
              </w:rPr>
              <w:t>基本满意3分</w:t>
            </w:r>
          </w:p>
        </w:tc>
        <w:tc>
          <w:tcPr>
            <w:tcW w:w="1592" w:type="dxa"/>
            <w:noWrap w:val="0"/>
            <w:vAlign w:val="top"/>
          </w:tcPr>
          <w:p>
            <w:pPr>
              <w:spacing w:before="36" w:line="276" w:lineRule="auto"/>
              <w:ind w:firstLine="279"/>
              <w:rPr>
                <w:rFonts w:ascii="宋体" w:hAnsi="宋体" w:cs="宋体"/>
                <w:color w:val="000000" w:themeColor="text1"/>
                <w:szCs w:val="21"/>
                <w:highlight w:val="none"/>
              </w:rPr>
            </w:pPr>
            <w:r>
              <w:rPr>
                <w:rFonts w:ascii="宋体" w:hAnsi="宋体" w:cs="宋体"/>
                <w:color w:val="000000" w:themeColor="text1"/>
                <w:spacing w:val="-4"/>
                <w:szCs w:val="21"/>
                <w:highlight w:val="none"/>
              </w:rPr>
              <w:t>不满意0分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25" w:type="dxa"/>
            <w:noWrap w:val="0"/>
            <w:vAlign w:val="top"/>
          </w:tcPr>
          <w:p>
            <w:pPr>
              <w:spacing w:before="32" w:line="276" w:lineRule="auto"/>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制度流程</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服务标准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29" w:line="276" w:lineRule="auto"/>
              <w:ind w:firstLine="434"/>
              <w:rPr>
                <w:rFonts w:ascii="宋体" w:hAnsi="宋体" w:cs="宋体"/>
                <w:color w:val="000000" w:themeColor="text1"/>
                <w:szCs w:val="21"/>
                <w:highlight w:val="none"/>
              </w:rPr>
            </w:pPr>
            <w:r>
              <w:rPr>
                <w:rFonts w:ascii="宋体" w:hAnsi="宋体" w:cs="宋体"/>
                <w:color w:val="000000" w:themeColor="text1"/>
                <w:spacing w:val="-1"/>
                <w:szCs w:val="21"/>
                <w:highlight w:val="none"/>
              </w:rPr>
              <w:t>机构设置</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装备配备</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0"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人员配置</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培训演练</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专业水平</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2"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仪容仪表</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服务态度</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执行力度</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9"/>
              <w:rPr>
                <w:rFonts w:ascii="宋体" w:hAnsi="宋体" w:cs="宋体"/>
                <w:color w:val="000000" w:themeColor="text1"/>
                <w:szCs w:val="21"/>
                <w:highlight w:val="none"/>
              </w:rPr>
            </w:pPr>
            <w:r>
              <w:rPr>
                <w:rFonts w:ascii="宋体" w:hAnsi="宋体" w:cs="宋体"/>
                <w:color w:val="000000" w:themeColor="text1"/>
                <w:spacing w:val="-3"/>
                <w:szCs w:val="21"/>
                <w:highlight w:val="none"/>
              </w:rPr>
              <w:t>安全意识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卫生意识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工作责任</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445"/>
              <w:rPr>
                <w:rFonts w:ascii="宋体" w:hAnsi="宋体" w:cs="宋体"/>
                <w:color w:val="000000" w:themeColor="text1"/>
                <w:szCs w:val="21"/>
                <w:highlight w:val="none"/>
              </w:rPr>
            </w:pPr>
            <w:r>
              <w:rPr>
                <w:rFonts w:ascii="宋体" w:hAnsi="宋体" w:cs="宋体"/>
                <w:color w:val="000000" w:themeColor="text1"/>
                <w:spacing w:val="-4"/>
                <w:szCs w:val="21"/>
                <w:highlight w:val="none"/>
              </w:rPr>
              <w:t>时间观念</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noWrap w:val="0"/>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协调能力</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服务效率</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服务质量</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节能减排</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jc w:val="center"/>
        </w:trPr>
        <w:tc>
          <w:tcPr>
            <w:tcW w:w="1725" w:type="dxa"/>
            <w:noWrap w:val="0"/>
            <w:vAlign w:val="top"/>
          </w:tcPr>
          <w:p>
            <w:pPr>
              <w:spacing w:before="34" w:line="276" w:lineRule="auto"/>
              <w:ind w:left="14" w:right="3" w:firstLine="1"/>
              <w:rPr>
                <w:rFonts w:ascii="宋体" w:hAnsi="宋体" w:cs="宋体"/>
                <w:color w:val="000000" w:themeColor="text1"/>
                <w:szCs w:val="21"/>
                <w:highlight w:val="none"/>
              </w:rPr>
            </w:pPr>
            <w:r>
              <w:rPr>
                <w:rFonts w:ascii="宋体" w:hAnsi="宋体" w:cs="宋体"/>
                <w:color w:val="000000" w:themeColor="text1"/>
                <w:spacing w:val="2"/>
                <w:szCs w:val="21"/>
                <w:highlight w:val="none"/>
              </w:rPr>
              <w:t>整体服务综合考核</w:t>
            </w:r>
            <w:r>
              <w:rPr>
                <w:rFonts w:ascii="宋体" w:hAnsi="宋体" w:cs="宋体"/>
                <w:color w:val="000000" w:themeColor="text1"/>
                <w:spacing w:val="-1"/>
                <w:szCs w:val="21"/>
                <w:highlight w:val="none"/>
              </w:rPr>
              <w:t>评分（合计）</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1725" w:type="dxa"/>
            <w:noWrap w:val="0"/>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3"/>
                <w:szCs w:val="21"/>
                <w:highlight w:val="none"/>
              </w:rPr>
              <w:t>说明</w:t>
            </w:r>
          </w:p>
        </w:tc>
        <w:tc>
          <w:tcPr>
            <w:tcW w:w="6639" w:type="dxa"/>
            <w:gridSpan w:val="4"/>
            <w:noWrap w:val="0"/>
            <w:vAlign w:val="top"/>
          </w:tcPr>
          <w:p>
            <w:pPr>
              <w:spacing w:before="35" w:line="276" w:lineRule="auto"/>
              <w:ind w:left="8"/>
              <w:rPr>
                <w:rFonts w:ascii="宋体" w:hAnsi="宋体" w:cs="宋体"/>
                <w:color w:val="000000" w:themeColor="text1"/>
                <w:szCs w:val="21"/>
                <w:highlight w:val="none"/>
              </w:rPr>
            </w:pPr>
            <w:r>
              <w:rPr>
                <w:rFonts w:ascii="宋体" w:hAnsi="宋体" w:cs="宋体"/>
                <w:color w:val="000000" w:themeColor="text1"/>
                <w:spacing w:val="-5"/>
                <w:szCs w:val="21"/>
                <w:highlight w:val="none"/>
              </w:rPr>
              <w:t>考核满分为100分，每获得1个分项：很满意得5分；满意得4分；基本满意得3分；不满意得0分。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1725" w:type="dxa"/>
            <w:noWrap w:val="0"/>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建议意见</w:t>
            </w:r>
          </w:p>
        </w:tc>
        <w:tc>
          <w:tcPr>
            <w:tcW w:w="6639" w:type="dxa"/>
            <w:gridSpan w:val="4"/>
            <w:noWrap w:val="0"/>
            <w:vAlign w:val="top"/>
          </w:tcPr>
          <w:p>
            <w:pPr>
              <w:spacing w:line="276" w:lineRule="auto"/>
              <w:rPr>
                <w:rFonts w:ascii="宋体" w:hAnsi="宋体"/>
                <w:color w:val="000000" w:themeColor="text1"/>
                <w:szCs w:val="21"/>
                <w:highlight w:val="none"/>
              </w:rPr>
            </w:pPr>
          </w:p>
        </w:tc>
      </w:tr>
    </w:tbl>
    <w:p>
      <w:pPr>
        <w:snapToGrid w:val="0"/>
        <w:spacing w:line="396" w:lineRule="auto"/>
        <w:ind w:firstLine="416" w:firstLineChars="200"/>
        <w:rPr>
          <w:rFonts w:ascii="宋体" w:hAnsi="宋体" w:cs="宋体"/>
          <w:color w:val="000000" w:themeColor="text1"/>
          <w:spacing w:val="-1"/>
          <w:szCs w:val="21"/>
          <w:highlight w:val="none"/>
        </w:rPr>
      </w:pPr>
      <w:r>
        <w:rPr>
          <w:rFonts w:ascii="宋体" w:hAnsi="宋体" w:cs="宋体"/>
          <w:color w:val="000000" w:themeColor="text1"/>
          <w:spacing w:val="-1"/>
          <w:szCs w:val="21"/>
          <w:highlight w:val="none"/>
        </w:rPr>
        <w:t>此表供参考，采购人可根据实际设置考评项目。</w:t>
      </w:r>
    </w:p>
    <w:p>
      <w:pPr>
        <w:jc w:val="left"/>
        <w:rPr>
          <w:rFonts w:ascii="宋体" w:hAnsi="宋体" w:cs="宋体"/>
          <w:color w:val="000000" w:themeColor="text1"/>
          <w:szCs w:val="21"/>
          <w:highlight w:val="none"/>
        </w:rPr>
      </w:pPr>
      <w:r>
        <w:rPr>
          <w:rFonts w:ascii="宋体" w:hAnsi="宋体" w:cs="宋体"/>
          <w:color w:val="000000" w:themeColor="text1"/>
          <w:spacing w:val="-1"/>
          <w:szCs w:val="21"/>
          <w:highlight w:val="none"/>
        </w:rPr>
        <w:br w:type="page"/>
      </w:r>
      <w:r>
        <w:rPr>
          <w:rFonts w:ascii="宋体" w:hAnsi="宋体" w:cs="宋体"/>
          <w:color w:val="000000" w:themeColor="text1"/>
          <w:spacing w:val="-10"/>
          <w:szCs w:val="21"/>
          <w:highlight w:val="none"/>
        </w:rPr>
        <w:t>附表2：</w:t>
      </w:r>
    </w:p>
    <w:p>
      <w:pPr>
        <w:spacing w:before="196" w:line="276" w:lineRule="auto"/>
        <w:ind w:firstLine="2128"/>
        <w:rPr>
          <w:rFonts w:ascii="宋体" w:hAnsi="宋体" w:cs="宋体"/>
          <w:color w:val="000000" w:themeColor="text1"/>
          <w:szCs w:val="21"/>
          <w:highlight w:val="none"/>
        </w:rPr>
      </w:pPr>
      <w:bookmarkStart w:id="142" w:name="_Hlk99009619"/>
      <w:r>
        <w:rPr>
          <w:rFonts w:ascii="宋体" w:hAnsi="宋体" w:cs="宋体"/>
          <w:color w:val="000000" w:themeColor="text1"/>
          <w:spacing w:val="-1"/>
          <w:szCs w:val="21"/>
          <w:highlight w:val="none"/>
        </w:rPr>
        <w:t>物业管理服务综合考评、管理</w:t>
      </w:r>
      <w:r>
        <w:rPr>
          <w:rFonts w:ascii="宋体" w:hAnsi="宋体" w:eastAsia="宋体" w:cs="宋体"/>
          <w:color w:val="000000" w:themeColor="text1"/>
          <w:spacing w:val="-1"/>
          <w:szCs w:val="21"/>
          <w:highlight w:val="none"/>
        </w:rPr>
        <w:t>服务分数统计</w:t>
      </w:r>
      <w:r>
        <w:rPr>
          <w:rFonts w:ascii="宋体" w:hAnsi="宋体" w:cs="宋体"/>
          <w:color w:val="000000" w:themeColor="text1"/>
          <w:spacing w:val="-1"/>
          <w:szCs w:val="21"/>
          <w:highlight w:val="none"/>
        </w:rPr>
        <w:t>表</w:t>
      </w:r>
    </w:p>
    <w:bookmarkEnd w:id="142"/>
    <w:p>
      <w:pPr>
        <w:spacing w:line="276" w:lineRule="auto"/>
        <w:rPr>
          <w:rFonts w:ascii="宋体" w:hAnsi="宋体"/>
          <w:color w:val="000000" w:themeColor="text1"/>
          <w:szCs w:val="21"/>
          <w:highlight w:val="none"/>
        </w:rPr>
      </w:pPr>
    </w:p>
    <w:tbl>
      <w:tblPr>
        <w:tblStyle w:val="46"/>
        <w:tblW w:w="0" w:type="auto"/>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709"/>
        <w:gridCol w:w="707"/>
        <w:gridCol w:w="850"/>
        <w:gridCol w:w="113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noWrap w:val="0"/>
            <w:vAlign w:val="top"/>
          </w:tcPr>
          <w:p>
            <w:pPr>
              <w:spacing w:before="34" w:line="276" w:lineRule="auto"/>
              <w:ind w:firstLine="1643"/>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709" w:type="dxa"/>
            <w:shd w:val="clear" w:color="auto" w:fill="FFFFFF"/>
            <w:noWrap w:val="0"/>
            <w:vAlign w:val="top"/>
          </w:tcPr>
          <w:p>
            <w:pPr>
              <w:spacing w:before="34" w:line="276" w:lineRule="auto"/>
              <w:ind w:firstLine="115"/>
              <w:rPr>
                <w:rFonts w:ascii="宋体" w:hAnsi="宋体" w:cs="宋体"/>
                <w:color w:val="000000" w:themeColor="text1"/>
                <w:szCs w:val="21"/>
                <w:highlight w:val="none"/>
              </w:rPr>
            </w:pPr>
            <w:r>
              <w:rPr>
                <w:rFonts w:ascii="宋体" w:hAnsi="宋体" w:cs="宋体"/>
                <w:color w:val="000000" w:themeColor="text1"/>
                <w:spacing w:val="-2"/>
                <w:szCs w:val="21"/>
                <w:highlight w:val="none"/>
              </w:rPr>
              <w:t>加分</w:t>
            </w:r>
          </w:p>
        </w:tc>
        <w:tc>
          <w:tcPr>
            <w:tcW w:w="707" w:type="dxa"/>
            <w:shd w:val="clear" w:color="auto" w:fill="FFFFFF"/>
            <w:noWrap w:val="0"/>
            <w:vAlign w:val="top"/>
          </w:tcPr>
          <w:p>
            <w:pPr>
              <w:spacing w:before="34" w:line="276" w:lineRule="auto"/>
              <w:ind w:firstLine="140"/>
              <w:rPr>
                <w:rFonts w:ascii="宋体" w:hAnsi="宋体" w:cs="宋体"/>
                <w:color w:val="000000" w:themeColor="text1"/>
                <w:szCs w:val="21"/>
                <w:highlight w:val="none"/>
              </w:rPr>
            </w:pPr>
            <w:r>
              <w:rPr>
                <w:rFonts w:ascii="宋体" w:hAnsi="宋体" w:cs="宋体"/>
                <w:color w:val="000000" w:themeColor="text1"/>
                <w:spacing w:val="-3"/>
                <w:szCs w:val="21"/>
                <w:highlight w:val="none"/>
              </w:rPr>
              <w:t>扣分</w:t>
            </w:r>
          </w:p>
        </w:tc>
        <w:tc>
          <w:tcPr>
            <w:tcW w:w="850" w:type="dxa"/>
            <w:shd w:val="clear" w:color="auto" w:fill="FFFFFF"/>
            <w:noWrap w:val="0"/>
            <w:vAlign w:val="top"/>
          </w:tcPr>
          <w:p>
            <w:pPr>
              <w:spacing w:before="34" w:line="276" w:lineRule="auto"/>
              <w:ind w:firstLine="252"/>
              <w:rPr>
                <w:rFonts w:ascii="宋体" w:hAnsi="宋体" w:cs="宋体"/>
                <w:color w:val="000000" w:themeColor="text1"/>
                <w:szCs w:val="21"/>
                <w:highlight w:val="none"/>
              </w:rPr>
            </w:pPr>
            <w:r>
              <w:rPr>
                <w:rFonts w:ascii="宋体" w:hAnsi="宋体" w:cs="宋体"/>
                <w:color w:val="000000" w:themeColor="text1"/>
                <w:spacing w:val="-2"/>
                <w:szCs w:val="21"/>
                <w:highlight w:val="none"/>
              </w:rPr>
              <w:t>合计</w:t>
            </w:r>
          </w:p>
        </w:tc>
        <w:tc>
          <w:tcPr>
            <w:tcW w:w="1133" w:type="dxa"/>
            <w:shd w:val="clear" w:color="auto" w:fill="FFFFFF"/>
            <w:noWrap w:val="0"/>
            <w:vAlign w:val="top"/>
          </w:tcPr>
          <w:p>
            <w:pPr>
              <w:spacing w:before="34" w:line="276" w:lineRule="auto"/>
              <w:ind w:firstLine="135"/>
              <w:rPr>
                <w:rFonts w:ascii="宋体" w:hAnsi="宋体" w:cs="宋体"/>
                <w:color w:val="000000" w:themeColor="text1"/>
                <w:szCs w:val="21"/>
                <w:highlight w:val="none"/>
              </w:rPr>
            </w:pPr>
            <w:r>
              <w:rPr>
                <w:rFonts w:hint="eastAsia" w:ascii="宋体" w:hAnsi="宋体" w:cs="宋体"/>
                <w:color w:val="000000" w:themeColor="text1"/>
                <w:spacing w:val="-3"/>
                <w:szCs w:val="21"/>
                <w:highlight w:val="none"/>
                <w:lang w:val="en-US" w:eastAsia="zh-CN"/>
              </w:rPr>
              <w:t>扣减</w:t>
            </w:r>
            <w:r>
              <w:rPr>
                <w:rFonts w:ascii="宋体" w:hAnsi="宋体" w:cs="宋体"/>
                <w:color w:val="000000" w:themeColor="text1"/>
                <w:spacing w:val="-3"/>
                <w:szCs w:val="21"/>
                <w:highlight w:val="none"/>
              </w:rPr>
              <w:t>金额</w:t>
            </w:r>
          </w:p>
        </w:tc>
        <w:tc>
          <w:tcPr>
            <w:tcW w:w="1149" w:type="dxa"/>
            <w:shd w:val="clear" w:color="auto" w:fill="FFFFFF"/>
            <w:noWrap w:val="0"/>
            <w:vAlign w:val="top"/>
          </w:tcPr>
          <w:p>
            <w:pPr>
              <w:spacing w:before="34" w:line="276" w:lineRule="auto"/>
              <w:ind w:firstLine="391"/>
              <w:rPr>
                <w:rFonts w:ascii="宋体" w:hAnsi="宋体" w:cs="宋体"/>
                <w:color w:val="000000" w:themeColor="text1"/>
                <w:szCs w:val="21"/>
                <w:highlight w:val="none"/>
              </w:rPr>
            </w:pPr>
            <w:r>
              <w:rPr>
                <w:rFonts w:ascii="宋体" w:hAnsi="宋体" w:cs="宋体"/>
                <w:color w:val="000000" w:themeColor="text1"/>
                <w:spacing w:val="-3"/>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管理服务综合考评</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物业服务管理奖罚</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2"/>
                <w:szCs w:val="21"/>
                <w:highlight w:val="none"/>
              </w:rPr>
              <w:t>全勤奖励</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8" w:line="276" w:lineRule="auto"/>
              <w:ind w:firstLine="17"/>
              <w:rPr>
                <w:rFonts w:hint="eastAsia" w:ascii="宋体" w:hAnsi="宋体" w:eastAsia="宋体" w:cs="宋体"/>
                <w:color w:val="000000" w:themeColor="text1"/>
                <w:szCs w:val="21"/>
                <w:highlight w:val="none"/>
                <w:lang w:eastAsia="zh-CN"/>
              </w:rPr>
            </w:pPr>
            <w:r>
              <w:rPr>
                <w:rFonts w:ascii="宋体" w:hAnsi="宋体" w:cs="宋体"/>
                <w:color w:val="000000" w:themeColor="text1"/>
                <w:spacing w:val="-2"/>
                <w:szCs w:val="21"/>
                <w:highlight w:val="none"/>
              </w:rPr>
              <w:t>缺勤</w:t>
            </w:r>
            <w:r>
              <w:rPr>
                <w:rFonts w:hint="eastAsia" w:ascii="宋体" w:hAnsi="宋体" w:cs="宋体"/>
                <w:color w:val="000000" w:themeColor="text1"/>
                <w:spacing w:val="-2"/>
                <w:szCs w:val="21"/>
                <w:highlight w:val="none"/>
                <w:lang w:val="en-US" w:eastAsia="zh-CN"/>
              </w:rPr>
              <w:t>处理</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4" w:type="dxa"/>
            <w:shd w:val="clear" w:color="auto" w:fill="FFFFFF"/>
            <w:noWrap w:val="0"/>
            <w:vAlign w:val="top"/>
          </w:tcPr>
          <w:p>
            <w:pPr>
              <w:spacing w:before="30" w:line="276" w:lineRule="auto"/>
              <w:ind w:left="17" w:right="25" w:hanging="1"/>
              <w:rPr>
                <w:rFonts w:ascii="宋体" w:hAnsi="宋体" w:cs="宋体"/>
                <w:color w:val="000000" w:themeColor="text1"/>
                <w:szCs w:val="21"/>
                <w:highlight w:val="none"/>
              </w:rPr>
            </w:pPr>
            <w:r>
              <w:rPr>
                <w:rFonts w:ascii="宋体" w:hAnsi="宋体" w:cs="宋体"/>
                <w:color w:val="000000" w:themeColor="text1"/>
                <w:spacing w:val="5"/>
                <w:szCs w:val="21"/>
                <w:highlight w:val="none"/>
              </w:rPr>
              <w:t>在经营活动中违反税收法规财务制度及</w:t>
            </w:r>
            <w:r>
              <w:rPr>
                <w:rFonts w:ascii="宋体" w:hAnsi="宋体" w:cs="宋体"/>
                <w:color w:val="000000" w:themeColor="text1"/>
                <w:spacing w:val="-1"/>
                <w:szCs w:val="21"/>
                <w:highlight w:val="none"/>
              </w:rPr>
              <w:t>其他违法违规记录</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1"/>
                <w:szCs w:val="21"/>
                <w:highlight w:val="none"/>
              </w:rPr>
              <w:t>在经营中未能履行合同承诺</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684" w:type="dxa"/>
            <w:tcBorders>
              <w:bottom w:val="nil"/>
            </w:tcBorders>
            <w:shd w:val="clear" w:color="auto" w:fill="FFFFFF"/>
            <w:noWrap w:val="0"/>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
                <w:szCs w:val="21"/>
                <w:highlight w:val="none"/>
              </w:rPr>
              <w:t>浪费水、电、消耗品等公共资源</w:t>
            </w:r>
          </w:p>
        </w:tc>
        <w:tc>
          <w:tcPr>
            <w:tcW w:w="709"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707"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850"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1133"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1149"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84" w:type="dxa"/>
            <w:tcBorders>
              <w:top w:val="single" w:color="auto" w:sz="4" w:space="0"/>
            </w:tcBorders>
            <w:shd w:val="clear" w:color="auto" w:fill="FFFFFF"/>
            <w:noWrap w:val="0"/>
            <w:vAlign w:val="top"/>
          </w:tcPr>
          <w:p>
            <w:pPr>
              <w:spacing w:before="34"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一般性失误</w:t>
            </w:r>
          </w:p>
        </w:tc>
        <w:tc>
          <w:tcPr>
            <w:tcW w:w="709"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707"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850"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1133"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1149"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一般性重复失误</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0"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较大性重复过错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重大性重复大过错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5"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2"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684" w:type="dxa"/>
            <w:shd w:val="clear" w:color="auto" w:fill="FFFFFF"/>
            <w:noWrap w:val="0"/>
            <w:vAlign w:val="top"/>
          </w:tcPr>
          <w:p>
            <w:pPr>
              <w:spacing w:before="34" w:line="276" w:lineRule="auto"/>
              <w:ind w:left="20" w:right="25" w:hanging="3"/>
              <w:rPr>
                <w:rFonts w:ascii="宋体" w:hAnsi="宋体" w:cs="宋体"/>
                <w:color w:val="000000" w:themeColor="text1"/>
                <w:szCs w:val="21"/>
                <w:highlight w:val="none"/>
              </w:rPr>
            </w:pPr>
            <w:r>
              <w:rPr>
                <w:rFonts w:ascii="宋体" w:hAnsi="宋体" w:cs="宋体"/>
                <w:color w:val="000000" w:themeColor="text1"/>
                <w:spacing w:val="5"/>
                <w:szCs w:val="21"/>
                <w:highlight w:val="none"/>
              </w:rPr>
              <w:t>违反工作纪律、违返操作规程、违反各</w:t>
            </w:r>
            <w:r>
              <w:rPr>
                <w:rFonts w:ascii="宋体" w:hAnsi="宋体" w:cs="宋体"/>
                <w:color w:val="000000" w:themeColor="text1"/>
                <w:spacing w:val="-2"/>
                <w:szCs w:val="21"/>
                <w:highlight w:val="none"/>
              </w:rPr>
              <w:t>项管理制度</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3" w:line="276" w:lineRule="auto"/>
              <w:ind w:firstLine="27"/>
              <w:rPr>
                <w:rFonts w:ascii="宋体" w:hAnsi="宋体" w:cs="宋体"/>
                <w:color w:val="000000" w:themeColor="text1"/>
                <w:szCs w:val="21"/>
                <w:highlight w:val="none"/>
              </w:rPr>
            </w:pPr>
            <w:r>
              <w:rPr>
                <w:rFonts w:ascii="宋体" w:hAnsi="宋体" w:cs="宋体"/>
                <w:color w:val="000000" w:themeColor="text1"/>
                <w:spacing w:val="-2"/>
                <w:szCs w:val="21"/>
                <w:highlight w:val="none"/>
              </w:rPr>
              <w:t>噪音、气味等干扰工作秩序</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招标文件和合同约定的其它相关事项</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招标文件带星号条款</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noWrap w:val="0"/>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总计</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bl>
    <w:p>
      <w:pPr>
        <w:spacing w:before="68" w:line="276" w:lineRule="auto"/>
        <w:ind w:firstLine="474"/>
        <w:rPr>
          <w:rFonts w:ascii="宋体" w:hAnsi="宋体" w:cs="宋体"/>
          <w:color w:val="000000" w:themeColor="text1"/>
          <w:spacing w:val="-9"/>
          <w:szCs w:val="21"/>
          <w:highlight w:val="none"/>
        </w:rPr>
      </w:pPr>
    </w:p>
    <w:p>
      <w:pPr>
        <w:spacing w:before="68" w:line="276" w:lineRule="auto"/>
        <w:ind w:firstLine="474"/>
        <w:rPr>
          <w:rFonts w:ascii="宋体" w:hAnsi="宋体" w:cs="宋体"/>
          <w:color w:val="000000" w:themeColor="text1"/>
          <w:szCs w:val="21"/>
          <w:highlight w:val="none"/>
        </w:rPr>
      </w:pPr>
      <w:r>
        <w:rPr>
          <w:rFonts w:ascii="宋体" w:hAnsi="宋体"/>
          <w:color w:val="000000" w:themeColor="text1"/>
          <w:szCs w:val="21"/>
          <w:highlight w:val="none"/>
        </w:rPr>
        <w:br w:type="page"/>
      </w:r>
      <w:r>
        <w:rPr>
          <w:rFonts w:hint="eastAsia" w:ascii="宋体" w:hAnsi="宋体" w:cs="宋体"/>
          <w:color w:val="000000" w:themeColor="text1"/>
          <w:spacing w:val="-9"/>
          <w:szCs w:val="21"/>
          <w:highlight w:val="none"/>
        </w:rPr>
        <w:t>附表</w:t>
      </w:r>
      <w:r>
        <w:rPr>
          <w:rFonts w:ascii="宋体" w:hAnsi="宋体" w:cs="宋体"/>
          <w:color w:val="000000" w:themeColor="text1"/>
          <w:spacing w:val="-9"/>
          <w:szCs w:val="21"/>
          <w:highlight w:val="none"/>
        </w:rPr>
        <w:t>3：</w:t>
      </w:r>
    </w:p>
    <w:p>
      <w:pPr>
        <w:spacing w:before="196" w:line="276" w:lineRule="auto"/>
        <w:ind w:firstLine="3058"/>
        <w:rPr>
          <w:rFonts w:ascii="宋体" w:hAnsi="宋体" w:cs="宋体"/>
          <w:color w:val="000000" w:themeColor="text1"/>
          <w:szCs w:val="21"/>
          <w:highlight w:val="none"/>
        </w:rPr>
      </w:pPr>
      <w:r>
        <w:rPr>
          <w:rFonts w:ascii="宋体" w:hAnsi="宋体" w:cs="宋体"/>
          <w:color w:val="000000" w:themeColor="text1"/>
          <w:spacing w:val="-4"/>
          <w:szCs w:val="21"/>
          <w:highlight w:val="none"/>
        </w:rPr>
        <w:t>物业管理服务</w:t>
      </w:r>
      <w:r>
        <w:rPr>
          <w:rFonts w:hint="eastAsia" w:ascii="宋体" w:hAnsi="宋体" w:cs="宋体"/>
          <w:color w:val="000000" w:themeColor="text1"/>
          <w:spacing w:val="-4"/>
          <w:szCs w:val="21"/>
          <w:highlight w:val="none"/>
          <w:lang w:val="en-US" w:eastAsia="zh-CN"/>
        </w:rPr>
        <w:t>处理</w:t>
      </w:r>
      <w:r>
        <w:rPr>
          <w:rFonts w:ascii="宋体" w:hAnsi="宋体" w:cs="宋体"/>
          <w:color w:val="000000" w:themeColor="text1"/>
          <w:spacing w:val="-4"/>
          <w:szCs w:val="21"/>
          <w:highlight w:val="none"/>
        </w:rPr>
        <w:t>单（参考表格）</w:t>
      </w:r>
    </w:p>
    <w:p>
      <w:pPr>
        <w:spacing w:line="276" w:lineRule="auto"/>
        <w:rPr>
          <w:rFonts w:ascii="宋体" w:hAnsi="宋体"/>
          <w:color w:val="000000" w:themeColor="text1"/>
          <w:szCs w:val="21"/>
          <w:highlight w:val="none"/>
        </w:rPr>
      </w:pPr>
    </w:p>
    <w:tbl>
      <w:tblPr>
        <w:tblStyle w:val="46"/>
        <w:tblW w:w="0" w:type="auto"/>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1160"/>
        <w:gridCol w:w="360"/>
        <w:gridCol w:w="452"/>
        <w:gridCol w:w="1061"/>
        <w:gridCol w:w="1057"/>
        <w:gridCol w:w="466"/>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81" w:type="dxa"/>
            <w:shd w:val="clear" w:color="auto" w:fill="FFFFFF"/>
            <w:noWrap w:val="0"/>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投诉单位（部门</w:t>
            </w:r>
            <w:r>
              <w:rPr>
                <w:rFonts w:ascii="宋体" w:hAnsi="宋体" w:cs="宋体"/>
                <w:color w:val="000000" w:themeColor="text1"/>
                <w:spacing w:val="-60"/>
                <w:szCs w:val="21"/>
                <w:highlight w:val="none"/>
              </w:rPr>
              <w:t>）：</w:t>
            </w:r>
          </w:p>
        </w:tc>
        <w:tc>
          <w:tcPr>
            <w:tcW w:w="1520" w:type="dxa"/>
            <w:gridSpan w:val="2"/>
            <w:shd w:val="clear" w:color="auto" w:fill="FFFFFF"/>
            <w:noWrap w:val="0"/>
            <w:vAlign w:val="top"/>
          </w:tcPr>
          <w:p>
            <w:pPr>
              <w:spacing w:before="34" w:line="276" w:lineRule="auto"/>
              <w:ind w:firstLine="46"/>
              <w:rPr>
                <w:rFonts w:ascii="宋体" w:hAnsi="宋体" w:cs="宋体"/>
                <w:color w:val="000000" w:themeColor="text1"/>
                <w:szCs w:val="21"/>
                <w:highlight w:val="none"/>
              </w:rPr>
            </w:pPr>
            <w:r>
              <w:rPr>
                <w:rFonts w:ascii="宋体" w:hAnsi="宋体" w:cs="宋体"/>
                <w:color w:val="000000" w:themeColor="text1"/>
                <w:spacing w:val="-2"/>
                <w:szCs w:val="21"/>
                <w:highlight w:val="none"/>
              </w:rPr>
              <w:t>投诉人：</w:t>
            </w:r>
          </w:p>
        </w:tc>
        <w:tc>
          <w:tcPr>
            <w:tcW w:w="1513" w:type="dxa"/>
            <w:gridSpan w:val="2"/>
            <w:shd w:val="clear" w:color="auto" w:fill="FFFFFF"/>
            <w:noWrap w:val="0"/>
            <w:vAlign w:val="top"/>
          </w:tcPr>
          <w:p>
            <w:pPr>
              <w:spacing w:before="34" w:line="276" w:lineRule="auto"/>
              <w:ind w:firstLine="52"/>
              <w:rPr>
                <w:rFonts w:ascii="宋体" w:hAnsi="宋体" w:cs="宋体"/>
                <w:color w:val="000000" w:themeColor="text1"/>
                <w:szCs w:val="21"/>
                <w:highlight w:val="none"/>
              </w:rPr>
            </w:pPr>
            <w:r>
              <w:rPr>
                <w:rFonts w:ascii="宋体" w:hAnsi="宋体" w:cs="宋体"/>
                <w:color w:val="000000" w:themeColor="text1"/>
                <w:spacing w:val="-2"/>
                <w:szCs w:val="21"/>
                <w:highlight w:val="none"/>
              </w:rPr>
              <w:t>证明人：</w:t>
            </w:r>
          </w:p>
        </w:tc>
        <w:tc>
          <w:tcPr>
            <w:tcW w:w="1523" w:type="dxa"/>
            <w:gridSpan w:val="2"/>
            <w:shd w:val="clear" w:color="auto" w:fill="FFFFFF"/>
            <w:noWrap w:val="0"/>
            <w:vAlign w:val="top"/>
          </w:tcPr>
          <w:p>
            <w:pPr>
              <w:spacing w:before="34" w:line="276" w:lineRule="auto"/>
              <w:ind w:firstLine="61"/>
              <w:rPr>
                <w:rFonts w:ascii="宋体" w:hAnsi="宋体" w:cs="宋体"/>
                <w:color w:val="000000" w:themeColor="text1"/>
                <w:szCs w:val="21"/>
                <w:highlight w:val="none"/>
              </w:rPr>
            </w:pPr>
            <w:r>
              <w:rPr>
                <w:rFonts w:ascii="宋体" w:hAnsi="宋体" w:cs="宋体"/>
                <w:color w:val="000000" w:themeColor="text1"/>
                <w:spacing w:val="-7"/>
                <w:szCs w:val="21"/>
                <w:highlight w:val="none"/>
              </w:rPr>
              <w:t>投诉现场：</w:t>
            </w:r>
          </w:p>
        </w:tc>
        <w:tc>
          <w:tcPr>
            <w:tcW w:w="1597" w:type="dxa"/>
            <w:shd w:val="clear" w:color="auto" w:fill="FFFFFF"/>
            <w:noWrap w:val="0"/>
            <w:vAlign w:val="top"/>
          </w:tcPr>
          <w:p>
            <w:pPr>
              <w:spacing w:before="34" w:line="276" w:lineRule="auto"/>
              <w:ind w:firstLine="69"/>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434" w:type="dxa"/>
            <w:gridSpan w:val="8"/>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434" w:type="dxa"/>
            <w:gridSpan w:val="8"/>
            <w:shd w:val="clear" w:color="auto" w:fill="FFFFFF"/>
            <w:noWrap w:val="0"/>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6"/>
                <w:szCs w:val="21"/>
                <w:highlight w:val="none"/>
              </w:rPr>
              <w:t>对应条款：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81" w:type="dxa"/>
            <w:shd w:val="clear" w:color="auto" w:fill="FFFFFF"/>
            <w:noWrap w:val="0"/>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3"/>
                <w:szCs w:val="21"/>
                <w:highlight w:val="none"/>
              </w:rPr>
              <w:t>扣分：</w:t>
            </w:r>
          </w:p>
        </w:tc>
        <w:tc>
          <w:tcPr>
            <w:tcW w:w="1972" w:type="dxa"/>
            <w:gridSpan w:val="3"/>
            <w:shd w:val="clear" w:color="auto" w:fill="FFFFFF"/>
            <w:noWrap w:val="0"/>
            <w:vAlign w:val="top"/>
          </w:tcPr>
          <w:p>
            <w:pPr>
              <w:spacing w:before="31" w:line="276" w:lineRule="auto"/>
              <w:ind w:firstLine="43"/>
              <w:rPr>
                <w:rFonts w:ascii="宋体" w:hAnsi="宋体" w:cs="宋体"/>
                <w:color w:val="000000" w:themeColor="text1"/>
                <w:szCs w:val="21"/>
                <w:highlight w:val="none"/>
              </w:rPr>
            </w:pPr>
            <w:r>
              <w:rPr>
                <w:rFonts w:ascii="宋体" w:hAnsi="宋体" w:cs="宋体"/>
                <w:color w:val="000000" w:themeColor="text1"/>
                <w:spacing w:val="-2"/>
                <w:position w:val="17"/>
                <w:szCs w:val="21"/>
                <w:highlight w:val="none"/>
              </w:rPr>
              <w:t>损失值：</w:t>
            </w:r>
          </w:p>
          <w:p>
            <w:pPr>
              <w:spacing w:line="276" w:lineRule="auto"/>
              <w:ind w:firstLine="41"/>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118" w:type="dxa"/>
            <w:gridSpan w:val="2"/>
            <w:shd w:val="clear" w:color="auto" w:fill="FFFFFF"/>
            <w:noWrap w:val="0"/>
            <w:vAlign w:val="top"/>
          </w:tcPr>
          <w:p>
            <w:pPr>
              <w:spacing w:before="31" w:line="276" w:lineRule="auto"/>
              <w:ind w:firstLine="53"/>
              <w:rPr>
                <w:rFonts w:ascii="宋体" w:hAnsi="宋体" w:cs="宋体"/>
                <w:color w:val="000000" w:themeColor="text1"/>
                <w:szCs w:val="21"/>
                <w:highlight w:val="none"/>
              </w:rPr>
            </w:pPr>
            <w:r>
              <w:rPr>
                <w:rFonts w:hint="eastAsia" w:ascii="宋体" w:hAnsi="宋体" w:cs="宋体"/>
                <w:color w:val="000000" w:themeColor="text1"/>
                <w:spacing w:val="-7"/>
                <w:position w:val="17"/>
                <w:szCs w:val="21"/>
                <w:highlight w:val="none"/>
                <w:lang w:val="en-US" w:eastAsia="zh-CN"/>
              </w:rPr>
              <w:t>扣减服务费</w:t>
            </w:r>
            <w:r>
              <w:rPr>
                <w:rFonts w:ascii="宋体" w:hAnsi="宋体" w:cs="宋体"/>
                <w:color w:val="000000" w:themeColor="text1"/>
                <w:spacing w:val="-7"/>
                <w:position w:val="17"/>
                <w:szCs w:val="21"/>
                <w:highlight w:val="none"/>
              </w:rPr>
              <w:t>金额：</w:t>
            </w:r>
          </w:p>
          <w:p>
            <w:pPr>
              <w:spacing w:line="276" w:lineRule="auto"/>
              <w:ind w:firstLine="47"/>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063" w:type="dxa"/>
            <w:gridSpan w:val="2"/>
            <w:shd w:val="clear" w:color="auto" w:fill="FFFFFF"/>
            <w:noWrap w:val="0"/>
            <w:vAlign w:val="top"/>
          </w:tcPr>
          <w:p>
            <w:pPr>
              <w:spacing w:before="31" w:line="276" w:lineRule="auto"/>
              <w:ind w:firstLine="58"/>
              <w:rPr>
                <w:rFonts w:ascii="宋体" w:hAnsi="宋体" w:cs="宋体"/>
                <w:color w:val="000000" w:themeColor="text1"/>
                <w:szCs w:val="21"/>
                <w:highlight w:val="none"/>
              </w:rPr>
            </w:pPr>
            <w:r>
              <w:rPr>
                <w:rFonts w:ascii="宋体" w:hAnsi="宋体" w:cs="宋体"/>
                <w:color w:val="000000" w:themeColor="text1"/>
                <w:spacing w:val="-7"/>
                <w:position w:val="17"/>
                <w:szCs w:val="21"/>
                <w:highlight w:val="none"/>
              </w:rPr>
              <w:t>合计金额：</w:t>
            </w:r>
          </w:p>
          <w:p>
            <w:pPr>
              <w:spacing w:line="276" w:lineRule="auto"/>
              <w:ind w:firstLine="55"/>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41" w:type="dxa"/>
            <w:gridSpan w:val="2"/>
            <w:shd w:val="clear" w:color="auto" w:fill="FFFFFF"/>
            <w:noWrap w:val="0"/>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物业公司被投诉人确认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noWrap w:val="0"/>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物业公司项目负责人确认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noWrap w:val="0"/>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物管组管理员确认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41" w:type="dxa"/>
            <w:gridSpan w:val="2"/>
            <w:shd w:val="clear" w:color="auto" w:fill="FFFFFF"/>
            <w:noWrap w:val="0"/>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物管组负责人确认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281" w:type="dxa"/>
            <w:tcBorders>
              <w:right w:val="single" w:color="auto" w:sz="4" w:space="0"/>
            </w:tcBorders>
            <w:noWrap w:val="0"/>
            <w:vAlign w:val="top"/>
          </w:tcPr>
          <w:p>
            <w:pPr>
              <w:spacing w:before="33" w:line="276" w:lineRule="auto"/>
              <w:ind w:firstLine="20"/>
              <w:rPr>
                <w:rFonts w:ascii="宋体" w:hAnsi="宋体" w:cs="宋体"/>
                <w:color w:val="000000" w:themeColor="text1"/>
                <w:szCs w:val="21"/>
                <w:highlight w:val="none"/>
              </w:rPr>
            </w:pPr>
            <w:r>
              <w:rPr>
                <w:rFonts w:ascii="宋体" w:hAnsi="宋体" w:cs="宋体"/>
                <w:color w:val="000000" w:themeColor="text1"/>
                <w:spacing w:val="-13"/>
                <w:szCs w:val="21"/>
                <w:highlight w:val="none"/>
              </w:rPr>
              <w:t>备注：</w:t>
            </w:r>
          </w:p>
        </w:tc>
        <w:tc>
          <w:tcPr>
            <w:tcW w:w="6153" w:type="dxa"/>
            <w:gridSpan w:val="7"/>
            <w:tcBorders>
              <w:left w:val="single" w:color="auto" w:sz="4" w:space="0"/>
            </w:tcBorders>
            <w:noWrap w:val="0"/>
            <w:vAlign w:val="top"/>
          </w:tcPr>
          <w:p>
            <w:pPr>
              <w:spacing w:line="276" w:lineRule="auto"/>
              <w:rPr>
                <w:rFonts w:ascii="宋体" w:hAnsi="宋体"/>
                <w:color w:val="000000" w:themeColor="text1"/>
                <w:szCs w:val="21"/>
                <w:highlight w:val="none"/>
              </w:rPr>
            </w:pPr>
          </w:p>
          <w:p>
            <w:pPr>
              <w:spacing w:before="69" w:line="276" w:lineRule="auto"/>
              <w:ind w:left="3697" w:right="1023" w:hanging="457"/>
              <w:rPr>
                <w:rFonts w:hint="eastAsia" w:ascii="宋体" w:hAnsi="宋体" w:cs="宋体"/>
                <w:color w:val="000000" w:themeColor="text1"/>
                <w:spacing w:val="-1"/>
                <w:szCs w:val="21"/>
                <w:highlight w:val="none"/>
                <w:lang w:eastAsia="zh-CN"/>
              </w:rPr>
            </w:pPr>
            <w:r>
              <w:rPr>
                <w:rFonts w:hint="eastAsia" w:ascii="宋体" w:hAnsi="宋体" w:cs="宋体"/>
                <w:color w:val="000000" w:themeColor="text1"/>
                <w:spacing w:val="-1"/>
                <w:szCs w:val="21"/>
                <w:highlight w:val="none"/>
                <w:lang w:eastAsia="zh-CN"/>
              </w:rPr>
              <w:t>办公室</w:t>
            </w:r>
          </w:p>
          <w:p>
            <w:pPr>
              <w:spacing w:before="69" w:line="276" w:lineRule="auto"/>
              <w:ind w:left="3697" w:right="1023" w:hanging="457"/>
              <w:rPr>
                <w:rFonts w:ascii="宋体" w:hAnsi="宋体" w:cs="宋体"/>
                <w:color w:val="000000" w:themeColor="text1"/>
                <w:szCs w:val="21"/>
                <w:highlight w:val="none"/>
              </w:rPr>
            </w:pPr>
            <w:r>
              <w:rPr>
                <w:rFonts w:ascii="宋体" w:hAnsi="宋体" w:cs="宋体"/>
                <w:color w:val="000000" w:themeColor="text1"/>
                <w:spacing w:val="-7"/>
                <w:szCs w:val="21"/>
                <w:highlight w:val="none"/>
              </w:rPr>
              <w:t>年</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月</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日</w:t>
            </w:r>
          </w:p>
        </w:tc>
      </w:tr>
    </w:tbl>
    <w:p>
      <w:pPr>
        <w:snapToGrid w:val="0"/>
        <w:spacing w:line="396" w:lineRule="auto"/>
        <w:ind w:firstLine="640" w:firstLineChars="200"/>
        <w:rPr>
          <w:rFonts w:ascii="仿宋_GB2312" w:hAnsi="仿宋_GB2312" w:eastAsia="仿宋_GB2312" w:cs="仿宋_GB2312"/>
          <w:color w:val="000000" w:themeColor="text1"/>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rPr>
      </w:pPr>
      <w:r>
        <w:rPr>
          <w:rFonts w:hint="eastAsia" w:ascii="黑体" w:hAnsi="黑体" w:eastAsia="黑体" w:cs="黑体"/>
          <w:color w:val="000000" w:themeColor="text1"/>
          <w:szCs w:val="32"/>
          <w:highlight w:val="none"/>
        </w:rPr>
        <w:br w:type="page"/>
      </w:r>
      <w:bookmarkStart w:id="143" w:name="_Toc7558"/>
      <w:bookmarkStart w:id="144" w:name="_Toc2844"/>
      <w:bookmarkStart w:id="145" w:name="_Toc21535"/>
      <w:bookmarkStart w:id="146" w:name="_Toc16721"/>
      <w:r>
        <w:rPr>
          <w:rFonts w:hint="eastAsia" w:ascii="宋体" w:hAnsi="宋体" w:eastAsia="宋体" w:cs="宋体"/>
          <w:b/>
          <w:bCs/>
          <w:color w:val="000000" w:themeColor="text1"/>
          <w:highlight w:val="none"/>
        </w:rPr>
        <w:t>六、项目技术支持服务要求</w:t>
      </w:r>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（一）物业服务范围包括以下内容：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1、建筑体部位（楼盖、屋顶、梁、柱、内外墙体和基础等承重结构部位，外面墙、楼梯间、洗手间、走廊通道、门厅、室内地面或地板、设备机房）的管理。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2、设施设备（高低压配电系统、给排水系统、照明设施、停车场管理系统、会议室</w:t>
      </w:r>
      <w:r>
        <w:rPr>
          <w:rFonts w:hint="eastAsia" w:ascii="宋体" w:hAnsi="宋体" w:eastAsia="宋体" w:cs="宋体"/>
          <w:color w:val="000000" w:themeColor="text1"/>
          <w:highlight w:val="none"/>
          <w:lang w:eastAsia="zh-CN"/>
        </w:rPr>
        <w:t>及办公场所</w:t>
      </w:r>
      <w:r>
        <w:rPr>
          <w:rFonts w:hint="eastAsia" w:ascii="宋体" w:hAnsi="宋体" w:eastAsia="宋体" w:cs="宋体"/>
          <w:color w:val="000000" w:themeColor="text1"/>
          <w:highlight w:val="none"/>
        </w:rPr>
        <w:t>内音响影像设备）的</w:t>
      </w:r>
      <w:r>
        <w:rPr>
          <w:rFonts w:hint="eastAsia" w:ascii="宋体" w:hAnsi="宋体" w:eastAsia="宋体" w:cs="宋体"/>
          <w:color w:val="000000" w:themeColor="text1"/>
          <w:highlight w:val="none"/>
          <w:lang w:eastAsia="zh-CN"/>
        </w:rPr>
        <w:t>日常</w:t>
      </w:r>
      <w:r>
        <w:rPr>
          <w:rFonts w:hint="eastAsia" w:ascii="宋体" w:hAnsi="宋体" w:eastAsia="宋体" w:cs="宋体"/>
          <w:color w:val="000000" w:themeColor="text1"/>
          <w:highlight w:val="none"/>
        </w:rPr>
        <w:t>维修、养护和管理。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、物业安全防范管理，包括公共秩序管理、消防管理、财产管理、安全监控管理、停车场管理等。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、室内外环境卫生管理，包括所有办公室、会议室、卫生间、设备房</w:t>
      </w:r>
      <w:r>
        <w:rPr>
          <w:rFonts w:hint="eastAsia" w:ascii="宋体" w:hAnsi="宋体" w:eastAsia="宋体" w:cs="宋体"/>
          <w:color w:val="000000" w:themeColor="text1"/>
          <w:highlight w:val="none"/>
          <w:lang w:eastAsia="zh-CN"/>
        </w:rPr>
        <w:t>、院子、走廊通道、停车场</w:t>
      </w:r>
      <w:r>
        <w:rPr>
          <w:rFonts w:hint="eastAsia" w:ascii="宋体" w:hAnsi="宋体" w:eastAsia="宋体" w:cs="宋体"/>
          <w:color w:val="000000" w:themeColor="text1"/>
          <w:highlight w:val="none"/>
        </w:rPr>
        <w:t>等室内</w:t>
      </w:r>
      <w:r>
        <w:rPr>
          <w:rFonts w:hint="eastAsia" w:ascii="宋体" w:hAnsi="宋体" w:eastAsia="宋体" w:cs="宋体"/>
          <w:color w:val="000000" w:themeColor="text1"/>
          <w:highlight w:val="none"/>
          <w:lang w:eastAsia="zh-CN"/>
        </w:rPr>
        <w:t>外</w:t>
      </w:r>
      <w:r>
        <w:rPr>
          <w:rFonts w:hint="eastAsia" w:ascii="宋体" w:hAnsi="宋体" w:eastAsia="宋体" w:cs="宋体"/>
          <w:color w:val="000000" w:themeColor="text1"/>
          <w:highlight w:val="none"/>
        </w:rPr>
        <w:t>卫生管理、垃圾清运。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、协助物品搬运和活动场地布置服务。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、绿化服务。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rPr>
        <w:t>、隔油池、化油池、化粪池</w:t>
      </w:r>
      <w:r>
        <w:rPr>
          <w:rFonts w:hint="eastAsia" w:ascii="宋体" w:hAnsi="宋体" w:eastAsia="宋体" w:cs="宋体"/>
          <w:color w:val="000000" w:themeColor="text1"/>
          <w:highlight w:val="none"/>
          <w:lang w:eastAsia="zh-CN"/>
        </w:rPr>
        <w:t>管理维护</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是政府重要的办公及会议场所，对安全性、保密性、规范性要求严格，必须按采购人规定的要求执行。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三</w:t>
      </w:r>
      <w:r>
        <w:rPr>
          <w:rFonts w:hint="eastAsia" w:ascii="宋体" w:hAnsi="宋体" w:eastAsia="宋体" w:cs="宋体"/>
          <w:color w:val="000000" w:themeColor="text1"/>
          <w:highlight w:val="none"/>
        </w:rPr>
        <w:t>）在处理特殊事件和紧急、突发事故时，采购人对中标人的物业管理人员有直接指挥权。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四</w:t>
      </w:r>
      <w:r>
        <w:rPr>
          <w:rFonts w:hint="eastAsia" w:ascii="宋体" w:hAnsi="宋体" w:eastAsia="宋体" w:cs="宋体"/>
          <w:color w:val="000000" w:themeColor="text1"/>
          <w:highlight w:val="none"/>
        </w:rPr>
        <w:t>）中标人各类管理人员按岗位着装要求统一</w:t>
      </w:r>
      <w:r>
        <w:rPr>
          <w:rFonts w:hint="eastAsia" w:ascii="宋体" w:hAnsi="宋体" w:eastAsia="宋体" w:cs="宋体"/>
          <w:color w:val="000000" w:themeColor="text1"/>
          <w:highlight w:val="none"/>
          <w:lang w:eastAsia="zh-CN"/>
        </w:rPr>
        <w:t>着装</w:t>
      </w:r>
      <w:r>
        <w:rPr>
          <w:rFonts w:hint="eastAsia" w:ascii="宋体" w:hAnsi="宋体" w:eastAsia="宋体" w:cs="宋体"/>
          <w:color w:val="000000" w:themeColor="text1"/>
          <w:highlight w:val="none"/>
        </w:rPr>
        <w:t>，言行规范，要注意仪容仪表，公众形象。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五</w:t>
      </w:r>
      <w:r>
        <w:rPr>
          <w:rFonts w:hint="eastAsia" w:ascii="宋体" w:hAnsi="宋体" w:eastAsia="宋体" w:cs="宋体"/>
          <w:color w:val="000000" w:themeColor="text1"/>
          <w:highlight w:val="none"/>
        </w:rPr>
        <w:t>）中标人必须按照国家有关规定为员工购买社会保险，员工待遇不低于国家规定最低工资标准要求，员工享受国家劳动法规定的福利假期，要求中标人遵守国家及阳江市有关劳动法律法规等有关规定执行。员工的劳动合同关系、薪酬待遇、保险、工伤、因工作失误导致意外等经济责任、法律责任及相关费用均由中标人负责，采购人不承担相关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六</w:t>
      </w:r>
      <w:r>
        <w:rPr>
          <w:rFonts w:hint="eastAsia" w:ascii="宋体" w:hAnsi="宋体" w:eastAsia="宋体" w:cs="宋体"/>
          <w:color w:val="000000" w:themeColor="text1"/>
          <w:highlight w:val="none"/>
        </w:rPr>
        <w:t>）中标人在做好工作的同时，有责任向采购人提供合理化建议，以提高管理效率和管理质量。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七</w:t>
      </w:r>
      <w:r>
        <w:rPr>
          <w:rFonts w:hint="eastAsia" w:ascii="宋体" w:hAnsi="宋体" w:eastAsia="宋体" w:cs="宋体"/>
          <w:color w:val="000000" w:themeColor="text1"/>
          <w:highlight w:val="none"/>
        </w:rPr>
        <w:t>）在合同期间采购人的所有财产的安全问题由中标人负责，由于中标人管理不到位，导致采购人财产损坏的，中标人赔偿相应的维修费并恢复原样；导致采购人财产丢失的，采购人有权要求中标人按照该财产的原价格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八</w:t>
      </w:r>
      <w:r>
        <w:rPr>
          <w:rFonts w:hint="eastAsia" w:ascii="宋体" w:hAnsi="宋体" w:eastAsia="宋体" w:cs="宋体"/>
          <w:color w:val="000000" w:themeColor="text1"/>
          <w:highlight w:val="none"/>
        </w:rPr>
        <w:t>）中标人全体管理人员的人身安全及健康状况由中标人负责。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九</w:t>
      </w:r>
      <w:r>
        <w:rPr>
          <w:rFonts w:hint="eastAsia" w:ascii="宋体" w:hAnsi="宋体" w:eastAsia="宋体" w:cs="宋体"/>
          <w:color w:val="000000" w:themeColor="text1"/>
          <w:highlight w:val="none"/>
        </w:rPr>
        <w:t>）中标人提供的管理人员及各项服务费用需经采购人审核。（须提供承诺函）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（十）合同期满后，中标人与新接管物业管理企业须绝对服从采购人的指挥，进行设备清点、登记、移交，并确保完好无损。不得以任何理由、借口缓交或拒交。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（十</w:t>
      </w:r>
      <w:r>
        <w:rPr>
          <w:rFonts w:hint="eastAsia" w:ascii="宋体" w:hAnsi="宋体" w:eastAsia="宋体" w:cs="宋体"/>
          <w:color w:val="000000" w:themeColor="text1"/>
          <w:highlight w:val="none"/>
          <w:lang w:eastAsia="zh-CN"/>
        </w:rPr>
        <w:t>一</w:t>
      </w:r>
      <w:r>
        <w:rPr>
          <w:rFonts w:hint="eastAsia" w:ascii="宋体" w:hAnsi="宋体" w:eastAsia="宋体" w:cs="宋体"/>
          <w:color w:val="000000" w:themeColor="text1"/>
          <w:highlight w:val="none"/>
        </w:rPr>
        <w:t>）合同签订后1个月内，中标人须向采购人提供本项目所有人员的人事档案资料，包括身份证复印件、体检证明、专业人员证书等。中标人不得伪造人事档案欺骗采购人，如有此种情况发生，采购人有权要求中标人在规定的时间内更换人员，且采购人有权立即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★（十</w:t>
      </w:r>
      <w:r>
        <w:rPr>
          <w:rFonts w:hint="eastAsia" w:ascii="宋体" w:hAnsi="宋体" w:eastAsia="宋体" w:cs="宋体"/>
          <w:color w:val="000000" w:themeColor="text1"/>
          <w:highlight w:val="none"/>
          <w:lang w:eastAsia="zh-CN"/>
        </w:rPr>
        <w:t>二</w:t>
      </w:r>
      <w:r>
        <w:rPr>
          <w:rFonts w:hint="eastAsia" w:ascii="宋体" w:hAnsi="宋体" w:eastAsia="宋体" w:cs="宋体"/>
          <w:color w:val="000000" w:themeColor="text1"/>
          <w:highlight w:val="none"/>
        </w:rPr>
        <w:t>）中标人必须按本项目要求100%配备人员。在合同执行期内如在岗人员少于采购人要求总人数时，中标人须限期补齐，如特殊情况下，短期内出现招工困难（5天内），不得不延长在职人员工时，必须严格按国家劳动法规支付加班费，否则采购人有权按缺员数量和天数进行扣减。（须提供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（十三）</w:t>
      </w:r>
      <w:r>
        <w:rPr>
          <w:rFonts w:hint="eastAsia" w:ascii="宋体" w:hAnsi="宋体" w:eastAsia="宋体" w:cs="宋体"/>
          <w:color w:val="000000" w:themeColor="text1"/>
          <w:highlight w:val="none"/>
        </w:rPr>
        <w:t>管理用房：采购人提供专门的管理办公用房（含</w:t>
      </w:r>
      <w:r>
        <w:rPr>
          <w:rFonts w:hint="eastAsia" w:ascii="宋体" w:hAnsi="宋体" w:eastAsia="宋体" w:cs="宋体"/>
          <w:color w:val="000000" w:themeColor="text1"/>
          <w:highlight w:val="none"/>
          <w:lang w:eastAsia="zh-CN"/>
        </w:rPr>
        <w:t>办公室、</w:t>
      </w:r>
      <w:r>
        <w:rPr>
          <w:rFonts w:hint="eastAsia" w:ascii="宋体" w:hAnsi="宋体" w:eastAsia="宋体" w:cs="宋体"/>
          <w:color w:val="000000" w:themeColor="text1"/>
          <w:highlight w:val="none"/>
        </w:rPr>
        <w:t>资料室、仓库及维修场所），不提供任何居住和居住相关用房。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十四</w:t>
      </w:r>
      <w:r>
        <w:rPr>
          <w:rFonts w:hint="eastAsia" w:ascii="宋体" w:hAnsi="宋体" w:eastAsia="宋体" w:cs="宋体"/>
          <w:color w:val="000000" w:themeColor="text1"/>
          <w:highlight w:val="none"/>
        </w:rPr>
        <w:t>）公用水电费用由采购人承担。（包括卫生间、绿化、空调、清洁卫生、生活等各类用水；消防、水泵、照明、电梯、各类机电设备等各类用电）。</w:t>
      </w:r>
      <w:bookmarkStart w:id="147" w:name="_Toc377552353"/>
    </w:p>
    <w:bookmarkEnd w:id="147"/>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十五</w:t>
      </w:r>
      <w:r>
        <w:rPr>
          <w:rFonts w:hint="eastAsia" w:ascii="宋体" w:hAnsi="宋体" w:eastAsia="宋体" w:cs="宋体"/>
          <w:color w:val="000000" w:themeColor="text1"/>
          <w:highlight w:val="none"/>
        </w:rPr>
        <w:t>）档案资料管理：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1、中标人要建立资料的收集、分类整理、归档管理制度。对以下的所有档案资料，采购人有权随时调阅、查阅、复印。对所有原始档案资料在合同期内，中标人必须严格管理。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2、在日常管理中要建立交接班、设施设备故障与维修、保养等登记制度。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3、档案资料包括：与物业相关的工程图纸、档案和竣工验收资料：实施管理和服务工作中的各种制度、规程、流程、记录、图表、函件等。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4、中标人须向采购人提供相关外包服务项目合同复印件。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5、中标人应做好相关档案资料的保密工作，禁止泄密。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十六</w:t>
      </w:r>
      <w:r>
        <w:rPr>
          <w:rFonts w:hint="eastAsia" w:ascii="宋体" w:hAnsi="宋体" w:eastAsia="宋体" w:cs="宋体"/>
          <w:color w:val="000000" w:themeColor="text1"/>
          <w:highlight w:val="none"/>
        </w:rPr>
        <w:t>）其它事项要求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1、协助采购人管理政府资产。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2、协助采购人办理办公用房交接登记。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3、协助采购人及办公单位临时搬运物资。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4、按采购人要求完成重要节日张挂工作。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5、其它临时性的事务。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十七</w:t>
      </w:r>
      <w:r>
        <w:rPr>
          <w:rFonts w:hint="eastAsia" w:ascii="宋体" w:hAnsi="宋体" w:eastAsia="宋体" w:cs="宋体"/>
          <w:color w:val="000000" w:themeColor="text1"/>
          <w:highlight w:val="none"/>
        </w:rPr>
        <w:t>）采购人可随时检查中标人人员的工作，并可随时要求中标人更换工作人员，中标人应当及时执行。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十八</w:t>
      </w:r>
      <w:r>
        <w:rPr>
          <w:rFonts w:hint="eastAsia" w:ascii="宋体" w:hAnsi="宋体" w:eastAsia="宋体" w:cs="宋体"/>
          <w:color w:val="000000" w:themeColor="text1"/>
          <w:highlight w:val="none"/>
        </w:rPr>
        <w:t>）中标人的服务质量应符合招标文件、中标文件、合同等约定的标准，否则采购人有权要求中标人整改，中标人应当及时执行，由此产生的一切费用，以及给采购人造成的损失，均由中标人承担。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十九</w:t>
      </w:r>
      <w:r>
        <w:rPr>
          <w:rFonts w:hint="eastAsia" w:ascii="宋体" w:hAnsi="宋体" w:eastAsia="宋体" w:cs="宋体"/>
          <w:color w:val="000000" w:themeColor="text1"/>
          <w:highlight w:val="none"/>
        </w:rPr>
        <w:t>）中标人服务期间应落实安全生产措施，如中标人人员在服务过程中造成自身、采购人或第三人的人身和财产损害的，由中标人承担约定和法定责任。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eastAsia="zh-CN"/>
        </w:rPr>
        <w:t>二十</w:t>
      </w:r>
      <w:r>
        <w:rPr>
          <w:rFonts w:hint="eastAsia" w:ascii="宋体" w:hAnsi="宋体" w:eastAsia="宋体" w:cs="宋体"/>
          <w:color w:val="000000" w:themeColor="text1"/>
          <w:highlight w:val="none"/>
        </w:rPr>
        <w:t>）中标人违反招标文件、中标文件、合同等约定的，采购人有权立即聘请第三方提供合同项下的服务，由此产生的一切费用由中标人承担，同时采购人可从中标人应取得的合同款中予以扣减。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48" w:name="_Toc27020"/>
      <w:bookmarkStart w:id="149" w:name="_Toc15662"/>
      <w:bookmarkStart w:id="150" w:name="_Toc11049"/>
      <w:bookmarkStart w:id="151" w:name="_Toc8056"/>
      <w:r>
        <w:rPr>
          <w:rFonts w:hint="eastAsia" w:ascii="宋体" w:hAnsi="宋体" w:eastAsia="宋体" w:cs="宋体"/>
          <w:b/>
          <w:bCs/>
          <w:color w:val="000000" w:themeColor="text1"/>
          <w:highlight w:val="none"/>
        </w:rPr>
        <w:t>七、其他要求</w:t>
      </w:r>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（一）合同签订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中标人根据招标文件及投标文件内容，依据相关法律法规在规定时间内与采购人签订物业管理服务合同。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（二）结算方式及付款方式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向</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提供服务</w:t>
      </w:r>
      <w:r>
        <w:rPr>
          <w:rFonts w:hint="eastAsia" w:ascii="宋体" w:hAnsi="宋体" w:eastAsia="宋体" w:cs="宋体"/>
          <w:color w:val="000000" w:themeColor="text1"/>
          <w:highlight w:val="none"/>
          <w:lang w:val="en-US" w:eastAsia="zh-CN"/>
        </w:rPr>
        <w:t>20</w:t>
      </w:r>
      <w:r>
        <w:rPr>
          <w:rFonts w:hint="eastAsia" w:ascii="宋体" w:hAnsi="宋体" w:eastAsia="宋体" w:cs="宋体"/>
          <w:color w:val="000000" w:themeColor="text1"/>
          <w:highlight w:val="none"/>
        </w:rPr>
        <w:t>人（保安人员</w:t>
      </w:r>
      <w:r>
        <w:rPr>
          <w:rFonts w:hint="eastAsia" w:ascii="宋体" w:hAnsi="宋体" w:eastAsia="宋体" w:cs="宋体"/>
          <w:color w:val="000000" w:themeColor="text1"/>
          <w:highlight w:val="none"/>
          <w:lang w:val="en-US" w:eastAsia="zh-CN"/>
        </w:rPr>
        <w:t>16</w:t>
      </w:r>
      <w:r>
        <w:rPr>
          <w:rFonts w:hint="eastAsia" w:ascii="宋体" w:hAnsi="宋体" w:eastAsia="宋体" w:cs="宋体"/>
          <w:color w:val="000000" w:themeColor="text1"/>
          <w:highlight w:val="none"/>
        </w:rPr>
        <w:t>名，</w:t>
      </w:r>
      <w:r>
        <w:rPr>
          <w:rFonts w:hint="eastAsia" w:ascii="宋体" w:hAnsi="宋体" w:eastAsia="宋体" w:cs="宋体"/>
          <w:color w:val="000000" w:themeColor="text1"/>
          <w:highlight w:val="none"/>
          <w:lang w:eastAsia="zh-CN"/>
        </w:rPr>
        <w:t>绿化养护员</w:t>
      </w:r>
      <w:r>
        <w:rPr>
          <w:rFonts w:hint="eastAsia" w:ascii="宋体" w:hAnsi="宋体" w:eastAsia="宋体" w:cs="宋体"/>
          <w:color w:val="000000" w:themeColor="text1"/>
          <w:highlight w:val="none"/>
          <w:lang w:val="en-US" w:eastAsia="zh-CN"/>
        </w:rPr>
        <w:t>1名、</w:t>
      </w:r>
      <w:r>
        <w:rPr>
          <w:rFonts w:hint="eastAsia" w:ascii="宋体" w:hAnsi="宋体" w:eastAsia="宋体" w:cs="宋体"/>
          <w:color w:val="000000" w:themeColor="text1"/>
          <w:highlight w:val="none"/>
          <w:lang w:eastAsia="zh-CN"/>
        </w:rPr>
        <w:t>保洁员</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名，</w:t>
      </w:r>
      <w:r>
        <w:rPr>
          <w:rFonts w:hint="eastAsia" w:ascii="宋体" w:hAnsi="宋体" w:eastAsia="宋体" w:cs="宋体"/>
          <w:color w:val="000000" w:themeColor="text1"/>
          <w:highlight w:val="none"/>
          <w:lang w:eastAsia="zh-CN"/>
        </w:rPr>
        <w:t>水电</w:t>
      </w:r>
      <w:r>
        <w:rPr>
          <w:rFonts w:hint="eastAsia" w:ascii="宋体" w:hAnsi="宋体" w:eastAsia="宋体" w:cs="宋体"/>
          <w:color w:val="000000" w:themeColor="text1"/>
          <w:highlight w:val="none"/>
        </w:rPr>
        <w:t>工1名）。在合同履行期间，</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有权根据实际需要调整</w:t>
      </w:r>
      <w:r>
        <w:rPr>
          <w:rFonts w:hint="eastAsia" w:ascii="宋体" w:hAnsi="宋体" w:eastAsia="宋体" w:cs="宋体"/>
          <w:color w:val="000000" w:themeColor="text1"/>
          <w:highlight w:val="none"/>
          <w:lang w:eastAsia="zh-CN"/>
        </w:rPr>
        <w:t>服务</w:t>
      </w:r>
      <w:r>
        <w:rPr>
          <w:rFonts w:hint="eastAsia" w:ascii="宋体" w:hAnsi="宋体" w:eastAsia="宋体" w:cs="宋体"/>
          <w:color w:val="000000" w:themeColor="text1"/>
          <w:highlight w:val="none"/>
        </w:rPr>
        <w:t>人员的数量，如因</w:t>
      </w:r>
      <w:r>
        <w:rPr>
          <w:rFonts w:hint="eastAsia" w:ascii="宋体" w:hAnsi="宋体" w:eastAsia="宋体" w:cs="宋体"/>
          <w:color w:val="000000" w:themeColor="text1"/>
          <w:highlight w:val="none"/>
          <w:lang w:eastAsia="zh-CN"/>
        </w:rPr>
        <w:t>服务</w:t>
      </w:r>
      <w:r>
        <w:rPr>
          <w:rFonts w:hint="eastAsia" w:ascii="宋体" w:hAnsi="宋体" w:eastAsia="宋体" w:cs="宋体"/>
          <w:color w:val="000000" w:themeColor="text1"/>
          <w:highlight w:val="none"/>
        </w:rPr>
        <w:t>人员数量变化而致使</w:t>
      </w:r>
      <w:r>
        <w:rPr>
          <w:rFonts w:hint="eastAsia" w:ascii="宋体" w:hAnsi="宋体" w:eastAsia="宋体" w:cs="宋体"/>
          <w:color w:val="000000" w:themeColor="text1"/>
          <w:highlight w:val="none"/>
          <w:lang w:val="en-US" w:eastAsia="zh-CN"/>
        </w:rPr>
        <w:t>服务</w:t>
      </w:r>
      <w:r>
        <w:rPr>
          <w:rFonts w:hint="eastAsia" w:ascii="宋体" w:hAnsi="宋体" w:eastAsia="宋体" w:cs="宋体"/>
          <w:color w:val="000000" w:themeColor="text1"/>
          <w:highlight w:val="none"/>
        </w:rPr>
        <w:t>费用金额需要调整或因国家工资政策发生重大变化，使双方仍按合同规定支付服务费对一方显失公平的，双方应本着公平原则另行补充协商调整服务费金额，按调整后的服务费支付合同剩余期限的服务费。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bookmarkStart w:id="152" w:name="_Toc13939"/>
      <w:r>
        <w:rPr>
          <w:rFonts w:hint="eastAsia" w:ascii="宋体" w:hAnsi="宋体" w:eastAsia="宋体" w:cs="宋体"/>
          <w:color w:val="000000" w:themeColor="text1"/>
          <w:highlight w:val="none"/>
        </w:rPr>
        <w:t>结算方式</w:t>
      </w:r>
      <w:bookmarkEnd w:id="1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本项目据实结算，物业管理</w:t>
      </w:r>
      <w:r>
        <w:rPr>
          <w:rFonts w:hint="eastAsia" w:ascii="宋体" w:hAnsi="宋体" w:eastAsia="宋体" w:cs="宋体"/>
          <w:color w:val="000000" w:themeColor="text1"/>
          <w:highlight w:val="none"/>
        </w:rPr>
        <w:t>服务费按照“当月支付上月”的方式进行结算，当月实际支付</w:t>
      </w:r>
      <w:r>
        <w:rPr>
          <w:rFonts w:hint="eastAsia" w:ascii="宋体" w:hAnsi="宋体" w:eastAsia="宋体" w:cs="宋体"/>
          <w:color w:val="000000" w:themeColor="text1"/>
          <w:highlight w:val="none"/>
          <w:lang w:eastAsia="zh-CN"/>
        </w:rPr>
        <w:t>物业管理</w:t>
      </w:r>
      <w:r>
        <w:rPr>
          <w:rFonts w:hint="eastAsia" w:ascii="宋体" w:hAnsi="宋体" w:eastAsia="宋体" w:cs="宋体"/>
          <w:color w:val="000000" w:themeColor="text1"/>
          <w:highlight w:val="none"/>
        </w:rPr>
        <w:t>服务费</w:t>
      </w:r>
      <w:r>
        <w:rPr>
          <w:rFonts w:hint="eastAsia" w:ascii="宋体" w:hAnsi="宋体" w:eastAsia="宋体" w:cs="宋体"/>
          <w:color w:val="000000" w:themeColor="text1"/>
          <w:highlight w:val="none"/>
          <w:lang w:val="en-US" w:eastAsia="zh-CN"/>
        </w:rPr>
        <w:t>=服务人员的薪酬+（服务人员的薪酬*10%）*中标折扣率</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53" w:name="_Toc28560"/>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、付款方式</w:t>
      </w:r>
      <w:bookmarkEnd w:id="15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（1）每次按合同支付款项前，</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先应向</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开具提供与支付金额相符的有效发票作为</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付款的前提，且收款方、出具发票方、合同乙方均必须与</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名称一致。</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收到发票等相关资料并审核无误后在</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0个工作日内办理支付手续。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（2）如遇财政拨款未到位情况，上述付款期限顺延，</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不得追究</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的相关法律责任。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（三）履约保证金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54" w:name="_Hlk98326753"/>
      <w:r>
        <w:rPr>
          <w:rFonts w:hint="eastAsia" w:ascii="宋体" w:hAnsi="宋体" w:eastAsia="宋体" w:cs="宋体"/>
          <w:color w:val="000000" w:themeColor="text1"/>
          <w:highlight w:val="none"/>
        </w:rPr>
        <w:t>1、中标人须在中标结果公告期满后20个自然日内按合同签订年度中标金额的5%向采购人提交</w:t>
      </w:r>
      <w:r>
        <w:rPr>
          <w:rFonts w:hint="eastAsia" w:ascii="宋体" w:hAnsi="宋体" w:eastAsia="宋体" w:cs="宋体"/>
          <w:color w:val="000000" w:themeColor="text1"/>
          <w:highlight w:val="none"/>
          <w:lang w:val="en-US" w:eastAsia="zh-CN"/>
        </w:rPr>
        <w:t>由合法金融机构出具的</w:t>
      </w:r>
      <w:r>
        <w:rPr>
          <w:rFonts w:hint="eastAsia" w:ascii="宋体" w:hAnsi="宋体" w:eastAsia="宋体" w:cs="宋体"/>
          <w:color w:val="000000" w:themeColor="text1"/>
          <w:highlight w:val="none"/>
        </w:rPr>
        <w:t>连带保证责任的履约保函</w:t>
      </w:r>
      <w:r>
        <w:rPr>
          <w:rFonts w:hint="eastAsia" w:ascii="宋体" w:hAnsi="宋体" w:eastAsia="宋体" w:cs="宋体"/>
          <w:color w:val="000000" w:themeColor="text1"/>
          <w:highlight w:val="none"/>
          <w:lang w:val="en-US" w:eastAsia="zh-CN"/>
        </w:rPr>
        <w:t>(保证期限应不少于本合同履行期限加上6个月的总和）</w:t>
      </w:r>
      <w:r>
        <w:rPr>
          <w:rFonts w:hint="eastAsia" w:ascii="宋体" w:hAnsi="宋体" w:eastAsia="宋体" w:cs="宋体"/>
          <w:color w:val="000000" w:themeColor="text1"/>
          <w:highlight w:val="none"/>
        </w:rPr>
        <w:t>，担保范围为采购人向中标人索偿的一切违约金和赔偿金。如中标人无法按前述规定提供履约保函的，可向采购人提供年度合同总金额的5%的履约保证金作为替代。合同期限届满前，保函金额或保证金被采购人扣减的，中标人应在收到通知后10天内补足，否则，采购人有权视为中标人未按规定提供履约保函或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按承诺完全履行合同的约定，物业管理合同期满3个月，且顺利完成工作交接后的30个工作日内返还履约保证金或终止履约保函有效期。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、中标人未按规定提供履约保函或履约保证金的，采购人有权单方解除合同，并有权要求中标人支付合同总金额10%的违约金。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中标人派驻人员应严格按照规定认真履行职责，对中标人派驻的工作人员违反服务规定，造成的损失由中标人负责，损失金额超过人民币5万元或者造成不良社会影响的，采购人有权没收履约保证金或按履约保函担保额度索赔保证金并视情况终止合同。</w:t>
      </w:r>
    </w:p>
    <w:bookmarkEnd w:id="154"/>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（四）中标人责任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在合同签订生效之日起7个工作日内，安排各部门业务骨干入场详细了解物业状况，制定管理服务制度及相关方法、方案，并与原物业公司共同研究本项目物业管理服务交接方案(进驻时间由采购人决定)。确保交接期内（20个自然日或采购人确定的期限）本项目各项物业管理服务正常运作，30个自然日内按招标文件要求完成物资、物料、工具、设备、设施等必须品的配备、配置，物业管理从业人员人数按照招标文件要求全部到位。整个交叉管理期间产生的费用在当月管理费中核支，在采购人的协调、监督下，中标人和在管公司双方按投入人员、物料等比例分配相关费用。（须提供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在管理服务期内由于中标人责任造成第三人、采购人和中标人工作人员人身伤亡和财产损失，全部费用和责任由中标人承担。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中标人工作人员在本项目辖区范围内发生违法、违规行为的，所造成的一切后果及损失，由中标人承担责任及负责赔偿。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中标人不按照采购人要求及时更换不合格物业服务人员，或者擅自更换采购人要求保留的物业服务人员，以及人员变动率超过标准（每月3％）时，采购人有权扣减当月物业管理服务费的5%。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未按本项目要求和承诺配备具有资职证、上岗证等有效资格证明足够工作人员，且在采购人发出的规定期限内未整改补充到位，则采购人按缺少岗位、人员工资的三倍扣减当月的物业管理费，继续要求不整改的，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管理服务期内若发现中标人假借派驻员工劳动合同到期或个人辞职为理由，实际将该员工调换至中标人或其下属控股公司、子公司的其他在管物业项目工作服务时，则采购人按相关岗位、人员工资的三倍扣减当月的物业管理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中标人违反合同要求和规定，未能达到约定的服务目标，发生多次物业服务保障迟延或挪用物业管理服务费用等情况，严重影响到物业服务质量，或者物业使用人投诉多（两个月内有效投诉累积超过30次），或出现重大服务过错（损失金额超过人民币10万元，或者造成严重社会影响的），采购人有权视情况终止合同；造成采购人经损失由中标人负责赔偿，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采购人在向中标人送达《</w:t>
      </w:r>
      <w:r>
        <w:rPr>
          <w:rFonts w:hint="eastAsia" w:ascii="宋体" w:hAnsi="宋体" w:eastAsia="宋体" w:cs="宋体"/>
          <w:color w:val="000000" w:themeColor="text1"/>
          <w:highlight w:val="none"/>
          <w:lang w:eastAsia="zh-CN"/>
        </w:rPr>
        <w:t>解除（</w:t>
      </w:r>
      <w:r>
        <w:rPr>
          <w:rFonts w:hint="eastAsia" w:ascii="宋体" w:hAnsi="宋体" w:eastAsia="宋体" w:cs="宋体"/>
          <w:color w:val="000000" w:themeColor="text1"/>
          <w:highlight w:val="none"/>
        </w:rPr>
        <w:t>终止</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合同通知书》后，合同自然解除</w:t>
      </w:r>
      <w:r>
        <w:rPr>
          <w:rFonts w:hint="eastAsia" w:ascii="宋体" w:hAnsi="宋体" w:eastAsia="宋体" w:cs="宋体"/>
          <w:color w:val="000000" w:themeColor="text1"/>
          <w:highlight w:val="none"/>
          <w:lang w:eastAsia="zh-CN"/>
        </w:rPr>
        <w:t>或终止</w:t>
      </w:r>
      <w:r>
        <w:rPr>
          <w:rFonts w:hint="eastAsia" w:ascii="宋体" w:hAnsi="宋体" w:eastAsia="宋体" w:cs="宋体"/>
          <w:color w:val="000000" w:themeColor="text1"/>
          <w:highlight w:val="none"/>
        </w:rPr>
        <w:t>，采购人可将</w:t>
      </w:r>
      <w:r>
        <w:rPr>
          <w:rFonts w:hint="eastAsia" w:ascii="宋体" w:hAnsi="宋体" w:eastAsia="宋体" w:cs="宋体"/>
          <w:color w:val="000000" w:themeColor="text1"/>
          <w:highlight w:val="none"/>
          <w:lang w:eastAsia="zh-CN"/>
        </w:rPr>
        <w:t>本项目</w:t>
      </w:r>
      <w:r>
        <w:rPr>
          <w:rFonts w:hint="eastAsia" w:ascii="宋体" w:hAnsi="宋体" w:eastAsia="宋体" w:cs="宋体"/>
          <w:color w:val="000000" w:themeColor="text1"/>
          <w:highlight w:val="none"/>
        </w:rPr>
        <w:t>重新招标，同时，采购人有权视情况</w:t>
      </w:r>
      <w:r>
        <w:rPr>
          <w:rFonts w:hint="eastAsia" w:ascii="宋体" w:hAnsi="宋体" w:eastAsia="宋体" w:cs="宋体"/>
          <w:color w:val="000000" w:themeColor="text1"/>
          <w:highlight w:val="none"/>
          <w:lang w:eastAsia="zh-CN"/>
        </w:rPr>
        <w:t>自行决定扣减履约保证金的金额</w:t>
      </w:r>
      <w:r>
        <w:rPr>
          <w:rFonts w:hint="eastAsia" w:ascii="宋体" w:hAnsi="宋体" w:eastAsia="宋体" w:cs="宋体"/>
          <w:color w:val="000000" w:themeColor="text1"/>
          <w:highlight w:val="none"/>
        </w:rPr>
        <w:t>或没收履约保证金。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物业服务期内，如果因发生盗窃、抢劫、失火等原因导致采购人财产损失或者工作人员人身损害的，除能够证明非中标人责任外，中标人应该承担法律责任及赔偿经济损失，采购人有权从物业管理服务费和履约保证金中扣除，情节严重的，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物业服务期内中标人应确保在服务范围内无刑事、治安案件（事件）的发生；无消防责任事故发生、无机械设备操作责任事故发生。如发生责任事故，造中标人应该承担法律责任及赔偿经济损失，采购人有权从当期的物业管理服务费和履约保证金中扣除，情节严重的，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未能按时支付服务费，</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rPr>
        <w:t>有权要求</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及时结清</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办公区域，</w:t>
      </w:r>
      <w:r>
        <w:rPr>
          <w:rFonts w:hint="eastAsia" w:ascii="宋体" w:hAnsi="宋体" w:eastAsia="宋体" w:cs="宋体"/>
          <w:color w:val="000000" w:themeColor="text1"/>
          <w:highlight w:val="none"/>
          <w:lang w:val="en-US" w:eastAsia="zh-CN"/>
        </w:rPr>
        <w:t>中标人</w:t>
      </w:r>
      <w:r>
        <w:rPr>
          <w:rFonts w:hint="eastAsia" w:ascii="宋体" w:hAnsi="宋体" w:eastAsia="宋体" w:cs="宋体"/>
          <w:color w:val="000000" w:themeColor="text1"/>
          <w:highlight w:val="none"/>
          <w:lang w:eastAsia="zh-CN"/>
        </w:rPr>
        <w:t>服务人员</w:t>
      </w:r>
      <w:r>
        <w:rPr>
          <w:rFonts w:hint="eastAsia" w:ascii="宋体" w:hAnsi="宋体" w:eastAsia="宋体" w:cs="宋体"/>
          <w:color w:val="000000" w:themeColor="text1"/>
          <w:highlight w:val="none"/>
        </w:rPr>
        <w:t>应尊重</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有关规定，不得影响</w:t>
      </w:r>
      <w:r>
        <w:rPr>
          <w:rFonts w:hint="eastAsia" w:ascii="宋体" w:hAnsi="宋体" w:eastAsia="宋体" w:cs="宋体"/>
          <w:color w:val="000000" w:themeColor="text1"/>
          <w:highlight w:val="none"/>
          <w:lang w:val="en-US" w:eastAsia="zh-CN"/>
        </w:rPr>
        <w:t>采购人</w:t>
      </w:r>
      <w:r>
        <w:rPr>
          <w:rFonts w:hint="eastAsia" w:ascii="宋体" w:hAnsi="宋体" w:eastAsia="宋体" w:cs="宋体"/>
          <w:color w:val="000000" w:themeColor="text1"/>
          <w:highlight w:val="none"/>
        </w:rPr>
        <w:t>的正常工作秩序。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同期最后三个月，中标人应无条件配合采购人做好新的物业服务采购招标工作，合同期最后一个月为物业接管过渡期，中标人在过渡接管期间不得拒绝新物业公司为有利于接管而提出的配合要求（限服务范围内），中标人同时将整理好的管理记录及档案整体移交给采购人。交接时间超过合同服务截止时间，中标人应根据本物业管理需要承诺临时延长期服务，临时延长期物业管理费不得超过原合同总金额的10%，延长服务范围内容要求及物业管理服务期由采购人与中标人另行协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如果中标时中标人为中型企业，中标人应在与采购人签订合同后30天内与小微企业签订分包协议，约定分包给小微企业的金额比例不低于</w:t>
      </w:r>
      <w:r>
        <w:rPr>
          <w:rFonts w:hint="eastAsia" w:ascii="宋体" w:hAnsi="宋体" w:eastAsia="宋体" w:cs="宋体"/>
          <w:color w:val="000000" w:themeColor="text1"/>
          <w:highlight w:val="none"/>
          <w:lang w:val="en-US" w:eastAsia="zh-CN"/>
        </w:rPr>
        <w:t>合同</w:t>
      </w:r>
      <w:r>
        <w:rPr>
          <w:rFonts w:hint="eastAsia" w:ascii="宋体" w:hAnsi="宋体" w:eastAsia="宋体" w:cs="宋体"/>
          <w:color w:val="000000" w:themeColor="text1"/>
          <w:highlight w:val="none"/>
        </w:rPr>
        <w:t>总金额的60%，并将分包协议、小微企业的营业执照、承诺书等有关资料提供一份给采购人备案，否则采购人有权要求中标人纠正，中标人逾期30天不纠正的，采购人有权不支付</w:t>
      </w:r>
      <w:r>
        <w:rPr>
          <w:rFonts w:hint="eastAsia" w:ascii="宋体" w:hAnsi="宋体" w:eastAsia="宋体" w:cs="宋体"/>
          <w:color w:val="000000" w:themeColor="text1"/>
          <w:highlight w:val="none"/>
          <w:lang w:val="en-US" w:eastAsia="zh-CN"/>
        </w:rPr>
        <w:t>实结总金额</w:t>
      </w:r>
      <w:r>
        <w:rPr>
          <w:rFonts w:hint="eastAsia" w:ascii="宋体" w:hAnsi="宋体" w:eastAsia="宋体" w:cs="宋体"/>
          <w:color w:val="000000" w:themeColor="text1"/>
          <w:highlight w:val="none"/>
        </w:rPr>
        <w:t>的60%的费用给中标人，直至中标人纠正之日止。若中标人逾期6个月不纠正的，采购人有权解除或终止本合同，因此造成的损失和责任全部由中标人承担。</w:t>
      </w:r>
    </w:p>
    <w:p>
      <w:pPr>
        <w:pStyle w:val="2"/>
        <w:rPr>
          <w:rFonts w:hint="eastAsia" w:ascii="宋体" w:hAnsi="宋体"/>
          <w:color w:val="000000" w:themeColor="text1"/>
          <w:sz w:val="21"/>
          <w:szCs w:val="21"/>
          <w:highlight w:val="none"/>
        </w:rPr>
      </w:pPr>
    </w:p>
    <w:p>
      <w:pPr>
        <w:rPr>
          <w:rFonts w:hint="eastAsia"/>
          <w:color w:val="000000" w:themeColor="text1"/>
          <w:highlight w:val="none"/>
        </w:rPr>
      </w:pPr>
      <w:r>
        <w:rPr>
          <w:rFonts w:hint="eastAsia" w:ascii="宋体" w:hAnsi="宋体" w:eastAsia="宋体" w:cs="仿宋_GB2312"/>
          <w:color w:val="000000" w:themeColor="text1"/>
          <w:sz w:val="21"/>
          <w:szCs w:val="21"/>
          <w:highlight w:val="none"/>
        </w:rPr>
        <w:br w:type="page"/>
      </w:r>
    </w:p>
    <w:p>
      <w:pPr>
        <w:pStyle w:val="3"/>
        <w:numPr>
          <w:ilvl w:val="0"/>
          <w:numId w:val="0"/>
        </w:numPr>
        <w:spacing w:beforeLines="0" w:line="240" w:lineRule="auto"/>
        <w:rPr>
          <w:color w:val="000000" w:themeColor="text1"/>
          <w:highlight w:val="none"/>
        </w:rPr>
      </w:pPr>
      <w:bookmarkStart w:id="155" w:name="_Toc6248"/>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55"/>
    </w:p>
    <w:p>
      <w:pPr>
        <w:pStyle w:val="4"/>
        <w:numPr>
          <w:ilvl w:val="1"/>
          <w:numId w:val="0"/>
        </w:numPr>
        <w:rPr>
          <w:rFonts w:hint="eastAsia"/>
          <w:color w:val="000000" w:themeColor="text1"/>
          <w:szCs w:val="21"/>
          <w:highlight w:val="none"/>
        </w:rPr>
      </w:pPr>
      <w:bookmarkStart w:id="156" w:name="_Toc434832495"/>
      <w:bookmarkStart w:id="157" w:name="_Toc456272919"/>
      <w:bookmarkStart w:id="158" w:name="_Toc22287"/>
      <w:bookmarkStart w:id="159" w:name="_Toc456648358"/>
      <w:r>
        <w:rPr>
          <w:rFonts w:hint="eastAsia"/>
          <w:color w:val="000000" w:themeColor="text1"/>
          <w:szCs w:val="21"/>
          <w:highlight w:val="none"/>
        </w:rPr>
        <w:t>投标人须知前附表</w:t>
      </w:r>
      <w:bookmarkEnd w:id="156"/>
      <w:bookmarkEnd w:id="157"/>
      <w:bookmarkEnd w:id="158"/>
      <w:bookmarkEnd w:id="159"/>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710"/>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wordWrap/>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jc w:val="center"/>
              <w:rPr>
                <w:rFonts w:ascii="宋体" w:hAnsi="宋体"/>
                <w:color w:val="000000" w:themeColor="text1"/>
                <w:szCs w:val="21"/>
                <w:highlight w:val="none"/>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hint="default" w:ascii="宋体" w:hAnsi="宋体" w:eastAsia="宋体"/>
                <w:color w:val="000000" w:themeColor="text1"/>
                <w:szCs w:val="21"/>
                <w:highlight w:val="none"/>
                <w:lang w:val="en-US" w:eastAsia="zh-CN"/>
              </w:rPr>
            </w:pPr>
            <w:r>
              <w:rPr>
                <w:rFonts w:hint="eastAsia" w:ascii="宋体"/>
                <w:bCs/>
                <w:color w:val="000000" w:themeColor="text1"/>
                <w:highlight w:val="none"/>
                <w:lang w:val="en-US" w:eastAsia="zh-CN"/>
              </w:rPr>
              <w:t>本项目的评标由依法组建的评标委员会负责，其成员由采购人代表和有关技术、经济等方面的专家共</w:t>
            </w:r>
            <w:r>
              <w:rPr>
                <w:rFonts w:hint="eastAsia" w:ascii="宋体"/>
                <w:bCs/>
                <w:color w:val="000000" w:themeColor="text1"/>
                <w:highlight w:val="none"/>
                <w:u w:val="single"/>
                <w:lang w:val="en-US" w:eastAsia="zh-CN"/>
              </w:rPr>
              <w:t>5</w:t>
            </w:r>
            <w:r>
              <w:rPr>
                <w:rFonts w:hint="eastAsia" w:ascii="宋体"/>
                <w:bCs/>
                <w:color w:val="000000" w:themeColor="text1"/>
                <w:highlight w:val="none"/>
                <w:lang w:val="en-US" w:eastAsia="zh-CN"/>
              </w:rPr>
              <w:t>人组成，其中采购人代表</w:t>
            </w:r>
            <w:r>
              <w:rPr>
                <w:rFonts w:hint="eastAsia" w:ascii="宋体"/>
                <w:bCs/>
                <w:color w:val="000000" w:themeColor="text1"/>
                <w:highlight w:val="none"/>
                <w:u w:val="single"/>
                <w:lang w:val="en-US" w:eastAsia="zh-CN"/>
              </w:rPr>
              <w:t>1</w:t>
            </w:r>
            <w:r>
              <w:rPr>
                <w:rFonts w:hint="eastAsia" w:ascii="宋体"/>
                <w:bCs/>
                <w:color w:val="000000" w:themeColor="text1"/>
                <w:highlight w:val="none"/>
                <w:lang w:val="en-US" w:eastAsia="zh-CN"/>
              </w:rPr>
              <w:t>人，技术、经济方面的专家</w:t>
            </w:r>
            <w:r>
              <w:rPr>
                <w:rFonts w:hint="eastAsia" w:ascii="宋体"/>
                <w:bCs/>
                <w:color w:val="000000" w:themeColor="text1"/>
                <w:highlight w:val="none"/>
                <w:u w:val="single"/>
                <w:lang w:val="en-US" w:eastAsia="zh-CN"/>
              </w:rPr>
              <w:t>4</w:t>
            </w:r>
            <w:r>
              <w:rPr>
                <w:rFonts w:hint="eastAsia" w:ascii="宋体"/>
                <w:bCs/>
                <w:color w:val="000000" w:themeColor="text1"/>
                <w:highlight w:val="none"/>
                <w:lang w:val="en-US" w:eastAsia="zh-CN"/>
              </w:rPr>
              <w:t>人组成，依法随机抽取，采购代理机构工作人员不作为评标委员会成员。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r>
              <w:rPr>
                <w:rFonts w:ascii="宋体" w:hAnsi="宋体"/>
                <w:b/>
                <w:bCs w:val="0"/>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wordWrap/>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wordWrap/>
              <w:snapToGrid/>
              <w:spacing w:line="400" w:lineRule="exact"/>
              <w:jc w:val="both"/>
              <w:rPr>
                <w:rFonts w:hint="eastAsia" w:ascii="宋体" w:hAnsi="宋体" w:eastAsia="宋体" w:cs="宋体"/>
                <w:b/>
                <w:color w:val="000000" w:themeColor="text1"/>
                <w:szCs w:val="21"/>
                <w:highlight w:val="none"/>
                <w:shd w:val="pct10" w:color="auto" w:fill="FFFFFF"/>
              </w:rPr>
            </w:pPr>
            <w:r>
              <w:rPr>
                <w:rFonts w:hint="eastAsia" w:ascii="宋体" w:hAnsi="宋体" w:eastAsia="宋体" w:cs="宋体"/>
                <w:b/>
                <w:bCs/>
                <w:color w:val="000000" w:themeColor="text1"/>
                <w:szCs w:val="21"/>
                <w:highlight w:val="none"/>
                <w:lang w:val="en-US" w:eastAsia="zh-CN"/>
              </w:rPr>
              <w:t>共提供4份</w:t>
            </w:r>
            <w:r>
              <w:rPr>
                <w:rFonts w:hint="eastAsia" w:ascii="宋体" w:hAnsi="宋体" w:eastAsia="宋体" w:cs="宋体"/>
                <w:b/>
                <w:bCs/>
                <w:color w:val="000000" w:themeColor="text1"/>
                <w:szCs w:val="21"/>
                <w:highlight w:val="none"/>
              </w:rPr>
              <w:t>投标</w:t>
            </w:r>
            <w:r>
              <w:rPr>
                <w:rFonts w:hint="eastAsia" w:ascii="宋体" w:hAnsi="宋体" w:eastAsia="宋体" w:cs="宋体"/>
                <w:b/>
                <w:bCs/>
                <w:color w:val="000000" w:themeColor="text1"/>
                <w:szCs w:val="21"/>
                <w:highlight w:val="none"/>
                <w:lang w:val="en-US" w:eastAsia="zh-CN"/>
              </w:rPr>
              <w:t>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1、</w:t>
            </w:r>
            <w:r>
              <w:rPr>
                <w:rFonts w:hint="eastAsia" w:ascii="宋体" w:hAnsi="宋体" w:eastAsia="宋体" w:cs="宋体"/>
                <w:b/>
                <w:bCs/>
                <w:color w:val="000000" w:themeColor="text1"/>
                <w:szCs w:val="21"/>
                <w:highlight w:val="none"/>
              </w:rPr>
              <w:t>资格审查文件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内含</w:t>
            </w:r>
            <w:r>
              <w:rPr>
                <w:rFonts w:hint="eastAsia" w:ascii="宋体" w:hAnsi="宋体" w:eastAsia="宋体" w:cs="宋体"/>
                <w:color w:val="000000" w:themeColor="text1"/>
                <w:highlight w:val="none"/>
                <w:u w:val="single"/>
                <w:lang w:val="en-US" w:eastAsia="zh-CN"/>
              </w:rPr>
              <w:t xml:space="preserve"> 1 </w:t>
            </w:r>
            <w:r>
              <w:rPr>
                <w:rFonts w:hint="eastAsia" w:ascii="宋体" w:hAnsi="宋体" w:eastAsia="宋体" w:cs="宋体"/>
                <w:color w:val="000000" w:themeColor="text1"/>
                <w:highlight w:val="none"/>
                <w:lang w:val="en-US" w:eastAsia="zh-CN"/>
              </w:rPr>
              <w:t>正</w:t>
            </w:r>
            <w:r>
              <w:rPr>
                <w:rFonts w:hint="eastAsia" w:ascii="宋体" w:hAnsi="宋体" w:eastAsia="宋体" w:cs="宋体"/>
                <w:color w:val="000000" w:themeColor="text1"/>
                <w:highlight w:val="none"/>
                <w:u w:val="single"/>
                <w:lang w:val="en-US" w:eastAsia="zh-CN"/>
              </w:rPr>
              <w:t xml:space="preserve"> 4 </w:t>
            </w:r>
            <w:r>
              <w:rPr>
                <w:rFonts w:hint="eastAsia" w:ascii="宋体" w:hAnsi="宋体" w:eastAsia="宋体" w:cs="宋体"/>
                <w:color w:val="000000" w:themeColor="text1"/>
                <w:highlight w:val="none"/>
                <w:lang w:val="en-US" w:eastAsia="zh-CN"/>
              </w:rPr>
              <w:t>副，</w:t>
            </w:r>
            <w:r>
              <w:rPr>
                <w:rFonts w:hint="eastAsia" w:ascii="宋体" w:hAnsi="宋体" w:eastAsia="宋体" w:cs="宋体"/>
                <w:bCs/>
                <w:color w:val="000000" w:themeColor="text1"/>
                <w:szCs w:val="21"/>
                <w:highlight w:val="none"/>
              </w:rPr>
              <w:t>独立装订成册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2、</w:t>
            </w:r>
            <w:r>
              <w:rPr>
                <w:rFonts w:hint="eastAsia" w:ascii="宋体" w:hAnsi="宋体" w:eastAsia="宋体" w:cs="宋体"/>
                <w:b/>
                <w:bCs/>
                <w:color w:val="000000" w:themeColor="text1"/>
                <w:szCs w:val="21"/>
                <w:highlight w:val="none"/>
              </w:rPr>
              <w:t>商务及技术文件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val="en-US" w:eastAsia="zh-CN"/>
              </w:rPr>
              <w:t>（内含</w:t>
            </w:r>
            <w:r>
              <w:rPr>
                <w:rFonts w:hint="eastAsia" w:ascii="宋体" w:hAnsi="宋体" w:eastAsia="宋体" w:cs="宋体"/>
                <w:color w:val="000000" w:themeColor="text1"/>
                <w:highlight w:val="none"/>
                <w:u w:val="single"/>
                <w:lang w:val="en-US" w:eastAsia="zh-CN"/>
              </w:rPr>
              <w:t xml:space="preserve"> 1 </w:t>
            </w:r>
            <w:r>
              <w:rPr>
                <w:rFonts w:hint="eastAsia" w:ascii="宋体" w:hAnsi="宋体" w:eastAsia="宋体" w:cs="宋体"/>
                <w:color w:val="000000" w:themeColor="text1"/>
                <w:highlight w:val="none"/>
                <w:lang w:val="en-US" w:eastAsia="zh-CN"/>
              </w:rPr>
              <w:t>正</w:t>
            </w:r>
            <w:r>
              <w:rPr>
                <w:rFonts w:hint="eastAsia" w:ascii="宋体" w:hAnsi="宋体" w:eastAsia="宋体" w:cs="宋体"/>
                <w:color w:val="000000" w:themeColor="text1"/>
                <w:highlight w:val="none"/>
                <w:u w:val="single"/>
                <w:lang w:val="en-US" w:eastAsia="zh-CN"/>
              </w:rPr>
              <w:t xml:space="preserve"> 4 </w:t>
            </w:r>
            <w:r>
              <w:rPr>
                <w:rFonts w:hint="eastAsia" w:ascii="宋体" w:hAnsi="宋体" w:eastAsia="宋体" w:cs="宋体"/>
                <w:color w:val="000000" w:themeColor="text1"/>
                <w:highlight w:val="none"/>
                <w:lang w:val="en-US" w:eastAsia="zh-CN"/>
              </w:rPr>
              <w:t>副，</w:t>
            </w:r>
            <w:r>
              <w:rPr>
                <w:rFonts w:hint="eastAsia" w:ascii="宋体" w:hAnsi="宋体" w:eastAsia="宋体" w:cs="宋体"/>
                <w:bCs/>
                <w:color w:val="000000" w:themeColor="text1"/>
                <w:szCs w:val="21"/>
                <w:highlight w:val="none"/>
              </w:rPr>
              <w:t>独立装订成册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rPr>
              <w:t>开标信封</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val="en-US" w:eastAsia="zh-CN"/>
              </w:rPr>
              <w:t>（内含“开标一览表”、“投标保证金”、“保证金退付书”、“法定代表人（负责人）证明书”和“法定代表人（负责人）授权书”</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4、</w:t>
            </w:r>
            <w:r>
              <w:rPr>
                <w:rFonts w:hint="eastAsia" w:ascii="宋体" w:hAnsi="宋体" w:eastAsia="宋体" w:cs="宋体"/>
                <w:b/>
                <w:bCs/>
                <w:color w:val="000000" w:themeColor="text1"/>
                <w:highlight w:val="none"/>
                <w:lang w:val="en-US" w:eastAsia="zh-CN"/>
              </w:rPr>
              <w:t>投标文件电子版。</w:t>
            </w:r>
            <w:r>
              <w:rPr>
                <w:rFonts w:hint="eastAsia" w:ascii="宋体" w:hAnsi="宋体" w:eastAsia="宋体" w:cs="宋体"/>
                <w:color w:val="000000" w:themeColor="text1"/>
                <w:highlight w:val="none"/>
                <w:lang w:val="en-US" w:eastAsia="zh-CN"/>
              </w:rPr>
              <w:t>（以光盘或U盘提供，内含PDF及可编辑的投标文件电子版1份，</w:t>
            </w:r>
            <w:r>
              <w:rPr>
                <w:rFonts w:hint="eastAsia" w:ascii="宋体" w:hAnsi="宋体" w:eastAsia="宋体" w:cs="宋体"/>
                <w:color w:val="000000" w:themeColor="text1"/>
                <w:szCs w:val="21"/>
                <w:highlight w:val="none"/>
              </w:rPr>
              <w:t>在封面上注明“</w:t>
            </w:r>
            <w:r>
              <w:rPr>
                <w:rFonts w:hint="eastAsia" w:ascii="宋体" w:hAnsi="宋体" w:eastAsia="宋体" w:cs="宋体"/>
                <w:color w:val="000000" w:themeColor="text1"/>
                <w:szCs w:val="21"/>
                <w:highlight w:val="none"/>
                <w:lang w:val="en-US" w:eastAsia="zh-CN"/>
              </w:rPr>
              <w:t>公司名称-</w:t>
            </w:r>
            <w:r>
              <w:rPr>
                <w:rFonts w:hint="eastAsia" w:ascii="宋体" w:hAnsi="宋体" w:eastAsia="宋体" w:cs="宋体"/>
                <w:color w:val="000000" w:themeColor="text1"/>
                <w:highlight w:val="none"/>
                <w:lang w:val="en-US" w:eastAsia="zh-CN"/>
              </w:rPr>
              <w:t>投标文件电子版</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b/>
                <w:bCs w:val="0"/>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b/>
                <w:bCs w:val="0"/>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hint="eastAsia" w:ascii="宋体" w:hAnsi="宋体" w:eastAsia="宋体" w:cs="宋体"/>
                <w:b/>
                <w:bCs w:val="0"/>
                <w:color w:val="000000" w:themeColor="text1"/>
                <w:szCs w:val="21"/>
                <w:highlight w:val="none"/>
              </w:rPr>
            </w:pPr>
            <w:r>
              <w:rPr>
                <w:rFonts w:hint="eastAsia" w:ascii="宋体" w:hAnsi="宋体" w:eastAsia="宋体" w:cs="宋体"/>
                <w:b/>
                <w:bCs w:val="0"/>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wordWrap/>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numPr>
                <w:ilvl w:val="0"/>
                <w:numId w:val="0"/>
              </w:numPr>
              <w:tabs>
                <w:tab w:val="left" w:pos="26"/>
              </w:tabs>
              <w:wordWrap/>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rPr>
            </w:pPr>
            <w:r>
              <w:rPr>
                <w:rFonts w:hint="eastAsia" w:ascii="宋体" w:hAnsi="宋体" w:eastAsia="宋体" w:cs="宋体"/>
                <w:b/>
                <w:bCs w:val="0"/>
                <w:color w:val="000000" w:themeColor="text1"/>
                <w:highlight w:val="none"/>
                <w:lang w:val="en-US" w:eastAsia="zh-CN"/>
              </w:rPr>
              <w:t>4</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贰万伍仟</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25</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rPr>
            </w:pPr>
            <w:r>
              <w:rPr>
                <w:rFonts w:hint="eastAsia" w:ascii="宋体" w:hAnsi="宋体" w:eastAsia="宋体" w:cs="宋体"/>
                <w:b/>
                <w:bCs w:val="0"/>
                <w:color w:val="000000" w:themeColor="text1"/>
                <w:highlight w:val="none"/>
                <w:lang w:val="en-US" w:eastAsia="zh-CN"/>
              </w:rPr>
              <w:t>5</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w:t>
            </w:r>
            <w:r>
              <w:rPr>
                <w:rFonts w:hint="eastAsia" w:ascii="宋体" w:hAnsi="宋体"/>
                <w:color w:val="000000" w:themeColor="text1"/>
                <w:szCs w:val="21"/>
                <w:highlight w:val="none"/>
                <w:lang w:val="en-US" w:eastAsia="zh-CN"/>
              </w:rPr>
              <w:t>根据项目预算金额</w:t>
            </w:r>
            <w:r>
              <w:rPr>
                <w:rFonts w:hint="eastAsia" w:ascii="宋体" w:hAnsi="宋体"/>
                <w:color w:val="000000" w:themeColor="text1"/>
                <w:szCs w:val="21"/>
                <w:highlight w:val="none"/>
              </w:rPr>
              <w:t>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wordWrap/>
              <w:snapToGrid/>
              <w:spacing w:line="40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6</w:t>
            </w:r>
          </w:p>
        </w:tc>
        <w:tc>
          <w:tcPr>
            <w:tcW w:w="1856" w:type="dxa"/>
            <w:vMerge w:val="restart"/>
            <w:tcBorders>
              <w:top w:val="single" w:color="auto" w:sz="4" w:space="0"/>
              <w:left w:val="single" w:color="auto" w:sz="4" w:space="0"/>
              <w:right w:val="single" w:color="auto" w:sz="4" w:space="0"/>
            </w:tcBorders>
            <w:vAlign w:val="center"/>
          </w:tcPr>
          <w:p>
            <w:pPr>
              <w:widowControl/>
              <w:wordWrap/>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297"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473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2297" w:type="dxa"/>
            <w:gridSpan w:val="2"/>
            <w:vMerge w:val="restart"/>
            <w:tcBorders>
              <w:top w:val="single" w:color="auto" w:sz="4" w:space="0"/>
              <w:left w:val="single" w:color="auto" w:sz="4" w:space="0"/>
              <w:right w:val="single" w:color="auto" w:sz="4" w:space="0"/>
            </w:tcBorders>
            <w:vAlign w:val="center"/>
          </w:tcPr>
          <w:p>
            <w:pPr>
              <w:wordWrap/>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4739"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2297" w:type="dxa"/>
            <w:gridSpan w:val="2"/>
            <w:vMerge w:val="continue"/>
            <w:tcBorders>
              <w:left w:val="single" w:color="auto" w:sz="4" w:space="0"/>
              <w:bottom w:val="single" w:color="auto" w:sz="4" w:space="0"/>
              <w:right w:val="single" w:color="auto" w:sz="4" w:space="0"/>
            </w:tcBorders>
            <w:vAlign w:val="center"/>
          </w:tcPr>
          <w:p>
            <w:pPr>
              <w:wordWrap/>
              <w:snapToGrid/>
              <w:spacing w:line="400" w:lineRule="exact"/>
              <w:rPr>
                <w:rFonts w:hint="eastAsia" w:ascii="宋体" w:hAnsi="宋体"/>
                <w:color w:val="000000" w:themeColor="text1"/>
                <w:szCs w:val="21"/>
                <w:highlight w:val="none"/>
              </w:rPr>
            </w:pPr>
          </w:p>
        </w:tc>
        <w:tc>
          <w:tcPr>
            <w:tcW w:w="4739"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rPr>
          <w:rFonts w:hint="eastAsia"/>
          <w:color w:val="000000" w:themeColor="text1"/>
          <w:sz w:val="24"/>
          <w:highlight w:val="none"/>
        </w:rPr>
      </w:pPr>
      <w:bookmarkStart w:id="160" w:name="_Hlt21938668"/>
      <w:bookmarkEnd w:id="160"/>
      <w:bookmarkStart w:id="161" w:name="_Hlt21938665"/>
      <w:bookmarkEnd w:id="161"/>
      <w:bookmarkStart w:id="162" w:name="_Toc331512866"/>
      <w:bookmarkStart w:id="163" w:name="_Toc337632326"/>
      <w:bookmarkStart w:id="164" w:name="_Toc350438717"/>
      <w:bookmarkStart w:id="165" w:name="_Toc333935655"/>
      <w:bookmarkStart w:id="166" w:name="_Toc333237645"/>
      <w:bookmarkStart w:id="167" w:name="_Toc333935314"/>
      <w:bookmarkStart w:id="168" w:name="_Toc331684006"/>
      <w:bookmarkStart w:id="169" w:name="_Toc349143557"/>
      <w:bookmarkStart w:id="170" w:name="_Toc349127594"/>
      <w:bookmarkStart w:id="171" w:name="_Toc365985147"/>
      <w:bookmarkStart w:id="172" w:name="_Toc345513835"/>
      <w:bookmarkStart w:id="173" w:name="_Toc342060342"/>
      <w:bookmarkStart w:id="174" w:name="_Toc333237756"/>
      <w:bookmarkStart w:id="175" w:name="_Toc339019983"/>
      <w:bookmarkStart w:id="176" w:name="_Toc336681903"/>
      <w:bookmarkStart w:id="177" w:name="_Toc365967041"/>
      <w:bookmarkStart w:id="178" w:name="_Toc339020201"/>
      <w:bookmarkStart w:id="179" w:name="_Toc339441055"/>
      <w:bookmarkStart w:id="180" w:name="_Toc342296728"/>
      <w:bookmarkStart w:id="181" w:name="_Toc366072496"/>
      <w:bookmarkStart w:id="182" w:name="_Toc330459953"/>
      <w:bookmarkStart w:id="183" w:name="_Toc340507410"/>
      <w:bookmarkStart w:id="184" w:name="_Toc339362268"/>
      <w:bookmarkStart w:id="185" w:name="_Toc332206676"/>
      <w:bookmarkStart w:id="186" w:name="_Toc333238601"/>
      <w:bookmarkStart w:id="187" w:name="_Toc332270314"/>
      <w:bookmarkStart w:id="188" w:name="_Toc350756418"/>
      <w:bookmarkStart w:id="189" w:name="_Toc340672837"/>
      <w:bookmarkStart w:id="190" w:name="_Toc339020063"/>
      <w:bookmarkStart w:id="191" w:name="_Toc341348306"/>
      <w:bookmarkStart w:id="192" w:name="_Toc497224194"/>
      <w:bookmarkStart w:id="193" w:name="_Toc340677038"/>
      <w:bookmarkStart w:id="194" w:name="_Toc339019857"/>
      <w:bookmarkStart w:id="195" w:name="_Toc336681548"/>
      <w:bookmarkStart w:id="196" w:name="_Toc503785396"/>
      <w:r>
        <w:rPr>
          <w:rFonts w:hint="eastAsia"/>
          <w:color w:val="000000" w:themeColor="text1"/>
          <w:sz w:val="24"/>
          <w:highlight w:val="none"/>
        </w:rPr>
        <w:br w:type="page"/>
      </w:r>
    </w:p>
    <w:p>
      <w:pPr>
        <w:pStyle w:val="4"/>
        <w:numPr>
          <w:ilvl w:val="1"/>
          <w:numId w:val="0"/>
        </w:numPr>
        <w:rPr>
          <w:color w:val="000000" w:themeColor="text1"/>
          <w:sz w:val="24"/>
          <w:highlight w:val="none"/>
        </w:rPr>
      </w:pPr>
      <w:bookmarkStart w:id="197" w:name="_Toc30048"/>
      <w:r>
        <w:rPr>
          <w:rFonts w:hint="eastAsia"/>
          <w:color w:val="000000" w:themeColor="text1"/>
          <w:sz w:val="24"/>
          <w:highlight w:val="none"/>
        </w:rPr>
        <w:t>Ａ说明</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6"/>
        <w:numPr>
          <w:ilvl w:val="4"/>
          <w:numId w:val="25"/>
        </w:numPr>
        <w:tabs>
          <w:tab w:val="left" w:pos="720"/>
        </w:tabs>
        <w:spacing w:before="240" w:after="120"/>
        <w:ind w:left="2432" w:hanging="2432"/>
        <w:rPr>
          <w:color w:val="000000" w:themeColor="text1"/>
          <w:highlight w:val="none"/>
        </w:rPr>
      </w:pPr>
      <w:bookmarkStart w:id="198" w:name="_Toc503785397"/>
      <w:bookmarkStart w:id="199" w:name="_Toc497224195"/>
      <w:bookmarkStart w:id="200" w:name="_Toc1098"/>
      <w:bookmarkStart w:id="201" w:name="_Toc349127595"/>
      <w:bookmarkStart w:id="202" w:name="_Toc340672838"/>
      <w:bookmarkStart w:id="203" w:name="_Toc366072497"/>
      <w:bookmarkStart w:id="204" w:name="_Toc365967042"/>
      <w:bookmarkStart w:id="205" w:name="_Toc336681549"/>
      <w:bookmarkStart w:id="206" w:name="_Toc340507411"/>
      <w:bookmarkStart w:id="207" w:name="_Toc332206677"/>
      <w:bookmarkStart w:id="208" w:name="_Toc330459954"/>
      <w:bookmarkStart w:id="209" w:name="_Toc341348307"/>
      <w:bookmarkStart w:id="210" w:name="_Toc345513836"/>
      <w:bookmarkStart w:id="211" w:name="_Toc333935315"/>
      <w:bookmarkStart w:id="212" w:name="_Toc331684007"/>
      <w:bookmarkStart w:id="213" w:name="_Toc333237757"/>
      <w:bookmarkStart w:id="214" w:name="_Toc332270315"/>
      <w:bookmarkStart w:id="215" w:name="_Toc333237646"/>
      <w:bookmarkStart w:id="216" w:name="_Toc339020202"/>
      <w:bookmarkStart w:id="217" w:name="_Toc339362269"/>
      <w:bookmarkStart w:id="218" w:name="_Toc339019858"/>
      <w:bookmarkStart w:id="219" w:name="_Toc350438718"/>
      <w:bookmarkStart w:id="220" w:name="_Toc342060343"/>
      <w:bookmarkStart w:id="221" w:name="_Toc349143558"/>
      <w:bookmarkStart w:id="222" w:name="_Toc333238602"/>
      <w:bookmarkStart w:id="223" w:name="_Toc336681904"/>
      <w:bookmarkStart w:id="224" w:name="_Toc339441056"/>
      <w:bookmarkStart w:id="225" w:name="_Toc331512867"/>
      <w:bookmarkStart w:id="226" w:name="_Toc339020064"/>
      <w:bookmarkStart w:id="227" w:name="_Toc365985148"/>
      <w:bookmarkStart w:id="228" w:name="_Toc337632327"/>
      <w:bookmarkStart w:id="229" w:name="_Toc340677039"/>
      <w:bookmarkStart w:id="230" w:name="_Toc350756419"/>
      <w:bookmarkStart w:id="231" w:name="_Toc342296729"/>
      <w:bookmarkStart w:id="232" w:name="_Toc339019984"/>
      <w:bookmarkStart w:id="233" w:name="_Toc333935656"/>
      <w:r>
        <w:rPr>
          <w:rFonts w:hint="eastAsia"/>
          <w:color w:val="000000" w:themeColor="text1"/>
          <w:highlight w:val="none"/>
        </w:rPr>
        <w:t>适用范围</w:t>
      </w:r>
      <w:bookmarkEnd w:id="198"/>
      <w:bookmarkEnd w:id="199"/>
      <w:r>
        <w:rPr>
          <w:rFonts w:hint="eastAsia"/>
          <w:color w:val="000000" w:themeColor="text1"/>
          <w:highlight w:val="none"/>
        </w:rPr>
        <w:t>和资金来源</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34" w:name="_Toc503785398"/>
      <w:bookmarkStart w:id="235" w:name="_Toc349143559"/>
      <w:bookmarkStart w:id="236" w:name="_Toc331684008"/>
      <w:bookmarkStart w:id="237" w:name="_Toc332270316"/>
      <w:bookmarkStart w:id="238" w:name="_Toc366072498"/>
      <w:bookmarkStart w:id="239" w:name="_Toc350438719"/>
      <w:bookmarkStart w:id="240" w:name="_Toc336681550"/>
      <w:bookmarkStart w:id="241" w:name="_Toc340507412"/>
      <w:bookmarkStart w:id="242" w:name="_Toc342296730"/>
      <w:bookmarkStart w:id="243" w:name="_Toc341348308"/>
      <w:bookmarkStart w:id="244" w:name="_Toc340672839"/>
      <w:bookmarkStart w:id="245" w:name="_Toc332206678"/>
      <w:bookmarkStart w:id="246" w:name="_Toc350756420"/>
      <w:bookmarkStart w:id="247" w:name="_Toc333237758"/>
      <w:bookmarkStart w:id="248" w:name="_Toc331512868"/>
      <w:bookmarkStart w:id="249" w:name="_Toc339019985"/>
      <w:bookmarkStart w:id="250" w:name="_Toc365985149"/>
      <w:bookmarkStart w:id="251" w:name="_Toc339441057"/>
      <w:bookmarkStart w:id="252" w:name="_Toc339019859"/>
      <w:bookmarkStart w:id="253" w:name="_Toc333237647"/>
      <w:bookmarkStart w:id="254" w:name="_Toc365967043"/>
      <w:bookmarkStart w:id="255" w:name="_Toc497224196"/>
      <w:bookmarkStart w:id="256" w:name="_Toc336681905"/>
      <w:bookmarkStart w:id="257" w:name="_Toc349127596"/>
      <w:bookmarkStart w:id="258" w:name="_Toc342060344"/>
      <w:bookmarkStart w:id="259" w:name="_Toc345513837"/>
      <w:bookmarkStart w:id="260" w:name="_Toc339020065"/>
      <w:bookmarkStart w:id="261" w:name="_Toc339362270"/>
      <w:bookmarkStart w:id="262" w:name="_Toc330459955"/>
      <w:bookmarkStart w:id="263" w:name="_Toc333238603"/>
      <w:bookmarkStart w:id="264" w:name="_Toc337632328"/>
      <w:bookmarkStart w:id="265" w:name="_Toc340677040"/>
      <w:bookmarkStart w:id="266" w:name="_Toc339020203"/>
      <w:bookmarkStart w:id="267" w:name="_Toc333935657"/>
      <w:bookmarkStart w:id="268" w:name="_Toc333935316"/>
      <w:bookmarkStart w:id="269" w:name="_Toc374454571"/>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70" w:name="_Toc28647"/>
      <w:r>
        <w:rPr>
          <w:rFonts w:hint="eastAsia"/>
          <w:color w:val="000000" w:themeColor="text1"/>
          <w:highlight w:val="none"/>
        </w:rPr>
        <w:t>定义</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国家税务总局阳西县税务局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71" w:name="_Toc497224197"/>
      <w:bookmarkStart w:id="272" w:name="_Toc503785399"/>
      <w:bookmarkStart w:id="273" w:name="_Toc340507413"/>
      <w:bookmarkStart w:id="274" w:name="_Toc333238604"/>
      <w:bookmarkStart w:id="275" w:name="_Toc333935317"/>
      <w:bookmarkStart w:id="276" w:name="_Toc333237648"/>
      <w:bookmarkStart w:id="277" w:name="_Toc339020066"/>
      <w:bookmarkStart w:id="278" w:name="_Toc349127597"/>
      <w:bookmarkStart w:id="279" w:name="_Toc339020204"/>
      <w:bookmarkStart w:id="280" w:name="_Toc339362271"/>
      <w:bookmarkStart w:id="281" w:name="_Toc350438720"/>
      <w:bookmarkStart w:id="282" w:name="_Toc8756"/>
      <w:bookmarkStart w:id="283" w:name="_Toc333237759"/>
      <w:bookmarkStart w:id="284" w:name="_Toc333935658"/>
      <w:bookmarkStart w:id="285" w:name="_Toc339441058"/>
      <w:bookmarkStart w:id="286" w:name="_Toc342060345"/>
      <w:bookmarkStart w:id="287" w:name="_Toc365967044"/>
      <w:bookmarkStart w:id="288" w:name="_Toc339019986"/>
      <w:bookmarkStart w:id="289" w:name="_Toc337632329"/>
      <w:bookmarkStart w:id="290" w:name="_Toc366072499"/>
      <w:bookmarkStart w:id="291" w:name="_Toc331684009"/>
      <w:bookmarkStart w:id="292" w:name="_Toc330459956"/>
      <w:bookmarkStart w:id="293" w:name="_Toc365985150"/>
      <w:bookmarkStart w:id="294" w:name="_Toc374454572"/>
      <w:bookmarkStart w:id="295" w:name="_Toc342296731"/>
      <w:bookmarkStart w:id="296" w:name="_Toc332206679"/>
      <w:bookmarkStart w:id="297" w:name="_Toc340672840"/>
      <w:bookmarkStart w:id="298" w:name="_Toc336681906"/>
      <w:bookmarkStart w:id="299" w:name="_Toc340677041"/>
      <w:bookmarkStart w:id="300" w:name="_Toc339019860"/>
      <w:bookmarkStart w:id="301" w:name="_Toc331512869"/>
      <w:bookmarkStart w:id="302" w:name="_Toc336681551"/>
      <w:bookmarkStart w:id="303" w:name="_Toc350756421"/>
      <w:bookmarkStart w:id="304" w:name="_Toc345513838"/>
      <w:bookmarkStart w:id="305" w:name="_Toc341348309"/>
      <w:bookmarkStart w:id="306" w:name="_Toc349143560"/>
      <w:bookmarkStart w:id="307" w:name="_Toc332270317"/>
      <w:r>
        <w:rPr>
          <w:rFonts w:hint="eastAsia"/>
          <w:color w:val="000000" w:themeColor="text1"/>
          <w:highlight w:val="none"/>
        </w:rPr>
        <w:t>合格的</w:t>
      </w:r>
      <w:bookmarkEnd w:id="271"/>
      <w:bookmarkEnd w:id="272"/>
      <w:r>
        <w:rPr>
          <w:rFonts w:hint="eastAsia"/>
          <w:color w:val="000000" w:themeColor="text1"/>
          <w:highlight w:val="none"/>
        </w:rPr>
        <w:t>投标人</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bCs/>
          <w:color w:val="000000" w:themeColor="text1"/>
          <w:szCs w:val="2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w:t>
      </w:r>
      <w:r>
        <w:rPr>
          <w:rFonts w:hint="eastAsia"/>
          <w:bCs/>
          <w:color w:val="000000" w:themeColor="text1"/>
          <w:szCs w:val="21"/>
          <w:highlight w:val="none"/>
          <w:lang w:eastAsia="zh-CN"/>
        </w:rPr>
        <w:t>中小</w:t>
      </w:r>
      <w:r>
        <w:rPr>
          <w:bCs/>
          <w:color w:val="000000" w:themeColor="text1"/>
          <w:szCs w:val="21"/>
          <w:highlight w:val="none"/>
        </w:rPr>
        <w:t>企业采购的项目，只能由</w:t>
      </w:r>
      <w:r>
        <w:rPr>
          <w:rFonts w:hint="eastAsia"/>
          <w:bCs/>
          <w:color w:val="000000" w:themeColor="text1"/>
          <w:szCs w:val="21"/>
          <w:highlight w:val="none"/>
          <w:lang w:eastAsia="zh-CN"/>
        </w:rPr>
        <w:t>中型、</w:t>
      </w:r>
      <w:r>
        <w:rPr>
          <w:bCs/>
          <w:color w:val="000000" w:themeColor="text1"/>
          <w:szCs w:val="21"/>
          <w:highlight w:val="none"/>
        </w:rPr>
        <w:t>小</w:t>
      </w:r>
      <w:r>
        <w:rPr>
          <w:rFonts w:hint="eastAsia"/>
          <w:bCs/>
          <w:color w:val="000000" w:themeColor="text1"/>
          <w:szCs w:val="21"/>
          <w:highlight w:val="none"/>
          <w:lang w:eastAsia="zh-CN"/>
        </w:rPr>
        <w:t>型</w:t>
      </w:r>
      <w:r>
        <w:rPr>
          <w:bCs/>
          <w:color w:val="000000" w:themeColor="text1"/>
          <w:szCs w:val="21"/>
          <w:highlight w:val="none"/>
        </w:rPr>
        <w:t>或微型企业参加。</w:t>
      </w:r>
    </w:p>
    <w:p>
      <w:pPr>
        <w:pStyle w:val="2"/>
        <w:rPr>
          <w:color w:val="000000" w:themeColor="text1"/>
          <w:highlight w:val="none"/>
        </w:rPr>
      </w:pPr>
    </w:p>
    <w:p>
      <w:pPr>
        <w:pStyle w:val="6"/>
        <w:numPr>
          <w:ilvl w:val="4"/>
          <w:numId w:val="25"/>
        </w:numPr>
        <w:tabs>
          <w:tab w:val="left" w:pos="720"/>
        </w:tabs>
        <w:spacing w:before="240" w:after="120"/>
        <w:ind w:left="2432" w:hanging="2432"/>
        <w:rPr>
          <w:color w:val="000000" w:themeColor="text1"/>
          <w:highlight w:val="none"/>
        </w:rPr>
      </w:pPr>
      <w:bookmarkStart w:id="308" w:name="_Toc340507414"/>
      <w:bookmarkStart w:id="309" w:name="_Toc333237649"/>
      <w:bookmarkStart w:id="310" w:name="_Toc339441059"/>
      <w:bookmarkStart w:id="311" w:name="_Toc331684010"/>
      <w:bookmarkStart w:id="312" w:name="_Toc339362272"/>
      <w:bookmarkStart w:id="313" w:name="_Toc366072500"/>
      <w:bookmarkStart w:id="314" w:name="_Toc330459957"/>
      <w:bookmarkStart w:id="315" w:name="_Toc339020067"/>
      <w:bookmarkStart w:id="316" w:name="_Toc12627"/>
      <w:bookmarkStart w:id="317" w:name="_Toc332270318"/>
      <w:bookmarkStart w:id="318" w:name="_Toc340672841"/>
      <w:bookmarkStart w:id="319" w:name="_Toc503785400"/>
      <w:bookmarkStart w:id="320" w:name="_Toc497224198"/>
      <w:bookmarkStart w:id="321" w:name="_Toc350438721"/>
      <w:bookmarkStart w:id="322" w:name="_Toc345513839"/>
      <w:bookmarkStart w:id="323" w:name="_Toc349143561"/>
      <w:bookmarkStart w:id="324" w:name="_Toc336681552"/>
      <w:bookmarkStart w:id="325" w:name="_Toc331512870"/>
      <w:bookmarkStart w:id="326" w:name="_Toc333237760"/>
      <w:bookmarkStart w:id="327" w:name="_Toc374454573"/>
      <w:bookmarkStart w:id="328" w:name="_Toc341348310"/>
      <w:bookmarkStart w:id="329" w:name="_Toc342296732"/>
      <w:bookmarkStart w:id="330" w:name="_Toc365967045"/>
      <w:bookmarkStart w:id="331" w:name="_Toc349127598"/>
      <w:bookmarkStart w:id="332" w:name="_Toc339020205"/>
      <w:bookmarkStart w:id="333" w:name="_Toc333238605"/>
      <w:bookmarkStart w:id="334" w:name="_Toc339019861"/>
      <w:bookmarkStart w:id="335" w:name="_Toc333935659"/>
      <w:bookmarkStart w:id="336" w:name="_Toc339019987"/>
      <w:bookmarkStart w:id="337" w:name="_Toc336681907"/>
      <w:bookmarkStart w:id="338" w:name="_Toc332206680"/>
      <w:bookmarkStart w:id="339" w:name="_Toc337632330"/>
      <w:bookmarkStart w:id="340" w:name="_Toc350756422"/>
      <w:bookmarkStart w:id="341" w:name="_Toc340677042"/>
      <w:bookmarkStart w:id="342" w:name="_Toc365985151"/>
      <w:bookmarkStart w:id="343" w:name="_Toc333935318"/>
      <w:bookmarkStart w:id="344" w:name="_Toc342060346"/>
      <w:r>
        <w:rPr>
          <w:rFonts w:hint="eastAsia"/>
          <w:color w:val="000000" w:themeColor="text1"/>
          <w:highlight w:val="none"/>
        </w:rPr>
        <w:t>投标费用</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45" w:name="_Toc339441060"/>
      <w:bookmarkStart w:id="346" w:name="_Toc333238606"/>
      <w:bookmarkStart w:id="347" w:name="_Toc333935319"/>
      <w:bookmarkStart w:id="348" w:name="_Toc332270319"/>
      <w:bookmarkStart w:id="349" w:name="_Toc341348311"/>
      <w:bookmarkStart w:id="350" w:name="_Toc339019988"/>
      <w:bookmarkStart w:id="351" w:name="_Toc365985152"/>
      <w:bookmarkStart w:id="352" w:name="_Toc350438722"/>
      <w:bookmarkStart w:id="353" w:name="_Toc339020068"/>
      <w:bookmarkStart w:id="354" w:name="_Toc330459958"/>
      <w:bookmarkStart w:id="355" w:name="_Toc497224199"/>
      <w:bookmarkStart w:id="356" w:name="_Toc349143562"/>
      <w:bookmarkStart w:id="357" w:name="_Toc365967046"/>
      <w:bookmarkStart w:id="358" w:name="_Toc339020206"/>
      <w:bookmarkStart w:id="359" w:name="_Toc333237650"/>
      <w:bookmarkStart w:id="360" w:name="_Toc350756423"/>
      <w:bookmarkStart w:id="361" w:name="_Toc342060347"/>
      <w:bookmarkStart w:id="362" w:name="_Toc336681908"/>
      <w:bookmarkStart w:id="363" w:name="_Toc331512871"/>
      <w:bookmarkStart w:id="364" w:name="_Toc333237761"/>
      <w:bookmarkStart w:id="365" w:name="_Toc342296733"/>
      <w:bookmarkStart w:id="366" w:name="_Toc339019862"/>
      <w:bookmarkStart w:id="367" w:name="_Toc332206681"/>
      <w:bookmarkStart w:id="368" w:name="_Toc336681553"/>
      <w:bookmarkStart w:id="369" w:name="_Toc345513840"/>
      <w:bookmarkStart w:id="370" w:name="_Toc340507415"/>
      <w:bookmarkStart w:id="371" w:name="_Toc340672842"/>
      <w:bookmarkStart w:id="372" w:name="_Toc337632331"/>
      <w:bookmarkStart w:id="373" w:name="_Toc366072501"/>
      <w:bookmarkStart w:id="374" w:name="_Toc340677043"/>
      <w:bookmarkStart w:id="375" w:name="_Toc374454574"/>
      <w:bookmarkStart w:id="376" w:name="_Toc503785401"/>
      <w:bookmarkStart w:id="377" w:name="_Toc331684011"/>
      <w:bookmarkStart w:id="378" w:name="_Toc349127599"/>
      <w:bookmarkStart w:id="379" w:name="_Toc333935660"/>
      <w:bookmarkStart w:id="380" w:name="_Toc339362273"/>
    </w:p>
    <w:p>
      <w:pPr>
        <w:pStyle w:val="4"/>
        <w:numPr>
          <w:ilvl w:val="1"/>
          <w:numId w:val="0"/>
        </w:numPr>
        <w:rPr>
          <w:color w:val="000000" w:themeColor="text1"/>
          <w:sz w:val="24"/>
          <w:highlight w:val="none"/>
        </w:rPr>
      </w:pPr>
      <w:bookmarkStart w:id="381" w:name="_Toc16781"/>
      <w:r>
        <w:rPr>
          <w:rFonts w:hint="eastAsia"/>
          <w:color w:val="000000" w:themeColor="text1"/>
          <w:sz w:val="24"/>
          <w:highlight w:val="none"/>
        </w:rPr>
        <w:t>Ｂ招标文件说明</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pStyle w:val="6"/>
        <w:numPr>
          <w:ilvl w:val="4"/>
          <w:numId w:val="25"/>
        </w:numPr>
        <w:tabs>
          <w:tab w:val="left" w:pos="720"/>
        </w:tabs>
        <w:spacing w:before="240" w:after="120"/>
        <w:ind w:left="2432" w:hanging="2432"/>
        <w:rPr>
          <w:color w:val="000000" w:themeColor="text1"/>
          <w:highlight w:val="none"/>
        </w:rPr>
      </w:pPr>
      <w:bookmarkStart w:id="382" w:name="_Toc340507416"/>
      <w:bookmarkStart w:id="383" w:name="_Toc333238607"/>
      <w:bookmarkStart w:id="384" w:name="_Toc342060348"/>
      <w:bookmarkStart w:id="385" w:name="_Toc503785402"/>
      <w:bookmarkStart w:id="386" w:name="_Toc332206682"/>
      <w:bookmarkStart w:id="387" w:name="_Toc350756424"/>
      <w:bookmarkStart w:id="388" w:name="_Toc339020207"/>
      <w:bookmarkStart w:id="389" w:name="_Toc345513841"/>
      <w:bookmarkStart w:id="390" w:name="_Toc365985153"/>
      <w:bookmarkStart w:id="391" w:name="_Toc340672843"/>
      <w:bookmarkStart w:id="392" w:name="_Toc339019989"/>
      <w:bookmarkStart w:id="393" w:name="_Toc333237651"/>
      <w:bookmarkStart w:id="394" w:name="_Toc339019863"/>
      <w:bookmarkStart w:id="395" w:name="_Toc497224200"/>
      <w:bookmarkStart w:id="396" w:name="_Toc333237762"/>
      <w:bookmarkStart w:id="397" w:name="_Toc366072502"/>
      <w:bookmarkStart w:id="398" w:name="_Toc350438723"/>
      <w:bookmarkStart w:id="399" w:name="_Toc331512872"/>
      <w:bookmarkStart w:id="400" w:name="_Toc339362274"/>
      <w:bookmarkStart w:id="401" w:name="_Toc333935661"/>
      <w:bookmarkStart w:id="402" w:name="_Toc2313"/>
      <w:bookmarkStart w:id="403" w:name="_Toc365967047"/>
      <w:bookmarkStart w:id="404" w:name="_Toc339020069"/>
      <w:bookmarkStart w:id="405" w:name="_Toc341348312"/>
      <w:bookmarkStart w:id="406" w:name="_Toc340677044"/>
      <w:bookmarkStart w:id="407" w:name="_Toc349143563"/>
      <w:bookmarkStart w:id="408" w:name="_Toc331684012"/>
      <w:bookmarkStart w:id="409" w:name="_Toc349127600"/>
      <w:bookmarkStart w:id="410" w:name="_Toc337632332"/>
      <w:bookmarkStart w:id="411" w:name="_Toc336681554"/>
      <w:bookmarkStart w:id="412" w:name="_Toc342296734"/>
      <w:bookmarkStart w:id="413" w:name="_Toc332270320"/>
      <w:bookmarkStart w:id="414" w:name="_Toc333935320"/>
      <w:bookmarkStart w:id="415" w:name="_Toc339441061"/>
      <w:bookmarkStart w:id="416" w:name="_Toc336681909"/>
      <w:bookmarkStart w:id="417" w:name="_Toc330459959"/>
      <w:bookmarkStart w:id="418" w:name="_Toc374454575"/>
      <w:r>
        <w:rPr>
          <w:rFonts w:hint="eastAsia"/>
          <w:color w:val="000000" w:themeColor="text1"/>
          <w:highlight w:val="none"/>
        </w:rPr>
        <w:t>招标文件的构成</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419" w:name="_Toc350756425"/>
      <w:bookmarkStart w:id="420" w:name="_Toc340672844"/>
      <w:bookmarkStart w:id="421" w:name="_Toc332206683"/>
      <w:bookmarkStart w:id="422" w:name="_Toc333237652"/>
      <w:bookmarkStart w:id="423" w:name="_Toc339362275"/>
      <w:bookmarkStart w:id="424" w:name="_Toc339019990"/>
      <w:bookmarkStart w:id="425" w:name="_Toc333238608"/>
      <w:bookmarkStart w:id="426" w:name="_Toc365985154"/>
      <w:bookmarkStart w:id="427" w:name="_Toc350438724"/>
      <w:bookmarkStart w:id="428" w:name="_Toc337632333"/>
      <w:bookmarkStart w:id="429" w:name="_Toc333935662"/>
      <w:bookmarkStart w:id="430" w:name="_Toc341348313"/>
      <w:bookmarkStart w:id="431" w:name="_Toc336681555"/>
      <w:bookmarkStart w:id="432" w:name="_Toc349127601"/>
      <w:bookmarkStart w:id="433" w:name="_Toc331512873"/>
      <w:bookmarkStart w:id="434" w:name="_Toc342296735"/>
      <w:bookmarkStart w:id="435" w:name="_Toc339020070"/>
      <w:bookmarkStart w:id="436" w:name="_Toc503785403"/>
      <w:bookmarkStart w:id="437" w:name="_Toc332270321"/>
      <w:bookmarkStart w:id="438" w:name="_Toc370388389"/>
      <w:bookmarkStart w:id="439" w:name="_Toc333237763"/>
      <w:bookmarkStart w:id="440" w:name="_Toc340677045"/>
      <w:bookmarkStart w:id="441" w:name="_Toc336681910"/>
      <w:bookmarkStart w:id="442" w:name="_Toc339441062"/>
      <w:bookmarkStart w:id="443" w:name="_Toc339019864"/>
      <w:bookmarkStart w:id="444" w:name="_Toc342060349"/>
      <w:bookmarkStart w:id="445" w:name="_Toc339020208"/>
      <w:bookmarkStart w:id="446" w:name="_Toc333935321"/>
      <w:bookmarkStart w:id="447" w:name="_Toc349143564"/>
      <w:bookmarkStart w:id="448" w:name="_Toc497224201"/>
      <w:bookmarkStart w:id="449" w:name="_Toc331684013"/>
      <w:bookmarkStart w:id="450" w:name="_Toc340507417"/>
      <w:bookmarkStart w:id="451" w:name="_Toc365967048"/>
      <w:bookmarkStart w:id="452" w:name="_Toc345513842"/>
      <w:bookmarkStart w:id="453" w:name="_Toc330459960"/>
      <w:bookmarkStart w:id="454" w:name="_Toc374454576"/>
      <w:bookmarkStart w:id="455" w:name="_Toc30538"/>
      <w:bookmarkStart w:id="456" w:name="_Toc497224203"/>
      <w:bookmarkStart w:id="457" w:name="_Toc503785405"/>
      <w:bookmarkStart w:id="458" w:name="_Toc365985156"/>
      <w:bookmarkStart w:id="459" w:name="_Toc339441064"/>
      <w:bookmarkStart w:id="460" w:name="_Toc350438726"/>
      <w:bookmarkStart w:id="461" w:name="_Toc333237654"/>
      <w:bookmarkStart w:id="462" w:name="_Toc366072505"/>
      <w:bookmarkStart w:id="463" w:name="_Toc349143566"/>
      <w:bookmarkStart w:id="464" w:name="_Toc339020210"/>
      <w:bookmarkStart w:id="465" w:name="_Toc340507419"/>
      <w:bookmarkStart w:id="466" w:name="_Toc333237765"/>
      <w:bookmarkStart w:id="467" w:name="_Toc342296737"/>
      <w:bookmarkStart w:id="468" w:name="_Toc339019866"/>
      <w:bookmarkStart w:id="469" w:name="_Toc339020072"/>
      <w:bookmarkStart w:id="470" w:name="_Toc341348315"/>
      <w:bookmarkStart w:id="471" w:name="_Toc340677047"/>
      <w:bookmarkStart w:id="472" w:name="_Toc340672846"/>
      <w:bookmarkStart w:id="473" w:name="_Toc333238610"/>
      <w:bookmarkStart w:id="474" w:name="_Toc345513844"/>
      <w:bookmarkStart w:id="475" w:name="_Toc336681557"/>
      <w:bookmarkStart w:id="476" w:name="_Toc350756427"/>
      <w:bookmarkStart w:id="477" w:name="_Toc331512875"/>
      <w:bookmarkStart w:id="478" w:name="_Toc365967050"/>
      <w:bookmarkStart w:id="479" w:name="_Toc331684015"/>
      <w:bookmarkStart w:id="480" w:name="_Toc332206685"/>
      <w:bookmarkStart w:id="481" w:name="_Toc330459962"/>
      <w:bookmarkStart w:id="482" w:name="_Toc333935664"/>
      <w:bookmarkStart w:id="483" w:name="_Toc339019992"/>
      <w:bookmarkStart w:id="484" w:name="_Toc336681912"/>
      <w:bookmarkStart w:id="485" w:name="_Toc333935323"/>
      <w:bookmarkStart w:id="486" w:name="_Toc349127603"/>
      <w:bookmarkStart w:id="487" w:name="_Toc332270323"/>
      <w:bookmarkStart w:id="488" w:name="_Toc339362277"/>
      <w:bookmarkStart w:id="489" w:name="_Toc337632335"/>
      <w:bookmarkStart w:id="490" w:name="_Toc342060351"/>
      <w:r>
        <w:rPr>
          <w:rFonts w:hint="eastAsia"/>
          <w:color w:val="000000" w:themeColor="text1"/>
          <w:highlight w:val="none"/>
        </w:rPr>
        <w:t>招标文件的澄清</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color w:val="000000" w:themeColor="text1"/>
          <w:highlight w:val="none"/>
        </w:rPr>
        <w:t>、修改</w:t>
      </w:r>
      <w:bookmarkEnd w:id="454"/>
      <w:bookmarkEnd w:id="45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1"/>
          <w:numId w:val="0"/>
        </w:numPr>
        <w:rPr>
          <w:color w:val="000000" w:themeColor="text1"/>
          <w:sz w:val="24"/>
          <w:highlight w:val="none"/>
        </w:rPr>
      </w:pPr>
      <w:bookmarkStart w:id="491" w:name="_Toc374454577"/>
      <w:r>
        <w:rPr>
          <w:color w:val="000000" w:themeColor="text1"/>
          <w:sz w:val="24"/>
          <w:highlight w:val="none"/>
        </w:rPr>
        <w:br w:type="page"/>
      </w:r>
      <w:bookmarkStart w:id="492" w:name="_Toc5853"/>
      <w:r>
        <w:rPr>
          <w:rFonts w:hint="eastAsia"/>
          <w:color w:val="000000" w:themeColor="text1"/>
          <w:sz w:val="24"/>
          <w:highlight w:val="none"/>
        </w:rPr>
        <w:t>Ｃ投标文件的编</w:t>
      </w:r>
      <w:bookmarkEnd w:id="456"/>
      <w:bookmarkEnd w:id="457"/>
      <w:r>
        <w:rPr>
          <w:rFonts w:hint="eastAsia"/>
          <w:color w:val="000000" w:themeColor="text1"/>
          <w:sz w:val="24"/>
          <w:highlight w:val="none"/>
        </w:rPr>
        <w:t>制</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Style w:val="6"/>
        <w:numPr>
          <w:ilvl w:val="4"/>
          <w:numId w:val="25"/>
        </w:numPr>
        <w:tabs>
          <w:tab w:val="left" w:pos="720"/>
        </w:tabs>
        <w:spacing w:before="240" w:after="120"/>
        <w:ind w:left="2432" w:hanging="2432"/>
        <w:rPr>
          <w:color w:val="000000" w:themeColor="text1"/>
          <w:highlight w:val="none"/>
        </w:rPr>
      </w:pPr>
      <w:bookmarkStart w:id="493" w:name="_Toc336681558"/>
      <w:bookmarkStart w:id="494" w:name="_Toc337632336"/>
      <w:bookmarkStart w:id="495" w:name="_Toc365967051"/>
      <w:bookmarkStart w:id="496" w:name="_Toc332270324"/>
      <w:bookmarkStart w:id="497" w:name="_Toc350756428"/>
      <w:bookmarkStart w:id="498" w:name="_Toc333935665"/>
      <w:bookmarkStart w:id="499" w:name="_Toc339362278"/>
      <w:bookmarkStart w:id="500" w:name="_Toc339019867"/>
      <w:bookmarkStart w:id="501" w:name="_Toc345513845"/>
      <w:bookmarkStart w:id="502" w:name="_Toc341348316"/>
      <w:bookmarkStart w:id="503" w:name="_Toc340672847"/>
      <w:bookmarkStart w:id="504" w:name="_Toc365985157"/>
      <w:bookmarkStart w:id="505" w:name="_Toc333238611"/>
      <w:bookmarkStart w:id="506" w:name="_Toc333935324"/>
      <w:bookmarkStart w:id="507" w:name="_Toc349127604"/>
      <w:bookmarkStart w:id="508" w:name="_Toc497224204"/>
      <w:bookmarkStart w:id="509" w:name="_Toc336681913"/>
      <w:bookmarkStart w:id="510" w:name="_Toc331512876"/>
      <w:bookmarkStart w:id="511" w:name="_Toc350438727"/>
      <w:bookmarkStart w:id="512" w:name="_Toc366072506"/>
      <w:bookmarkStart w:id="513" w:name="_Toc374454578"/>
      <w:bookmarkStart w:id="514" w:name="_Toc330459963"/>
      <w:bookmarkStart w:id="515" w:name="_Toc332206686"/>
      <w:bookmarkStart w:id="516" w:name="_Toc340507420"/>
      <w:bookmarkStart w:id="517" w:name="_Toc339020073"/>
      <w:bookmarkStart w:id="518" w:name="_Toc340677048"/>
      <w:bookmarkStart w:id="519" w:name="_Toc331684016"/>
      <w:bookmarkStart w:id="520" w:name="_Toc4050"/>
      <w:bookmarkStart w:id="521" w:name="_Toc339019993"/>
      <w:bookmarkStart w:id="522" w:name="_Toc503785406"/>
      <w:bookmarkStart w:id="523" w:name="_Toc349143567"/>
      <w:bookmarkStart w:id="524" w:name="_Toc342296738"/>
      <w:bookmarkStart w:id="525" w:name="_Toc339020211"/>
      <w:bookmarkStart w:id="526" w:name="_Toc333237766"/>
      <w:bookmarkStart w:id="527" w:name="_Toc342060352"/>
      <w:bookmarkStart w:id="528" w:name="_Toc333237655"/>
      <w:bookmarkStart w:id="529" w:name="_Toc339441065"/>
      <w:r>
        <w:rPr>
          <w:rFonts w:hint="eastAsia"/>
          <w:color w:val="000000" w:themeColor="text1"/>
          <w:highlight w:val="none"/>
        </w:rPr>
        <w:t>要求</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530" w:name="_Toc366072507"/>
      <w:bookmarkStart w:id="531" w:name="_Toc497224205"/>
      <w:bookmarkStart w:id="532" w:name="_Toc345513846"/>
      <w:bookmarkStart w:id="533" w:name="_Toc341348317"/>
      <w:bookmarkStart w:id="534" w:name="_Toc340507421"/>
      <w:bookmarkStart w:id="535" w:name="_Toc332270325"/>
      <w:bookmarkStart w:id="536" w:name="_Toc332206687"/>
      <w:bookmarkStart w:id="537" w:name="_Toc339020212"/>
      <w:bookmarkStart w:id="538" w:name="_Toc339019994"/>
      <w:bookmarkStart w:id="539" w:name="_Toc331684017"/>
      <w:bookmarkStart w:id="540" w:name="_Toc342060353"/>
      <w:bookmarkStart w:id="541" w:name="_Toc331512877"/>
      <w:bookmarkStart w:id="542" w:name="_Toc350756429"/>
      <w:bookmarkStart w:id="543" w:name="_Toc337632337"/>
      <w:bookmarkStart w:id="544" w:name="_Toc365967052"/>
      <w:bookmarkStart w:id="545" w:name="_Toc333237767"/>
      <w:bookmarkStart w:id="546" w:name="_Toc340672848"/>
      <w:bookmarkStart w:id="547" w:name="_Toc6617"/>
      <w:bookmarkStart w:id="548" w:name="_Toc339020074"/>
      <w:bookmarkStart w:id="549" w:name="_Toc333238612"/>
      <w:bookmarkStart w:id="550" w:name="_Toc339441066"/>
      <w:bookmarkStart w:id="551" w:name="_Toc330459964"/>
      <w:bookmarkStart w:id="552" w:name="_Toc336681559"/>
      <w:bookmarkStart w:id="553" w:name="_Toc333935325"/>
      <w:bookmarkStart w:id="554" w:name="_Toc350438728"/>
      <w:bookmarkStart w:id="555" w:name="_Toc374454579"/>
      <w:bookmarkStart w:id="556" w:name="_Toc336681914"/>
      <w:bookmarkStart w:id="557" w:name="_Toc333237656"/>
      <w:bookmarkStart w:id="558" w:name="_Toc333935666"/>
      <w:bookmarkStart w:id="559" w:name="_Toc349143568"/>
      <w:bookmarkStart w:id="560" w:name="_Toc349127605"/>
      <w:bookmarkStart w:id="561" w:name="_Toc503785407"/>
      <w:bookmarkStart w:id="562" w:name="_Toc339362279"/>
      <w:bookmarkStart w:id="563" w:name="_Toc342296739"/>
      <w:bookmarkStart w:id="564" w:name="_Toc339019868"/>
      <w:bookmarkStart w:id="565" w:name="_Toc340677049"/>
      <w:bookmarkStart w:id="566" w:name="_Toc365985158"/>
      <w:r>
        <w:rPr>
          <w:rFonts w:hint="eastAsia"/>
          <w:color w:val="000000" w:themeColor="text1"/>
          <w:highlight w:val="none"/>
        </w:rPr>
        <w:t>投标语言及计量单位</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567" w:name="_Toc331684018"/>
      <w:bookmarkStart w:id="568" w:name="_Toc333935667"/>
      <w:bookmarkStart w:id="569" w:name="_Toc26946"/>
      <w:bookmarkStart w:id="570" w:name="_Toc339019869"/>
      <w:bookmarkStart w:id="571" w:name="_Toc333237768"/>
      <w:bookmarkStart w:id="572" w:name="_Toc341348318"/>
      <w:bookmarkStart w:id="573" w:name="_Toc340672849"/>
      <w:bookmarkStart w:id="574" w:name="_Toc374454580"/>
      <w:bookmarkStart w:id="575" w:name="_Toc333237657"/>
      <w:bookmarkStart w:id="576" w:name="_Toc332270326"/>
      <w:bookmarkStart w:id="577" w:name="_Toc339441067"/>
      <w:bookmarkStart w:id="578" w:name="_Toc497224206"/>
      <w:bookmarkStart w:id="579" w:name="_Toc342296740"/>
      <w:bookmarkStart w:id="580" w:name="_Toc332206688"/>
      <w:bookmarkStart w:id="581" w:name="_Toc339020075"/>
      <w:bookmarkStart w:id="582" w:name="_Toc331512878"/>
      <w:bookmarkStart w:id="583" w:name="_Toc365985159"/>
      <w:bookmarkStart w:id="584" w:name="_Toc365967053"/>
      <w:bookmarkStart w:id="585" w:name="_Toc340507422"/>
      <w:bookmarkStart w:id="586" w:name="_Toc339019995"/>
      <w:bookmarkStart w:id="587" w:name="_Toc345513847"/>
      <w:bookmarkStart w:id="588" w:name="_Toc350756430"/>
      <w:bookmarkStart w:id="589" w:name="_Toc336681560"/>
      <w:bookmarkStart w:id="590" w:name="_Toc366072508"/>
      <w:bookmarkStart w:id="591" w:name="_Toc349143569"/>
      <w:bookmarkStart w:id="592" w:name="_Toc342060354"/>
      <w:bookmarkStart w:id="593" w:name="_Toc339020213"/>
      <w:bookmarkStart w:id="594" w:name="_Toc339362280"/>
      <w:bookmarkStart w:id="595" w:name="_Toc333935326"/>
      <w:bookmarkStart w:id="596" w:name="_Toc350438729"/>
      <w:bookmarkStart w:id="597" w:name="_Toc349127606"/>
      <w:bookmarkStart w:id="598" w:name="_Toc340677050"/>
      <w:bookmarkStart w:id="599" w:name="_Toc330459965"/>
      <w:bookmarkStart w:id="600" w:name="_Toc503785408"/>
      <w:bookmarkStart w:id="601" w:name="_Toc333238613"/>
      <w:bookmarkStart w:id="602" w:name="_Toc336681915"/>
      <w:bookmarkStart w:id="603" w:name="_Toc337632338"/>
      <w:r>
        <w:rPr>
          <w:rFonts w:hint="eastAsia"/>
          <w:color w:val="000000" w:themeColor="text1"/>
          <w:highlight w:val="none"/>
        </w:rPr>
        <w:t>投标文件的构成</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604" w:name="_Toc497224207"/>
      <w:bookmarkStart w:id="605"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606" w:name="_Toc333237769"/>
      <w:bookmarkStart w:id="607" w:name="_Toc331684019"/>
      <w:bookmarkStart w:id="608" w:name="_Toc339019996"/>
      <w:bookmarkStart w:id="609" w:name="_Toc349143570"/>
      <w:bookmarkStart w:id="610" w:name="_Toc330459966"/>
      <w:bookmarkStart w:id="611" w:name="_Toc342296741"/>
      <w:bookmarkStart w:id="612" w:name="_Toc340507423"/>
      <w:bookmarkStart w:id="613" w:name="_Toc331512879"/>
      <w:bookmarkStart w:id="614" w:name="_Toc333237658"/>
      <w:bookmarkStart w:id="615" w:name="_Toc374454581"/>
      <w:bookmarkStart w:id="616" w:name="_Toc365985160"/>
      <w:bookmarkStart w:id="617" w:name="_Toc3575"/>
      <w:bookmarkStart w:id="618" w:name="_Toc339020214"/>
      <w:bookmarkStart w:id="619" w:name="_Toc333935668"/>
      <w:bookmarkStart w:id="620" w:name="_Toc339019870"/>
      <w:bookmarkStart w:id="621" w:name="_Toc332270327"/>
      <w:bookmarkStart w:id="622" w:name="_Toc339020076"/>
      <w:bookmarkStart w:id="623" w:name="_Toc345513848"/>
      <w:bookmarkStart w:id="624" w:name="_Toc339362281"/>
      <w:bookmarkStart w:id="625" w:name="_Toc336681916"/>
      <w:bookmarkStart w:id="626" w:name="_Toc336681561"/>
      <w:bookmarkStart w:id="627" w:name="_Toc341348319"/>
      <w:bookmarkStart w:id="628" w:name="_Toc337632339"/>
      <w:bookmarkStart w:id="629" w:name="_Toc333935327"/>
      <w:bookmarkStart w:id="630" w:name="_Toc366072509"/>
      <w:bookmarkStart w:id="631" w:name="_Toc350756431"/>
      <w:bookmarkStart w:id="632" w:name="_Toc340672850"/>
      <w:bookmarkStart w:id="633" w:name="_Toc349127607"/>
      <w:bookmarkStart w:id="634" w:name="_Toc339441068"/>
      <w:bookmarkStart w:id="635" w:name="_Toc340677051"/>
      <w:bookmarkStart w:id="636" w:name="_Toc332206689"/>
      <w:bookmarkStart w:id="637" w:name="_Toc342060355"/>
      <w:bookmarkStart w:id="638" w:name="_Toc333238614"/>
      <w:bookmarkStart w:id="639" w:name="_Toc365967054"/>
      <w:bookmarkStart w:id="640" w:name="_Toc350438730"/>
      <w:r>
        <w:rPr>
          <w:rFonts w:hint="eastAsia"/>
          <w:color w:val="000000" w:themeColor="text1"/>
          <w:highlight w:val="none"/>
        </w:rPr>
        <w:t>投标文件格式</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641" w:name="_Toc340672851"/>
      <w:bookmarkStart w:id="642" w:name="_Toc365967055"/>
      <w:bookmarkStart w:id="643" w:name="_Toc332270328"/>
      <w:bookmarkStart w:id="644" w:name="_Toc330459967"/>
      <w:bookmarkStart w:id="645" w:name="_Toc333935328"/>
      <w:bookmarkStart w:id="646" w:name="_Toc349143571"/>
      <w:bookmarkStart w:id="647" w:name="_Toc339020077"/>
      <w:bookmarkStart w:id="648" w:name="_Toc366072510"/>
      <w:bookmarkStart w:id="649" w:name="_Toc339362282"/>
      <w:bookmarkStart w:id="650" w:name="_Toc339019997"/>
      <w:bookmarkStart w:id="651" w:name="_Toc331512880"/>
      <w:bookmarkStart w:id="652" w:name="_Toc336681917"/>
      <w:bookmarkStart w:id="653" w:name="_Toc336681562"/>
      <w:bookmarkStart w:id="654" w:name="_Toc5003680"/>
      <w:bookmarkStart w:id="655" w:name="_Toc350438731"/>
      <w:bookmarkStart w:id="656" w:name="_Toc342060356"/>
      <w:bookmarkStart w:id="657" w:name="_Toc345513849"/>
      <w:bookmarkStart w:id="658" w:name="_Toc332206690"/>
      <w:bookmarkStart w:id="659" w:name="_Toc350756432"/>
      <w:bookmarkStart w:id="660" w:name="_Toc333238615"/>
      <w:bookmarkStart w:id="661" w:name="_Toc340507424"/>
      <w:bookmarkStart w:id="662" w:name="_Toc337632340"/>
      <w:bookmarkStart w:id="663" w:name="_Toc340677052"/>
      <w:bookmarkStart w:id="664" w:name="_Toc349127608"/>
      <w:bookmarkStart w:id="665" w:name="_Toc333237659"/>
      <w:bookmarkStart w:id="666" w:name="_Toc5304"/>
      <w:bookmarkStart w:id="667" w:name="_Toc341348320"/>
      <w:bookmarkStart w:id="668" w:name="_Toc339441069"/>
      <w:bookmarkStart w:id="669" w:name="_Toc331684020"/>
      <w:bookmarkStart w:id="670" w:name="_Toc333935669"/>
      <w:bookmarkStart w:id="671" w:name="_Toc365985161"/>
      <w:bookmarkStart w:id="672" w:name="_Toc333237770"/>
      <w:bookmarkStart w:id="673" w:name="_Toc339020215"/>
      <w:bookmarkStart w:id="674" w:name="_Toc374454582"/>
      <w:bookmarkStart w:id="675" w:name="_Toc339019871"/>
      <w:bookmarkStart w:id="676" w:name="_Toc342296742"/>
      <w:r>
        <w:rPr>
          <w:rFonts w:hint="eastAsia"/>
          <w:color w:val="000000" w:themeColor="text1"/>
          <w:highlight w:val="none"/>
        </w:rPr>
        <w:t>资格证明文件</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77" w:name="_Toc339441070"/>
      <w:bookmarkStart w:id="678" w:name="_Toc345513850"/>
      <w:bookmarkStart w:id="679" w:name="_Toc366072511"/>
      <w:bookmarkStart w:id="680" w:name="_Toc339020078"/>
      <w:bookmarkStart w:id="681" w:name="_Toc339362283"/>
      <w:bookmarkStart w:id="682" w:name="_Toc339019998"/>
      <w:bookmarkStart w:id="683" w:name="_Toc340672852"/>
      <w:bookmarkStart w:id="684" w:name="_Toc350756433"/>
      <w:bookmarkStart w:id="685" w:name="_Toc340507425"/>
      <w:bookmarkStart w:id="686" w:name="_Toc333237771"/>
      <w:bookmarkStart w:id="687" w:name="_Toc350438732"/>
      <w:bookmarkStart w:id="688" w:name="_Toc332270329"/>
      <w:bookmarkStart w:id="689" w:name="_Toc374454583"/>
      <w:bookmarkStart w:id="690" w:name="_Toc333935329"/>
      <w:bookmarkStart w:id="691" w:name="_Toc349143572"/>
      <w:bookmarkStart w:id="692" w:name="_Toc5003681"/>
      <w:bookmarkStart w:id="693" w:name="_Toc333237660"/>
      <w:bookmarkStart w:id="694" w:name="_Toc365967056"/>
      <w:bookmarkStart w:id="695" w:name="_Toc336681918"/>
      <w:bookmarkStart w:id="696" w:name="_Toc342296743"/>
      <w:bookmarkStart w:id="697" w:name="_Toc337632341"/>
      <w:bookmarkStart w:id="698" w:name="_Toc332206691"/>
      <w:bookmarkStart w:id="699" w:name="_Toc342060357"/>
      <w:bookmarkStart w:id="700" w:name="_Toc365985162"/>
      <w:bookmarkStart w:id="701" w:name="_Toc340677053"/>
      <w:bookmarkStart w:id="702" w:name="_Toc331684021"/>
      <w:bookmarkStart w:id="703" w:name="_Toc331512881"/>
      <w:bookmarkStart w:id="704" w:name="_Toc339019872"/>
      <w:bookmarkStart w:id="705" w:name="_Toc349127609"/>
      <w:bookmarkStart w:id="706" w:name="_Toc333238616"/>
      <w:bookmarkStart w:id="707" w:name="_Toc341348321"/>
      <w:bookmarkStart w:id="708" w:name="_Toc22723"/>
      <w:bookmarkStart w:id="709" w:name="_Toc330459968"/>
      <w:bookmarkStart w:id="710" w:name="_Toc333935670"/>
      <w:bookmarkStart w:id="711" w:name="_Toc336681563"/>
      <w:bookmarkStart w:id="712" w:name="_Toc339020216"/>
      <w:r>
        <w:rPr>
          <w:rFonts w:hint="eastAsia"/>
          <w:color w:val="000000" w:themeColor="text1"/>
          <w:highlight w:val="none"/>
        </w:rPr>
        <w:t>货物和服务的证明文件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713" w:name="_Toc339362284"/>
      <w:bookmarkStart w:id="714" w:name="_Toc333935330"/>
      <w:bookmarkStart w:id="715" w:name="_Toc341348322"/>
      <w:bookmarkStart w:id="716" w:name="_Toc7915"/>
      <w:bookmarkStart w:id="717" w:name="_Toc350756434"/>
      <w:bookmarkStart w:id="718" w:name="_Toc336681919"/>
      <w:bookmarkStart w:id="719" w:name="_Toc349127610"/>
      <w:bookmarkStart w:id="720" w:name="_Toc339441071"/>
      <w:bookmarkStart w:id="721" w:name="_Toc339020079"/>
      <w:bookmarkStart w:id="722" w:name="_Toc350438733"/>
      <w:bookmarkStart w:id="723" w:name="_Toc345513851"/>
      <w:bookmarkStart w:id="724" w:name="_Toc333237661"/>
      <w:bookmarkStart w:id="725" w:name="_Toc332270330"/>
      <w:bookmarkStart w:id="726" w:name="_Toc337632342"/>
      <w:bookmarkStart w:id="727" w:name="_Toc340507426"/>
      <w:bookmarkStart w:id="728" w:name="_Toc339019873"/>
      <w:bookmarkStart w:id="729" w:name="_Toc336681564"/>
      <w:bookmarkStart w:id="730" w:name="_Toc339020217"/>
      <w:bookmarkStart w:id="731" w:name="_Toc331512882"/>
      <w:bookmarkStart w:id="732" w:name="_Toc330459969"/>
      <w:bookmarkStart w:id="733" w:name="_Toc366072512"/>
      <w:bookmarkStart w:id="734" w:name="_Toc333237772"/>
      <w:bookmarkStart w:id="735" w:name="_Toc340677054"/>
      <w:bookmarkStart w:id="736" w:name="_Toc374454584"/>
      <w:bookmarkStart w:id="737" w:name="_Toc349143573"/>
      <w:bookmarkStart w:id="738" w:name="_Toc342060358"/>
      <w:bookmarkStart w:id="739" w:name="_Toc333935671"/>
      <w:bookmarkStart w:id="740" w:name="_Toc365967057"/>
      <w:bookmarkStart w:id="741" w:name="_Toc497224209"/>
      <w:bookmarkStart w:id="742" w:name="_Toc340672853"/>
      <w:bookmarkStart w:id="743" w:name="_Toc365985163"/>
      <w:bookmarkStart w:id="744" w:name="_Toc332206692"/>
      <w:bookmarkStart w:id="745" w:name="_Toc503785411"/>
      <w:bookmarkStart w:id="746" w:name="_Toc333238617"/>
      <w:bookmarkStart w:id="747" w:name="_Toc339019999"/>
      <w:bookmarkStart w:id="748" w:name="_Toc342296744"/>
      <w:bookmarkStart w:id="749" w:name="_Toc331684022"/>
      <w:r>
        <w:rPr>
          <w:rFonts w:hint="eastAsia"/>
          <w:color w:val="000000" w:themeColor="text1"/>
          <w:highlight w:val="none"/>
        </w:rPr>
        <w:t>投标报价与投标货币</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750" w:name="_Toc333237662"/>
      <w:bookmarkStart w:id="751" w:name="_Toc333237773"/>
      <w:bookmarkStart w:id="752" w:name="_Toc331512883"/>
      <w:bookmarkStart w:id="753" w:name="_Toc350438734"/>
      <w:bookmarkStart w:id="754" w:name="_Toc374454585"/>
      <w:bookmarkStart w:id="755" w:name="_Toc333935672"/>
      <w:bookmarkStart w:id="756" w:name="_Toc332270331"/>
      <w:bookmarkStart w:id="757" w:name="_Toc503785414"/>
      <w:bookmarkStart w:id="758" w:name="_Toc497224212"/>
      <w:bookmarkStart w:id="759" w:name="_Toc342060359"/>
      <w:bookmarkStart w:id="760" w:name="_Toc365967058"/>
      <w:bookmarkStart w:id="761" w:name="_Toc366072513"/>
      <w:bookmarkStart w:id="762" w:name="_Toc336681565"/>
      <w:bookmarkStart w:id="763" w:name="_Toc339020218"/>
      <w:bookmarkStart w:id="764" w:name="_Toc339362285"/>
      <w:bookmarkStart w:id="765" w:name="_Toc340672854"/>
      <w:bookmarkStart w:id="766" w:name="_Toc340507427"/>
      <w:bookmarkStart w:id="767" w:name="_Toc349143574"/>
      <w:bookmarkStart w:id="768" w:name="_Toc333935331"/>
      <w:bookmarkStart w:id="769" w:name="_Toc365985164"/>
      <w:bookmarkStart w:id="770" w:name="_Toc339020080"/>
      <w:bookmarkStart w:id="771" w:name="_Toc342296745"/>
      <w:bookmarkStart w:id="772" w:name="_Toc341348323"/>
      <w:bookmarkStart w:id="773" w:name="_Toc336681920"/>
      <w:bookmarkStart w:id="774" w:name="_Toc332206693"/>
      <w:bookmarkStart w:id="775" w:name="_Toc333238618"/>
      <w:bookmarkStart w:id="776" w:name="_Toc331684023"/>
      <w:bookmarkStart w:id="777" w:name="_Toc330459970"/>
      <w:bookmarkStart w:id="778" w:name="_Toc340677055"/>
      <w:bookmarkStart w:id="779" w:name="_Toc350756435"/>
      <w:bookmarkStart w:id="780" w:name="_Toc349127611"/>
      <w:bookmarkStart w:id="781" w:name="_Toc1032"/>
      <w:bookmarkStart w:id="782" w:name="_Toc339441072"/>
      <w:bookmarkStart w:id="783" w:name="_Toc339020000"/>
      <w:bookmarkStart w:id="784" w:name="_Toc345513852"/>
      <w:bookmarkStart w:id="785" w:name="_Toc339019874"/>
      <w:bookmarkStart w:id="786" w:name="_Toc337632343"/>
      <w:r>
        <w:rPr>
          <w:rFonts w:hint="eastAsia"/>
          <w:color w:val="000000" w:themeColor="text1"/>
          <w:highlight w:val="none"/>
        </w:rPr>
        <w:t>投标保证金</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787" w:name="_Toc333237774"/>
      <w:bookmarkStart w:id="788" w:name="_Toc8865"/>
      <w:bookmarkStart w:id="789" w:name="_Toc497224213"/>
      <w:bookmarkStart w:id="790" w:name="_Toc339020219"/>
      <w:bookmarkStart w:id="791" w:name="_Toc336681921"/>
      <w:bookmarkStart w:id="792" w:name="_Toc349143575"/>
      <w:bookmarkStart w:id="793" w:name="_Toc331684024"/>
      <w:bookmarkStart w:id="794" w:name="_Toc365985165"/>
      <w:bookmarkStart w:id="795" w:name="_Toc503785415"/>
      <w:bookmarkStart w:id="796" w:name="_Toc333935332"/>
      <w:bookmarkStart w:id="797" w:name="_Toc339020001"/>
      <w:bookmarkStart w:id="798" w:name="_Toc341348324"/>
      <w:bookmarkStart w:id="799" w:name="_Toc330459971"/>
      <w:bookmarkStart w:id="800" w:name="_Toc333238619"/>
      <w:bookmarkStart w:id="801" w:name="_Toc332270332"/>
      <w:bookmarkStart w:id="802" w:name="_Toc349127612"/>
      <w:bookmarkStart w:id="803" w:name="_Toc337632344"/>
      <w:bookmarkStart w:id="804" w:name="_Toc366072514"/>
      <w:bookmarkStart w:id="805" w:name="_Toc332206694"/>
      <w:bookmarkStart w:id="806" w:name="_Toc331512884"/>
      <w:bookmarkStart w:id="807" w:name="_Toc350438735"/>
      <w:bookmarkStart w:id="808" w:name="_Toc339362286"/>
      <w:bookmarkStart w:id="809" w:name="_Toc333237663"/>
      <w:bookmarkStart w:id="810" w:name="_Toc345513853"/>
      <w:bookmarkStart w:id="811" w:name="_Toc342060360"/>
      <w:bookmarkStart w:id="812" w:name="_Toc365967059"/>
      <w:bookmarkStart w:id="813" w:name="_Toc339441073"/>
      <w:bookmarkStart w:id="814" w:name="_Toc340672855"/>
      <w:bookmarkStart w:id="815" w:name="_Toc340507428"/>
      <w:bookmarkStart w:id="816" w:name="_Toc333935673"/>
      <w:bookmarkStart w:id="817" w:name="_Toc336681566"/>
      <w:bookmarkStart w:id="818" w:name="_Toc374454586"/>
      <w:bookmarkStart w:id="819" w:name="_Toc339019875"/>
      <w:bookmarkStart w:id="820" w:name="_Toc339020081"/>
      <w:bookmarkStart w:id="821" w:name="_Toc340677056"/>
      <w:bookmarkStart w:id="822" w:name="_Toc342296746"/>
      <w:bookmarkStart w:id="823" w:name="_Toc350756436"/>
      <w:r>
        <w:rPr>
          <w:rFonts w:hint="eastAsia"/>
          <w:color w:val="000000" w:themeColor="text1"/>
          <w:highlight w:val="none"/>
        </w:rPr>
        <w:t>投标有效期</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824" w:name="_Toc339441074"/>
      <w:bookmarkStart w:id="825" w:name="_Toc330459972"/>
      <w:bookmarkStart w:id="826" w:name="_Toc333935674"/>
      <w:bookmarkStart w:id="827" w:name="_Toc503785416"/>
      <w:bookmarkStart w:id="828" w:name="_Toc333935333"/>
      <w:bookmarkStart w:id="829" w:name="_Toc342060361"/>
      <w:bookmarkStart w:id="830" w:name="_Toc341348325"/>
      <w:bookmarkStart w:id="831" w:name="_Toc331512885"/>
      <w:bookmarkStart w:id="832" w:name="_Toc374454587"/>
      <w:bookmarkStart w:id="833" w:name="_Toc339020082"/>
      <w:bookmarkStart w:id="834" w:name="_Toc111534389"/>
      <w:bookmarkStart w:id="835" w:name="_Toc340507429"/>
      <w:bookmarkStart w:id="836" w:name="_Toc332206695"/>
      <w:bookmarkStart w:id="837" w:name="_Toc350438736"/>
      <w:bookmarkStart w:id="838" w:name="_Toc345513854"/>
      <w:bookmarkStart w:id="839" w:name="_Toc333238620"/>
      <w:bookmarkStart w:id="840" w:name="_Toc365985166"/>
      <w:bookmarkStart w:id="841" w:name="_Toc342296747"/>
      <w:bookmarkStart w:id="842" w:name="_Toc339362287"/>
      <w:bookmarkStart w:id="843" w:name="_Toc339019876"/>
      <w:bookmarkStart w:id="844" w:name="_Toc340672856"/>
      <w:bookmarkStart w:id="845" w:name="_Toc340677057"/>
      <w:bookmarkStart w:id="846" w:name="_Toc16119"/>
      <w:bookmarkStart w:id="847" w:name="_Toc331684025"/>
      <w:bookmarkStart w:id="848" w:name="_Toc337632345"/>
      <w:bookmarkStart w:id="849" w:name="_Toc333237775"/>
      <w:bookmarkStart w:id="850" w:name="_Toc339020220"/>
      <w:bookmarkStart w:id="851" w:name="_Toc365967060"/>
      <w:bookmarkStart w:id="852" w:name="_Toc339020002"/>
      <w:bookmarkStart w:id="853" w:name="_Toc497224214"/>
      <w:bookmarkStart w:id="854" w:name="_Toc366072515"/>
      <w:bookmarkStart w:id="855" w:name="_Toc336681567"/>
      <w:bookmarkStart w:id="856" w:name="_Toc333237664"/>
      <w:bookmarkStart w:id="857" w:name="_Toc349127613"/>
      <w:bookmarkStart w:id="858" w:name="_Toc336681922"/>
      <w:bookmarkStart w:id="859" w:name="_Toc332270333"/>
      <w:bookmarkStart w:id="860" w:name="_Toc350756437"/>
      <w:bookmarkStart w:id="861" w:name="_Toc349143576"/>
      <w:r>
        <w:rPr>
          <w:rFonts w:hint="eastAsia"/>
          <w:color w:val="000000" w:themeColor="text1"/>
          <w:highlight w:val="none"/>
        </w:rPr>
        <w:t>投标文件的签署及规定</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1"/>
          <w:numId w:val="0"/>
        </w:numPr>
        <w:rPr>
          <w:color w:val="000000" w:themeColor="text1"/>
          <w:sz w:val="24"/>
          <w:highlight w:val="none"/>
        </w:rPr>
      </w:pPr>
      <w:bookmarkStart w:id="862" w:name="_Toc332270334"/>
      <w:bookmarkStart w:id="863" w:name="_Toc339362288"/>
      <w:bookmarkStart w:id="864" w:name="_Toc350756438"/>
      <w:bookmarkStart w:id="865" w:name="_Toc336681923"/>
      <w:bookmarkStart w:id="866" w:name="_Toc366072516"/>
      <w:bookmarkStart w:id="867" w:name="_Toc339019877"/>
      <w:bookmarkStart w:id="868" w:name="_Toc497224215"/>
      <w:bookmarkStart w:id="869" w:name="_Toc374454588"/>
      <w:bookmarkStart w:id="870" w:name="_Toc339020221"/>
      <w:bookmarkStart w:id="871" w:name="_Toc330459973"/>
      <w:bookmarkStart w:id="872" w:name="_Toc111534390"/>
      <w:bookmarkStart w:id="873" w:name="_Toc339441075"/>
      <w:bookmarkStart w:id="874" w:name="_Toc342296748"/>
      <w:bookmarkStart w:id="875" w:name="_Toc332206696"/>
      <w:bookmarkStart w:id="876" w:name="_Toc331512886"/>
      <w:bookmarkStart w:id="877" w:name="_Toc333238621"/>
      <w:bookmarkStart w:id="878" w:name="_Toc340672857"/>
      <w:bookmarkStart w:id="879" w:name="_Toc340507430"/>
      <w:bookmarkStart w:id="880" w:name="_Toc333935675"/>
      <w:bookmarkStart w:id="881" w:name="_Toc349127614"/>
      <w:bookmarkStart w:id="882" w:name="_Toc503785417"/>
      <w:bookmarkStart w:id="883" w:name="_Toc365967061"/>
      <w:bookmarkStart w:id="884" w:name="_Toc333935334"/>
      <w:bookmarkStart w:id="885" w:name="_Toc342060362"/>
      <w:bookmarkStart w:id="886" w:name="_Toc340677058"/>
      <w:bookmarkStart w:id="887" w:name="_Toc345513855"/>
      <w:bookmarkStart w:id="888" w:name="_Toc341348326"/>
      <w:bookmarkStart w:id="889" w:name="_Toc337632346"/>
      <w:bookmarkStart w:id="890" w:name="_Toc333237665"/>
      <w:bookmarkStart w:id="891" w:name="_Toc333237776"/>
      <w:bookmarkStart w:id="892" w:name="_Toc336681568"/>
      <w:bookmarkStart w:id="893" w:name="_Toc339020003"/>
      <w:bookmarkStart w:id="894" w:name="_Toc349143577"/>
      <w:bookmarkStart w:id="895" w:name="_Toc350438737"/>
      <w:bookmarkStart w:id="896" w:name="_Toc339020083"/>
      <w:bookmarkStart w:id="897" w:name="_Toc331684026"/>
      <w:bookmarkStart w:id="898" w:name="_Toc365985167"/>
      <w:r>
        <w:rPr>
          <w:color w:val="000000" w:themeColor="text1"/>
          <w:sz w:val="24"/>
          <w:highlight w:val="none"/>
        </w:rPr>
        <w:br w:type="page"/>
      </w:r>
      <w:bookmarkStart w:id="899" w:name="_Toc7108"/>
      <w:r>
        <w:rPr>
          <w:rFonts w:hint="eastAsia"/>
          <w:color w:val="000000" w:themeColor="text1"/>
          <w:sz w:val="24"/>
          <w:highlight w:val="none"/>
        </w:rPr>
        <w:t>Ｄ投标文件的递交</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900" w:name="_Toc339362289"/>
      <w:bookmarkStart w:id="901" w:name="_Toc111534391"/>
      <w:bookmarkStart w:id="902" w:name="_Toc341348327"/>
      <w:bookmarkStart w:id="903" w:name="_Toc339019878"/>
      <w:bookmarkStart w:id="904" w:name="_Toc331684027"/>
      <w:bookmarkStart w:id="905" w:name="_Toc332206697"/>
      <w:bookmarkStart w:id="906" w:name="_Toc350756439"/>
      <w:bookmarkStart w:id="907" w:name="_Toc342060363"/>
      <w:bookmarkStart w:id="908" w:name="_Toc339020222"/>
      <w:bookmarkStart w:id="909" w:name="_Toc336681569"/>
      <w:bookmarkStart w:id="910" w:name="_Toc339020084"/>
      <w:bookmarkStart w:id="911" w:name="_Toc374454589"/>
      <w:bookmarkStart w:id="912" w:name="_Toc330459974"/>
      <w:bookmarkStart w:id="913" w:name="_Toc333238622"/>
      <w:bookmarkStart w:id="914" w:name="_Toc337632347"/>
      <w:bookmarkStart w:id="915" w:name="_Toc497224216"/>
      <w:bookmarkStart w:id="916" w:name="_Toc339020004"/>
      <w:bookmarkStart w:id="917" w:name="_Toc340677059"/>
      <w:bookmarkStart w:id="918" w:name="_Toc365985168"/>
      <w:bookmarkStart w:id="919" w:name="_Toc350438738"/>
      <w:bookmarkStart w:id="920" w:name="_Toc349127615"/>
      <w:bookmarkStart w:id="921" w:name="_Toc340672858"/>
      <w:bookmarkStart w:id="922" w:name="_Toc503785418"/>
      <w:bookmarkStart w:id="923" w:name="_Toc333237777"/>
      <w:bookmarkStart w:id="924" w:name="_Toc333237666"/>
      <w:bookmarkStart w:id="925" w:name="_Toc342296749"/>
      <w:bookmarkStart w:id="926" w:name="_Toc365967062"/>
      <w:bookmarkStart w:id="927" w:name="_Toc336681924"/>
      <w:bookmarkStart w:id="928" w:name="_Toc366072517"/>
      <w:bookmarkStart w:id="929" w:name="_Toc333935335"/>
      <w:bookmarkStart w:id="930" w:name="_Toc349143578"/>
      <w:bookmarkStart w:id="931" w:name="_Toc332270335"/>
      <w:bookmarkStart w:id="932" w:name="_Toc331512887"/>
      <w:bookmarkStart w:id="933" w:name="_Toc339441076"/>
      <w:bookmarkStart w:id="934" w:name="_Toc340507431"/>
      <w:bookmarkStart w:id="935" w:name="_Toc345513856"/>
      <w:bookmarkStart w:id="936" w:name="_Toc333935676"/>
      <w:r>
        <w:rPr>
          <w:rFonts w:hint="eastAsia"/>
          <w:color w:val="000000" w:themeColor="text1"/>
          <w:highlight w:val="none"/>
        </w:rPr>
        <w:t xml:space="preserve">     </w:t>
      </w:r>
      <w:bookmarkStart w:id="937" w:name="_Toc24932"/>
      <w:r>
        <w:rPr>
          <w:rFonts w:hint="eastAsia"/>
          <w:color w:val="000000" w:themeColor="text1"/>
          <w:highlight w:val="none"/>
        </w:rPr>
        <w:t>投标文件的密封和标记</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938" w:name="_Toc349143579"/>
      <w:bookmarkStart w:id="939" w:name="_Toc374454590"/>
      <w:bookmarkStart w:id="940" w:name="_Toc340677060"/>
      <w:bookmarkStart w:id="941" w:name="_Toc503785419"/>
      <w:bookmarkStart w:id="942" w:name="_Toc332206698"/>
      <w:bookmarkStart w:id="943" w:name="_Toc345513857"/>
      <w:bookmarkStart w:id="944" w:name="_Toc365967063"/>
      <w:bookmarkStart w:id="945" w:name="_Toc339362290"/>
      <w:bookmarkStart w:id="946" w:name="_Toc333237667"/>
      <w:bookmarkStart w:id="947" w:name="_Toc366072518"/>
      <w:bookmarkStart w:id="948" w:name="_Toc339020005"/>
      <w:bookmarkStart w:id="949" w:name="_Toc342060364"/>
      <w:bookmarkStart w:id="950" w:name="_Toc333237778"/>
      <w:bookmarkStart w:id="951" w:name="_Toc497224217"/>
      <w:bookmarkStart w:id="952" w:name="_Toc111534392"/>
      <w:bookmarkStart w:id="953" w:name="_Toc340507432"/>
      <w:bookmarkStart w:id="954" w:name="_Toc333935336"/>
      <w:bookmarkStart w:id="955" w:name="_Toc336681570"/>
      <w:bookmarkStart w:id="956" w:name="_Toc349127616"/>
      <w:bookmarkStart w:id="957" w:name="_Toc333238623"/>
      <w:bookmarkStart w:id="958" w:name="_Toc350756440"/>
      <w:bookmarkStart w:id="959" w:name="_Toc333935677"/>
      <w:bookmarkStart w:id="960" w:name="_Toc339019879"/>
      <w:bookmarkStart w:id="961" w:name="_Toc332270336"/>
      <w:bookmarkStart w:id="962" w:name="_Toc336681925"/>
      <w:bookmarkStart w:id="963" w:name="_Toc331684028"/>
      <w:bookmarkStart w:id="964" w:name="_Toc350438739"/>
      <w:bookmarkStart w:id="965" w:name="_Toc337632348"/>
      <w:bookmarkStart w:id="966" w:name="_Toc365985169"/>
      <w:bookmarkStart w:id="967" w:name="_Toc331512888"/>
      <w:bookmarkStart w:id="968" w:name="_Toc342296750"/>
      <w:bookmarkStart w:id="969" w:name="_Toc330459975"/>
      <w:bookmarkStart w:id="970" w:name="_Toc340672859"/>
      <w:bookmarkStart w:id="971" w:name="_Toc339020223"/>
      <w:bookmarkStart w:id="972" w:name="_Toc339441077"/>
      <w:bookmarkStart w:id="973" w:name="_Toc339020085"/>
      <w:bookmarkStart w:id="974" w:name="_Toc341348328"/>
      <w:bookmarkStart w:id="975" w:name="_Toc26655"/>
      <w:r>
        <w:rPr>
          <w:rFonts w:hint="eastAsia"/>
          <w:color w:val="000000" w:themeColor="text1"/>
          <w:highlight w:val="none"/>
        </w:rPr>
        <w:t>递交投标文件的时间、地点及截止时间</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76" w:name="_Toc331512889"/>
      <w:bookmarkStart w:id="977" w:name="_Toc341348329"/>
      <w:bookmarkStart w:id="978" w:name="_Toc330459976"/>
      <w:bookmarkStart w:id="979" w:name="_Toc349143580"/>
      <w:bookmarkStart w:id="980" w:name="_Toc503785420"/>
      <w:bookmarkStart w:id="981" w:name="_Toc342060365"/>
      <w:bookmarkStart w:id="982" w:name="_Toc332270337"/>
      <w:bookmarkStart w:id="983" w:name="_Toc342296751"/>
      <w:bookmarkStart w:id="984" w:name="_Toc365967064"/>
      <w:bookmarkStart w:id="985" w:name="_Toc340672860"/>
      <w:bookmarkStart w:id="986" w:name="_Toc374454591"/>
      <w:bookmarkStart w:id="987" w:name="_Toc365985170"/>
      <w:bookmarkStart w:id="988" w:name="_Toc332206699"/>
      <w:bookmarkStart w:id="989" w:name="_Toc340507433"/>
      <w:bookmarkStart w:id="990" w:name="_Toc339019880"/>
      <w:bookmarkStart w:id="991" w:name="_Toc333935678"/>
      <w:bookmarkStart w:id="992" w:name="_Toc339362291"/>
      <w:bookmarkStart w:id="993" w:name="_Toc339020224"/>
      <w:bookmarkStart w:id="994" w:name="_Toc333238624"/>
      <w:bookmarkStart w:id="995" w:name="_Toc349127617"/>
      <w:bookmarkStart w:id="996" w:name="_Toc331684029"/>
      <w:bookmarkStart w:id="997" w:name="_Toc345513858"/>
      <w:bookmarkStart w:id="998" w:name="_Toc350756441"/>
      <w:bookmarkStart w:id="999" w:name="_Toc333237779"/>
      <w:bookmarkStart w:id="1000" w:name="_Toc339020006"/>
      <w:bookmarkStart w:id="1001" w:name="_Toc333237668"/>
      <w:bookmarkStart w:id="1002" w:name="_Toc339020086"/>
      <w:bookmarkStart w:id="1003" w:name="_Toc340677061"/>
      <w:bookmarkStart w:id="1004" w:name="_Toc336681571"/>
      <w:bookmarkStart w:id="1005" w:name="_Toc337632349"/>
      <w:bookmarkStart w:id="1006" w:name="_Toc350438740"/>
      <w:bookmarkStart w:id="1007" w:name="_Toc366072519"/>
      <w:bookmarkStart w:id="1008" w:name="_Toc339441078"/>
      <w:bookmarkStart w:id="1009" w:name="_Toc336681926"/>
      <w:bookmarkStart w:id="1010" w:name="_Toc497224218"/>
      <w:bookmarkStart w:id="1011" w:name="_Toc333935337"/>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1012" w:name="_Toc18958"/>
      <w:r>
        <w:rPr>
          <w:rFonts w:hint="eastAsia"/>
          <w:color w:val="000000" w:themeColor="text1"/>
          <w:highlight w:val="none"/>
        </w:rPr>
        <w:t>迟交的投标文件</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1013" w:name="_Toc497224219"/>
      <w:bookmarkStart w:id="1014" w:name="_Toc503785421"/>
      <w:bookmarkStart w:id="1015" w:name="_Toc350438741"/>
      <w:bookmarkStart w:id="1016" w:name="_Toc366072520"/>
      <w:bookmarkStart w:id="1017" w:name="_Toc340507434"/>
      <w:bookmarkStart w:id="1018" w:name="_Toc350756442"/>
      <w:bookmarkStart w:id="1019" w:name="_Toc339020087"/>
      <w:bookmarkStart w:id="1020" w:name="_Toc339019881"/>
      <w:bookmarkStart w:id="1021" w:name="_Toc342296752"/>
      <w:bookmarkStart w:id="1022" w:name="_Toc333237669"/>
      <w:bookmarkStart w:id="1023" w:name="_Toc331684030"/>
      <w:bookmarkStart w:id="1024" w:name="_Toc336681927"/>
      <w:bookmarkStart w:id="1025" w:name="_Toc332206700"/>
      <w:bookmarkStart w:id="1026" w:name="_Toc349127618"/>
      <w:bookmarkStart w:id="1027" w:name="_Toc340672861"/>
      <w:bookmarkStart w:id="1028" w:name="_Toc333237780"/>
      <w:bookmarkStart w:id="1029" w:name="_Toc333935338"/>
      <w:bookmarkStart w:id="1030" w:name="_Toc339020225"/>
      <w:bookmarkStart w:id="1031" w:name="_Toc333238625"/>
      <w:bookmarkStart w:id="1032" w:name="_Toc2831"/>
      <w:bookmarkStart w:id="1033" w:name="_Toc365985171"/>
      <w:bookmarkStart w:id="1034" w:name="_Toc339020007"/>
      <w:bookmarkStart w:id="1035" w:name="_Toc339441079"/>
      <w:bookmarkStart w:id="1036" w:name="_Toc337632350"/>
      <w:bookmarkStart w:id="1037" w:name="_Toc342060366"/>
      <w:bookmarkStart w:id="1038" w:name="_Toc345513859"/>
      <w:bookmarkStart w:id="1039" w:name="_Toc365967065"/>
      <w:bookmarkStart w:id="1040" w:name="_Toc349143581"/>
      <w:bookmarkStart w:id="1041" w:name="_Toc340677062"/>
      <w:bookmarkStart w:id="1042" w:name="_Toc339362292"/>
      <w:bookmarkStart w:id="1043" w:name="_Toc374454592"/>
      <w:bookmarkStart w:id="1044" w:name="_Toc331512890"/>
      <w:bookmarkStart w:id="1045" w:name="_Toc336681572"/>
      <w:bookmarkStart w:id="1046" w:name="_Toc332270338"/>
      <w:bookmarkStart w:id="1047" w:name="_Toc333935679"/>
      <w:bookmarkStart w:id="1048" w:name="_Toc330459977"/>
      <w:bookmarkStart w:id="1049" w:name="_Toc341348330"/>
      <w:r>
        <w:rPr>
          <w:rFonts w:hint="eastAsia"/>
          <w:color w:val="000000" w:themeColor="text1"/>
          <w:highlight w:val="none"/>
        </w:rPr>
        <w:t>投标文件的修改和撤</w:t>
      </w:r>
      <w:bookmarkEnd w:id="1013"/>
      <w:bookmarkEnd w:id="1014"/>
      <w:r>
        <w:rPr>
          <w:rFonts w:hint="eastAsia"/>
          <w:color w:val="000000" w:themeColor="text1"/>
          <w:highlight w:val="none"/>
        </w:rPr>
        <w:t>回</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1"/>
          <w:numId w:val="0"/>
        </w:numPr>
        <w:rPr>
          <w:color w:val="000000" w:themeColor="text1"/>
          <w:sz w:val="24"/>
          <w:highlight w:val="none"/>
        </w:rPr>
      </w:pPr>
      <w:bookmarkStart w:id="1050" w:name="_Toc339020226"/>
      <w:bookmarkStart w:id="1051" w:name="_Toc349127619"/>
      <w:bookmarkStart w:id="1052" w:name="_Toc336681573"/>
      <w:bookmarkStart w:id="1053" w:name="_Toc337632351"/>
      <w:bookmarkStart w:id="1054" w:name="_Toc339020088"/>
      <w:bookmarkStart w:id="1055" w:name="_Toc340672862"/>
      <w:bookmarkStart w:id="1056" w:name="_Toc339019882"/>
      <w:bookmarkStart w:id="1057" w:name="_Toc332206701"/>
      <w:bookmarkStart w:id="1058" w:name="_Toc333238626"/>
      <w:bookmarkStart w:id="1059" w:name="_Toc374454593"/>
      <w:bookmarkStart w:id="1060" w:name="_Toc339020008"/>
      <w:bookmarkStart w:id="1061" w:name="_Toc365967066"/>
      <w:bookmarkStart w:id="1062" w:name="_Toc497224220"/>
      <w:bookmarkStart w:id="1063" w:name="_Toc333237670"/>
      <w:bookmarkStart w:id="1064" w:name="_Toc350756443"/>
      <w:bookmarkStart w:id="1065" w:name="_Toc342296753"/>
      <w:bookmarkStart w:id="1066" w:name="_Toc336681928"/>
      <w:bookmarkStart w:id="1067" w:name="_Toc339441080"/>
      <w:bookmarkStart w:id="1068" w:name="_Toc333935680"/>
      <w:bookmarkStart w:id="1069" w:name="_Toc333237781"/>
      <w:bookmarkStart w:id="1070" w:name="_Toc339362293"/>
      <w:bookmarkStart w:id="1071" w:name="_Toc331684031"/>
      <w:bookmarkStart w:id="1072" w:name="_Toc349143582"/>
      <w:bookmarkStart w:id="1073" w:name="_Toc340677063"/>
      <w:bookmarkStart w:id="1074" w:name="_Toc341348331"/>
      <w:bookmarkStart w:id="1075" w:name="_Toc330459978"/>
      <w:bookmarkStart w:id="1076" w:name="_Toc333935339"/>
      <w:bookmarkStart w:id="1077" w:name="_Toc342060367"/>
      <w:bookmarkStart w:id="1078" w:name="_Toc345513860"/>
      <w:bookmarkStart w:id="1079" w:name="_Toc503785422"/>
      <w:bookmarkStart w:id="1080" w:name="_Toc340507435"/>
      <w:bookmarkStart w:id="1081" w:name="_Toc332270339"/>
      <w:bookmarkStart w:id="1082" w:name="_Toc366072521"/>
      <w:bookmarkStart w:id="1083" w:name="_Toc331512891"/>
      <w:bookmarkStart w:id="1084" w:name="_Toc365985172"/>
      <w:bookmarkStart w:id="1085" w:name="_Toc350438742"/>
      <w:r>
        <w:rPr>
          <w:color w:val="000000" w:themeColor="text1"/>
          <w:sz w:val="24"/>
          <w:highlight w:val="none"/>
        </w:rPr>
        <w:br w:type="page"/>
      </w:r>
      <w:bookmarkStart w:id="1086" w:name="_Toc30738"/>
      <w:r>
        <w:rPr>
          <w:rFonts w:hint="eastAsia"/>
          <w:color w:val="000000" w:themeColor="text1"/>
          <w:sz w:val="24"/>
          <w:highlight w:val="none"/>
        </w:rPr>
        <w:t>Ｅ开标和评标</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pStyle w:val="6"/>
        <w:numPr>
          <w:ilvl w:val="4"/>
          <w:numId w:val="25"/>
        </w:numPr>
        <w:tabs>
          <w:tab w:val="left" w:pos="720"/>
        </w:tabs>
        <w:spacing w:before="240" w:after="120"/>
        <w:ind w:left="2432" w:hanging="2432"/>
        <w:rPr>
          <w:color w:val="000000" w:themeColor="text1"/>
          <w:highlight w:val="none"/>
        </w:rPr>
      </w:pPr>
      <w:bookmarkStart w:id="1087" w:name="_Toc333237671"/>
      <w:bookmarkStart w:id="1088" w:name="_Toc374454594"/>
      <w:bookmarkStart w:id="1089" w:name="_Toc342296754"/>
      <w:bookmarkStart w:id="1090" w:name="_Toc333237782"/>
      <w:bookmarkStart w:id="1091" w:name="_Toc366072522"/>
      <w:bookmarkStart w:id="1092" w:name="_Toc339020009"/>
      <w:bookmarkStart w:id="1093" w:name="_Toc332270340"/>
      <w:bookmarkStart w:id="1094" w:name="_Toc333238627"/>
      <w:bookmarkStart w:id="1095" w:name="_Toc339020089"/>
      <w:bookmarkStart w:id="1096" w:name="_Toc331684032"/>
      <w:bookmarkStart w:id="1097" w:name="_Toc332206702"/>
      <w:bookmarkStart w:id="1098" w:name="_Toc497224221"/>
      <w:bookmarkStart w:id="1099" w:name="_Toc336681929"/>
      <w:bookmarkStart w:id="1100" w:name="_Toc339020227"/>
      <w:bookmarkStart w:id="1101" w:name="_Toc330459979"/>
      <w:bookmarkStart w:id="1102" w:name="_Toc336681574"/>
      <w:bookmarkStart w:id="1103" w:name="_Toc342060368"/>
      <w:bookmarkStart w:id="1104" w:name="_Toc331512892"/>
      <w:bookmarkStart w:id="1105" w:name="_Toc341348332"/>
      <w:bookmarkStart w:id="1106" w:name="_Toc340507436"/>
      <w:bookmarkStart w:id="1107" w:name="_Toc349127620"/>
      <w:bookmarkStart w:id="1108" w:name="_Toc350438743"/>
      <w:bookmarkStart w:id="1109" w:name="_Toc339362294"/>
      <w:bookmarkStart w:id="1110" w:name="_Toc503785423"/>
      <w:bookmarkStart w:id="1111" w:name="_Toc337632352"/>
      <w:bookmarkStart w:id="1112" w:name="_Toc340677064"/>
      <w:bookmarkStart w:id="1113" w:name="_Toc339019883"/>
      <w:bookmarkStart w:id="1114" w:name="_Toc345513861"/>
      <w:bookmarkStart w:id="1115" w:name="_Toc349143583"/>
      <w:bookmarkStart w:id="1116" w:name="_Toc333935340"/>
      <w:bookmarkStart w:id="1117" w:name="_Toc365967067"/>
      <w:bookmarkStart w:id="1118" w:name="_Toc339441081"/>
      <w:bookmarkStart w:id="1119" w:name="_Toc340672863"/>
      <w:bookmarkStart w:id="1120" w:name="_Toc350756444"/>
      <w:bookmarkStart w:id="1121" w:name="_Toc365985173"/>
      <w:bookmarkStart w:id="1122" w:name="_Toc13225"/>
      <w:bookmarkStart w:id="1123" w:name="_Toc333935681"/>
      <w:r>
        <w:rPr>
          <w:rFonts w:hint="eastAsia"/>
          <w:color w:val="000000" w:themeColor="text1"/>
          <w:highlight w:val="none"/>
        </w:rPr>
        <w:t>开标</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124" w:name="_Toc497224222"/>
      <w:bookmarkStart w:id="1125" w:name="_Toc345513862"/>
      <w:bookmarkStart w:id="1126" w:name="_Toc349127621"/>
      <w:bookmarkStart w:id="1127" w:name="_Toc365985174"/>
      <w:bookmarkStart w:id="1128" w:name="_Toc374454595"/>
      <w:bookmarkStart w:id="1129" w:name="_Toc333237672"/>
      <w:bookmarkStart w:id="1130" w:name="_Toc333935682"/>
      <w:bookmarkStart w:id="1131" w:name="_Toc365967068"/>
      <w:bookmarkStart w:id="1132" w:name="_Toc349143584"/>
      <w:bookmarkStart w:id="1133" w:name="_Toc340672864"/>
      <w:bookmarkStart w:id="1134" w:name="_Toc340507437"/>
      <w:bookmarkStart w:id="1135" w:name="_Toc340677065"/>
      <w:bookmarkStart w:id="1136" w:name="_Toc336681575"/>
      <w:bookmarkStart w:id="1137" w:name="_Toc341348333"/>
      <w:bookmarkStart w:id="1138" w:name="_Toc336681930"/>
      <w:bookmarkStart w:id="1139" w:name="_Toc350438744"/>
      <w:bookmarkStart w:id="1140" w:name="_Toc331512893"/>
      <w:bookmarkStart w:id="1141" w:name="_Toc240"/>
      <w:bookmarkStart w:id="1142" w:name="_Toc330459980"/>
      <w:bookmarkStart w:id="1143" w:name="_Toc337632353"/>
      <w:bookmarkStart w:id="1144" w:name="_Toc339019884"/>
      <w:bookmarkStart w:id="1145" w:name="_Toc342060369"/>
      <w:bookmarkStart w:id="1146" w:name="_Toc339020090"/>
      <w:bookmarkStart w:id="1147" w:name="_Toc339020228"/>
      <w:bookmarkStart w:id="1148" w:name="_Toc339020010"/>
      <w:bookmarkStart w:id="1149" w:name="_Toc332206703"/>
      <w:bookmarkStart w:id="1150" w:name="_Toc350756445"/>
      <w:bookmarkStart w:id="1151" w:name="_Toc331684033"/>
      <w:bookmarkStart w:id="1152" w:name="_Toc339441082"/>
      <w:bookmarkStart w:id="1153" w:name="_Toc342296755"/>
      <w:bookmarkStart w:id="1154" w:name="_Toc503785424"/>
      <w:bookmarkStart w:id="1155" w:name="_Toc332270341"/>
      <w:bookmarkStart w:id="1156" w:name="_Toc366072523"/>
      <w:bookmarkStart w:id="1157" w:name="_Toc333238628"/>
      <w:bookmarkStart w:id="1158" w:name="_Toc333237783"/>
      <w:bookmarkStart w:id="1159" w:name="_Toc339362295"/>
      <w:bookmarkStart w:id="1160" w:name="_Toc333935341"/>
      <w:r>
        <w:rPr>
          <w:rFonts w:hint="eastAsia"/>
          <w:color w:val="000000" w:themeColor="text1"/>
          <w:highlight w:val="none"/>
        </w:rPr>
        <w:t>评标委员会</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161" w:name="_Toc349143585"/>
      <w:bookmarkStart w:id="1162" w:name="_Toc339020011"/>
      <w:bookmarkStart w:id="1163" w:name="_Toc339441083"/>
      <w:bookmarkStart w:id="1164" w:name="_Toc339020091"/>
      <w:bookmarkStart w:id="1165" w:name="_Toc365985175"/>
      <w:bookmarkStart w:id="1166" w:name="_Toc333238629"/>
      <w:bookmarkStart w:id="1167" w:name="_Toc332206704"/>
      <w:bookmarkStart w:id="1168" w:name="_Toc340672865"/>
      <w:bookmarkStart w:id="1169" w:name="_Toc374454596"/>
      <w:bookmarkStart w:id="1170" w:name="_Toc336681576"/>
      <w:bookmarkStart w:id="1171" w:name="_Toc340677066"/>
      <w:bookmarkStart w:id="1172" w:name="_Toc16678"/>
      <w:bookmarkStart w:id="1173" w:name="_Toc342296756"/>
      <w:bookmarkStart w:id="1174" w:name="_Toc331512894"/>
      <w:bookmarkStart w:id="1175" w:name="_Toc350438745"/>
      <w:bookmarkStart w:id="1176" w:name="_Toc339020229"/>
      <w:bookmarkStart w:id="1177" w:name="_Toc349127622"/>
      <w:bookmarkStart w:id="1178" w:name="_Toc339362296"/>
      <w:bookmarkStart w:id="1179" w:name="_Toc333237784"/>
      <w:bookmarkStart w:id="1180" w:name="_Toc333935683"/>
      <w:bookmarkStart w:id="1181" w:name="_Toc342060370"/>
      <w:bookmarkStart w:id="1182" w:name="_Toc333237673"/>
      <w:bookmarkStart w:id="1183" w:name="_Toc339019885"/>
      <w:bookmarkStart w:id="1184" w:name="_Toc330459981"/>
      <w:bookmarkStart w:id="1185" w:name="_Toc340507438"/>
      <w:bookmarkStart w:id="1186" w:name="_Toc350756446"/>
      <w:bookmarkStart w:id="1187" w:name="_Toc497224223"/>
      <w:bookmarkStart w:id="1188" w:name="_Toc333935342"/>
      <w:bookmarkStart w:id="1189" w:name="_Toc365967069"/>
      <w:bookmarkStart w:id="1190" w:name="_Toc336681931"/>
      <w:bookmarkStart w:id="1191" w:name="_Toc503785425"/>
      <w:bookmarkStart w:id="1192" w:name="_Toc331684034"/>
      <w:bookmarkStart w:id="1193" w:name="_Toc366072524"/>
      <w:bookmarkStart w:id="1194" w:name="_Toc337632354"/>
      <w:bookmarkStart w:id="1195" w:name="_Toc345513863"/>
      <w:bookmarkStart w:id="1196" w:name="_Toc341348334"/>
      <w:bookmarkStart w:id="1197" w:name="_Toc332270342"/>
      <w:r>
        <w:rPr>
          <w:rFonts w:hint="eastAsia"/>
          <w:color w:val="000000" w:themeColor="text1"/>
          <w:highlight w:val="none"/>
        </w:rPr>
        <w:t>对投标文件的初审和响应性的确定</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198" w:name="_Toc365985176"/>
      <w:bookmarkStart w:id="1199" w:name="_Toc339020092"/>
      <w:bookmarkStart w:id="1200" w:name="_Toc342060371"/>
      <w:bookmarkStart w:id="1201" w:name="_Toc339019886"/>
      <w:bookmarkStart w:id="1202" w:name="_Toc350756447"/>
      <w:bookmarkStart w:id="1203" w:name="_Toc339441084"/>
      <w:bookmarkStart w:id="1204" w:name="_Toc350438746"/>
      <w:bookmarkStart w:id="1205" w:name="_Toc365967070"/>
      <w:bookmarkStart w:id="1206" w:name="_Toc345513864"/>
      <w:bookmarkStart w:id="1207" w:name="_Toc332270343"/>
      <w:bookmarkStart w:id="1208" w:name="_Toc340672866"/>
      <w:bookmarkStart w:id="1209" w:name="_Toc349127623"/>
      <w:bookmarkStart w:id="1210" w:name="_Toc330459982"/>
      <w:bookmarkStart w:id="1211" w:name="_Toc336681577"/>
      <w:bookmarkStart w:id="1212" w:name="_Toc333935684"/>
      <w:bookmarkStart w:id="1213" w:name="_Toc341348335"/>
      <w:bookmarkStart w:id="1214" w:name="_Toc331512895"/>
      <w:bookmarkStart w:id="1215" w:name="_Toc374454597"/>
      <w:bookmarkStart w:id="1216" w:name="_Toc333237674"/>
      <w:bookmarkStart w:id="1217" w:name="_Toc333237785"/>
      <w:bookmarkStart w:id="1218" w:name="_Toc333935343"/>
      <w:bookmarkStart w:id="1219" w:name="_Toc333238630"/>
      <w:bookmarkStart w:id="1220" w:name="_Toc336681932"/>
      <w:bookmarkStart w:id="1221" w:name="_Toc339020012"/>
      <w:bookmarkStart w:id="1222" w:name="_Toc366072525"/>
      <w:bookmarkStart w:id="1223" w:name="_Toc20434"/>
      <w:bookmarkStart w:id="1224" w:name="_Toc332206705"/>
      <w:bookmarkStart w:id="1225" w:name="_Toc340507439"/>
      <w:bookmarkStart w:id="1226" w:name="_Toc339020230"/>
      <w:bookmarkStart w:id="1227" w:name="_Toc331684035"/>
      <w:bookmarkStart w:id="1228" w:name="_Toc340677067"/>
      <w:bookmarkStart w:id="1229" w:name="_Toc342296757"/>
      <w:bookmarkStart w:id="1230" w:name="_Toc337632355"/>
      <w:bookmarkStart w:id="1231" w:name="_Toc349143586"/>
      <w:bookmarkStart w:id="1232" w:name="_Toc339362297"/>
      <w:r>
        <w:rPr>
          <w:rFonts w:hint="eastAsia"/>
          <w:color w:val="000000" w:themeColor="text1"/>
          <w:highlight w:val="none"/>
        </w:rPr>
        <w:t>投标报价的审核</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233" w:name="_Toc336681933"/>
      <w:bookmarkStart w:id="1234" w:name="_Toc342060372"/>
      <w:bookmarkStart w:id="1235" w:name="_Toc345513865"/>
      <w:bookmarkStart w:id="1236" w:name="_Toc365985177"/>
      <w:bookmarkStart w:id="1237" w:name="_Toc503785426"/>
      <w:bookmarkStart w:id="1238" w:name="_Toc350756448"/>
      <w:bookmarkStart w:id="1239" w:name="_Toc350438747"/>
      <w:bookmarkStart w:id="1240" w:name="_Toc331512896"/>
      <w:bookmarkStart w:id="1241" w:name="_Toc340677068"/>
      <w:bookmarkStart w:id="1242" w:name="_Toc332270344"/>
      <w:bookmarkStart w:id="1243" w:name="_Toc497224224"/>
      <w:bookmarkStart w:id="1244" w:name="_Toc342296758"/>
      <w:bookmarkStart w:id="1245" w:name="_Toc333935685"/>
      <w:bookmarkStart w:id="1246" w:name="_Toc349127624"/>
      <w:bookmarkStart w:id="1247" w:name="_Toc333237786"/>
      <w:bookmarkStart w:id="1248" w:name="_Toc340672867"/>
      <w:bookmarkStart w:id="1249" w:name="_Toc333935344"/>
      <w:bookmarkStart w:id="1250" w:name="_Toc339362298"/>
      <w:bookmarkStart w:id="1251" w:name="_Toc340507440"/>
      <w:bookmarkStart w:id="1252" w:name="_Toc336681578"/>
      <w:bookmarkStart w:id="1253" w:name="_Toc349143587"/>
      <w:bookmarkStart w:id="1254" w:name="_Toc366072526"/>
      <w:bookmarkStart w:id="1255" w:name="_Toc333237675"/>
      <w:bookmarkStart w:id="1256" w:name="_Toc333238631"/>
      <w:bookmarkStart w:id="1257" w:name="_Toc339019887"/>
      <w:bookmarkStart w:id="1258" w:name="_Toc331684036"/>
      <w:bookmarkStart w:id="1259" w:name="_Toc339020231"/>
      <w:bookmarkStart w:id="1260" w:name="_Toc365967071"/>
      <w:bookmarkStart w:id="1261" w:name="_Toc332206706"/>
      <w:bookmarkStart w:id="1262" w:name="_Toc339441085"/>
      <w:bookmarkStart w:id="1263" w:name="_Toc374454598"/>
      <w:bookmarkStart w:id="1264" w:name="_Toc330459983"/>
      <w:bookmarkStart w:id="1265" w:name="_Toc8083"/>
      <w:bookmarkStart w:id="1266" w:name="_Toc337632356"/>
      <w:bookmarkStart w:id="1267" w:name="_Toc339020093"/>
      <w:bookmarkStart w:id="1268" w:name="_Toc341348336"/>
      <w:bookmarkStart w:id="1269" w:name="_Toc339020013"/>
      <w:r>
        <w:rPr>
          <w:rFonts w:hint="eastAsia"/>
          <w:color w:val="000000" w:themeColor="text1"/>
          <w:highlight w:val="none"/>
        </w:rPr>
        <w:t>询标及投标文件的澄清</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270" w:name="_Toc350438748"/>
      <w:bookmarkStart w:id="1271" w:name="_Toc332270345"/>
      <w:bookmarkStart w:id="1272" w:name="_Toc339441086"/>
      <w:bookmarkStart w:id="1273" w:name="_Toc332206707"/>
      <w:bookmarkStart w:id="1274" w:name="_Toc333238632"/>
      <w:bookmarkStart w:id="1275" w:name="_Toc350756449"/>
      <w:bookmarkStart w:id="1276" w:name="_Toc340507441"/>
      <w:bookmarkStart w:id="1277" w:name="_Toc345513866"/>
      <w:bookmarkStart w:id="1278" w:name="_Toc340677069"/>
      <w:bookmarkStart w:id="1279" w:name="_Toc339020014"/>
      <w:bookmarkStart w:id="1280" w:name="_Toc342060373"/>
      <w:bookmarkStart w:id="1281" w:name="_Toc333935345"/>
      <w:bookmarkStart w:id="1282" w:name="_Toc339019888"/>
      <w:bookmarkStart w:id="1283" w:name="_Toc16373"/>
      <w:bookmarkStart w:id="1284" w:name="_Toc336681579"/>
      <w:bookmarkStart w:id="1285" w:name="_Toc374454599"/>
      <w:bookmarkStart w:id="1286" w:name="_Toc339362299"/>
      <w:bookmarkStart w:id="1287" w:name="_Toc339020232"/>
      <w:bookmarkStart w:id="1288" w:name="_Toc339020094"/>
      <w:bookmarkStart w:id="1289" w:name="_Toc365985178"/>
      <w:bookmarkStart w:id="1290" w:name="_Toc331512897"/>
      <w:bookmarkStart w:id="1291" w:name="_Toc349127625"/>
      <w:bookmarkStart w:id="1292" w:name="_Toc336681934"/>
      <w:bookmarkStart w:id="1293" w:name="_Toc333237676"/>
      <w:bookmarkStart w:id="1294" w:name="_Toc341348337"/>
      <w:bookmarkStart w:id="1295" w:name="_Toc349143588"/>
      <w:bookmarkStart w:id="1296" w:name="_Toc333935686"/>
      <w:bookmarkStart w:id="1297" w:name="_Toc333237787"/>
      <w:bookmarkStart w:id="1298" w:name="_Toc337632357"/>
      <w:bookmarkStart w:id="1299" w:name="_Toc366072527"/>
      <w:bookmarkStart w:id="1300" w:name="_Toc342296759"/>
      <w:bookmarkStart w:id="1301" w:name="_Toc365967072"/>
      <w:bookmarkStart w:id="1302" w:name="_Toc331684037"/>
      <w:bookmarkStart w:id="1303" w:name="_Toc340672868"/>
      <w:bookmarkStart w:id="1304" w:name="_Toc330459984"/>
      <w:r>
        <w:rPr>
          <w:rFonts w:hint="eastAsia"/>
          <w:color w:val="000000" w:themeColor="text1"/>
          <w:highlight w:val="none"/>
        </w:rPr>
        <w:t>评标原则</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305" w:name="_Toc339020233"/>
      <w:bookmarkStart w:id="1306" w:name="_Toc331512898"/>
      <w:bookmarkStart w:id="1307" w:name="_Toc345513867"/>
      <w:bookmarkStart w:id="1308" w:name="_Toc331684038"/>
      <w:bookmarkStart w:id="1309" w:name="_Toc333237788"/>
      <w:bookmarkStart w:id="1310" w:name="_Toc366072528"/>
      <w:bookmarkStart w:id="1311" w:name="_Toc349127626"/>
      <w:bookmarkStart w:id="1312" w:name="_Toc340507442"/>
      <w:bookmarkStart w:id="1313" w:name="_Toc333935346"/>
      <w:bookmarkStart w:id="1314" w:name="_Toc339020015"/>
      <w:bookmarkStart w:id="1315" w:name="_Toc350438749"/>
      <w:bookmarkStart w:id="1316" w:name="_Toc341348338"/>
      <w:bookmarkStart w:id="1317" w:name="_Toc336681935"/>
      <w:bookmarkStart w:id="1318" w:name="_Toc365985179"/>
      <w:bookmarkStart w:id="1319" w:name="_Toc336681580"/>
      <w:bookmarkStart w:id="1320" w:name="_Toc365967073"/>
      <w:bookmarkStart w:id="1321" w:name="_Toc340677070"/>
      <w:bookmarkStart w:id="1322" w:name="_Toc342060374"/>
      <w:bookmarkStart w:id="1323" w:name="_Toc340672869"/>
      <w:bookmarkStart w:id="1324" w:name="_Toc339362300"/>
      <w:bookmarkStart w:id="1325" w:name="_Toc339020095"/>
      <w:bookmarkStart w:id="1326" w:name="_Toc26386"/>
      <w:bookmarkStart w:id="1327" w:name="_Toc374454600"/>
      <w:bookmarkStart w:id="1328" w:name="_Toc332270346"/>
      <w:bookmarkStart w:id="1329" w:name="_Toc337632358"/>
      <w:bookmarkStart w:id="1330" w:name="_Toc349143589"/>
      <w:bookmarkStart w:id="1331" w:name="_Toc330459985"/>
      <w:bookmarkStart w:id="1332" w:name="_Toc339019889"/>
      <w:bookmarkStart w:id="1333" w:name="_Toc350756450"/>
      <w:bookmarkStart w:id="1334" w:name="_Toc332206708"/>
      <w:bookmarkStart w:id="1335" w:name="_Toc342296760"/>
      <w:bookmarkStart w:id="1336" w:name="_Toc333935687"/>
      <w:bookmarkStart w:id="1337" w:name="_Toc339441087"/>
      <w:bookmarkStart w:id="1338" w:name="_Toc333238633"/>
      <w:bookmarkStart w:id="1339" w:name="_Toc333237677"/>
      <w:r>
        <w:rPr>
          <w:rFonts w:hint="eastAsia"/>
          <w:color w:val="000000" w:themeColor="text1"/>
          <w:highlight w:val="none"/>
        </w:rPr>
        <w:t>评标标准和办法</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40" w:name="_Toc500953375"/>
      <w:bookmarkStart w:id="1341" w:name="_Toc500861023"/>
      <w:bookmarkStart w:id="1342"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343" w:name="_Toc327367761"/>
      <w:bookmarkStart w:id="1344" w:name="_Toc29534"/>
      <w:bookmarkStart w:id="1345" w:name="_Toc327368025"/>
      <w:bookmarkStart w:id="1346" w:name="_Toc366072529"/>
      <w:bookmarkStart w:id="1347" w:name="_Toc340677071"/>
      <w:bookmarkStart w:id="1348" w:name="_Toc332270347"/>
      <w:bookmarkStart w:id="1349" w:name="_Toc331684039"/>
      <w:bookmarkStart w:id="1350" w:name="_Toc337632359"/>
      <w:bookmarkStart w:id="1351" w:name="_Toc332206709"/>
      <w:bookmarkStart w:id="1352" w:name="_Toc330459986"/>
      <w:bookmarkStart w:id="1353" w:name="_Toc339020096"/>
      <w:bookmarkStart w:id="1354" w:name="_Toc339019890"/>
      <w:bookmarkStart w:id="1355" w:name="_Toc333238634"/>
      <w:bookmarkStart w:id="1356" w:name="_Toc336681581"/>
      <w:bookmarkStart w:id="1357" w:name="_Toc342296761"/>
      <w:bookmarkStart w:id="1358" w:name="_Toc333935347"/>
      <w:bookmarkStart w:id="1359" w:name="_Toc339362301"/>
      <w:bookmarkStart w:id="1360" w:name="_Toc340672870"/>
      <w:bookmarkStart w:id="1361" w:name="_Toc341348339"/>
      <w:bookmarkStart w:id="1362" w:name="_Toc336681936"/>
      <w:bookmarkStart w:id="1363" w:name="_Toc333935688"/>
      <w:bookmarkStart w:id="1364" w:name="_Toc331512899"/>
      <w:bookmarkStart w:id="1365" w:name="_Toc339020234"/>
      <w:bookmarkStart w:id="1366" w:name="_Toc339020016"/>
      <w:bookmarkStart w:id="1367" w:name="_Toc345513902"/>
      <w:bookmarkStart w:id="1368" w:name="_Toc339441088"/>
      <w:bookmarkStart w:id="1369" w:name="_Toc342060375"/>
      <w:bookmarkStart w:id="1370" w:name="_Toc333237789"/>
      <w:bookmarkStart w:id="1371" w:name="_Toc333237678"/>
      <w:bookmarkStart w:id="1372" w:name="_Toc340507443"/>
      <w:r>
        <w:rPr>
          <w:rFonts w:hint="eastAsia"/>
          <w:color w:val="000000" w:themeColor="text1"/>
          <w:highlight w:val="none"/>
        </w:rPr>
        <w:t>评标注意事项</w:t>
      </w:r>
      <w:bookmarkEnd w:id="1343"/>
      <w:bookmarkEnd w:id="1344"/>
      <w:bookmarkEnd w:id="1345"/>
      <w:bookmarkEnd w:id="1346"/>
    </w:p>
    <w:bookmarkEnd w:id="35"/>
    <w:bookmarkEnd w:id="1340"/>
    <w:bookmarkEnd w:id="1341"/>
    <w:bookmarkEnd w:id="1342"/>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73" w:name="_Toc26066260"/>
      <w:bookmarkStart w:id="1374" w:name="_Toc491658680"/>
      <w:bookmarkStart w:id="1375" w:name="_Toc6397151"/>
      <w:bookmarkStart w:id="1376" w:name="_Toc6727972"/>
      <w:bookmarkStart w:id="1377"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378" w:name="_Toc336681582"/>
      <w:bookmarkStart w:id="1379" w:name="_Toc340677072"/>
      <w:bookmarkStart w:id="1380" w:name="_Toc350438751"/>
      <w:bookmarkStart w:id="1381" w:name="_Toc345513903"/>
      <w:bookmarkStart w:id="1382" w:name="_Toc342296762"/>
      <w:bookmarkStart w:id="1383" w:name="_Toc349143591"/>
      <w:bookmarkStart w:id="1384" w:name="_Toc341348340"/>
      <w:bookmarkStart w:id="1385" w:name="_Toc337632360"/>
      <w:bookmarkStart w:id="1386" w:name="_Toc374454602"/>
      <w:bookmarkStart w:id="1387" w:name="_Toc331512900"/>
      <w:bookmarkStart w:id="1388" w:name="_Toc339019891"/>
      <w:bookmarkStart w:id="1389" w:name="_Toc332206710"/>
      <w:bookmarkStart w:id="1390" w:name="_Toc349127628"/>
      <w:bookmarkStart w:id="1391" w:name="_Toc342060376"/>
      <w:bookmarkStart w:id="1392" w:name="_Toc339020017"/>
      <w:bookmarkStart w:id="1393" w:name="_Toc365985180"/>
      <w:bookmarkStart w:id="1394" w:name="_Toc339441089"/>
      <w:bookmarkStart w:id="1395" w:name="_Toc333935348"/>
      <w:bookmarkStart w:id="1396" w:name="_Toc339020097"/>
      <w:bookmarkStart w:id="1397" w:name="_Toc14909"/>
      <w:bookmarkStart w:id="1398" w:name="_Toc339362302"/>
      <w:bookmarkStart w:id="1399" w:name="_Toc350756452"/>
      <w:bookmarkStart w:id="1400" w:name="_Toc333237679"/>
      <w:bookmarkStart w:id="1401" w:name="_Toc331684040"/>
      <w:bookmarkStart w:id="1402" w:name="_Toc336681937"/>
      <w:bookmarkStart w:id="1403" w:name="_Toc340672871"/>
      <w:bookmarkStart w:id="1404" w:name="_Toc333238635"/>
      <w:bookmarkStart w:id="1405" w:name="_Toc330459987"/>
      <w:bookmarkStart w:id="1406" w:name="_Toc340507444"/>
      <w:bookmarkStart w:id="1407" w:name="_Toc366072530"/>
      <w:bookmarkStart w:id="1408" w:name="_Toc332270348"/>
      <w:bookmarkStart w:id="1409" w:name="_Toc333237790"/>
      <w:bookmarkStart w:id="1410" w:name="_Toc339020235"/>
      <w:bookmarkStart w:id="1411" w:name="_Toc333935689"/>
      <w:bookmarkStart w:id="1412" w:name="_Toc365967074"/>
      <w:r>
        <w:rPr>
          <w:rFonts w:hint="eastAsia"/>
          <w:color w:val="000000" w:themeColor="text1"/>
          <w:highlight w:val="none"/>
        </w:rPr>
        <w:t>接受和拒绝投标的权利</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413" w:name="_Toc374454603"/>
      <w:bookmarkStart w:id="1414" w:name="_Toc4170"/>
      <w:bookmarkStart w:id="1415" w:name="_Toc366072531"/>
      <w:r>
        <w:rPr>
          <w:rFonts w:hint="eastAsia"/>
          <w:color w:val="000000" w:themeColor="text1"/>
          <w:highlight w:val="none"/>
        </w:rPr>
        <w:t>发布中标结果公告和发放中标通知书</w:t>
      </w:r>
      <w:bookmarkEnd w:id="1413"/>
      <w:bookmarkEnd w:id="1414"/>
      <w:bookmarkEnd w:id="141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1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417" w:name="_Toc1114"/>
      <w:bookmarkStart w:id="1418" w:name="_Toc374454604"/>
      <w:r>
        <w:rPr>
          <w:rFonts w:hint="eastAsia"/>
          <w:color w:val="000000" w:themeColor="text1"/>
          <w:highlight w:val="none"/>
        </w:rPr>
        <w:t>投标人对中标结果的质疑、投诉</w:t>
      </w:r>
      <w:bookmarkEnd w:id="1416"/>
      <w:bookmarkEnd w:id="1417"/>
      <w:bookmarkEnd w:id="141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19" w:name="_Toc339020100"/>
      <w:bookmarkStart w:id="1420" w:name="_Toc339020238"/>
      <w:bookmarkStart w:id="1421" w:name="_Toc342060379"/>
      <w:bookmarkStart w:id="1422" w:name="_Toc336681940"/>
      <w:bookmarkStart w:id="1423" w:name="_Toc349127631"/>
      <w:bookmarkStart w:id="1424" w:name="_Toc332270351"/>
      <w:bookmarkStart w:id="1425" w:name="_Toc349143594"/>
      <w:bookmarkStart w:id="1426" w:name="_Toc337632363"/>
      <w:bookmarkStart w:id="1427" w:name="_Toc341348343"/>
      <w:bookmarkStart w:id="1428" w:name="_Toc340672874"/>
      <w:bookmarkStart w:id="1429" w:name="_Toc345513906"/>
      <w:bookmarkStart w:id="1430" w:name="_Toc350438754"/>
      <w:bookmarkStart w:id="1431" w:name="_Toc330459990"/>
      <w:bookmarkStart w:id="1432" w:name="_Toc331684043"/>
      <w:bookmarkStart w:id="1433" w:name="_Toc339441092"/>
      <w:bookmarkStart w:id="1434" w:name="_Toc333935351"/>
      <w:bookmarkStart w:id="1435" w:name="_Toc339020020"/>
      <w:bookmarkStart w:id="1436" w:name="_Toc339019894"/>
      <w:bookmarkStart w:id="1437" w:name="_Toc365985183"/>
      <w:bookmarkStart w:id="1438" w:name="_Toc340507447"/>
      <w:bookmarkStart w:id="1439" w:name="_Toc333237682"/>
      <w:bookmarkStart w:id="1440" w:name="_Toc331512903"/>
      <w:bookmarkStart w:id="1441" w:name="_Toc333935692"/>
      <w:bookmarkStart w:id="1442" w:name="_Toc340677075"/>
      <w:bookmarkStart w:id="1443" w:name="_Toc339362305"/>
      <w:bookmarkStart w:id="1444" w:name="_Toc350756455"/>
      <w:bookmarkStart w:id="1445" w:name="_Toc365967077"/>
      <w:bookmarkStart w:id="1446" w:name="_Toc333238638"/>
      <w:bookmarkStart w:id="1447" w:name="_Toc336681585"/>
      <w:bookmarkStart w:id="1448" w:name="_Toc332206713"/>
      <w:bookmarkStart w:id="1449" w:name="_Toc342296765"/>
      <w:bookmarkStart w:id="1450" w:name="_Toc33323779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1"/>
          <w:numId w:val="0"/>
        </w:numPr>
        <w:rPr>
          <w:color w:val="000000" w:themeColor="text1"/>
          <w:sz w:val="24"/>
          <w:highlight w:val="none"/>
        </w:rPr>
      </w:pPr>
      <w:bookmarkStart w:id="1451" w:name="_Toc374454605"/>
      <w:bookmarkStart w:id="1452" w:name="_Toc366072533"/>
      <w:r>
        <w:rPr>
          <w:color w:val="000000" w:themeColor="text1"/>
          <w:sz w:val="24"/>
          <w:highlight w:val="none"/>
        </w:rPr>
        <w:br w:type="page"/>
      </w:r>
      <w:bookmarkStart w:id="1453" w:name="_Toc8945"/>
      <w:r>
        <w:rPr>
          <w:rFonts w:hint="eastAsia"/>
          <w:color w:val="000000" w:themeColor="text1"/>
          <w:sz w:val="24"/>
          <w:highlight w:val="none"/>
        </w:rPr>
        <w:t>Ｆ  授予合同</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pPr>
        <w:pStyle w:val="6"/>
        <w:numPr>
          <w:ilvl w:val="4"/>
          <w:numId w:val="25"/>
        </w:numPr>
        <w:tabs>
          <w:tab w:val="left" w:pos="720"/>
        </w:tabs>
        <w:spacing w:before="240" w:after="120"/>
        <w:ind w:left="2432" w:hanging="2432"/>
        <w:rPr>
          <w:color w:val="000000" w:themeColor="text1"/>
          <w:highlight w:val="none"/>
        </w:rPr>
      </w:pPr>
      <w:bookmarkStart w:id="1454" w:name="_Toc333237683"/>
      <w:bookmarkStart w:id="1455" w:name="_Toc468157555"/>
      <w:bookmarkStart w:id="1456" w:name="_Toc333935693"/>
      <w:bookmarkStart w:id="1457" w:name="_Toc336681586"/>
      <w:bookmarkStart w:id="1458" w:name="_Toc32394"/>
      <w:bookmarkStart w:id="1459" w:name="_Toc349127632"/>
      <w:bookmarkStart w:id="1460" w:name="_Toc350756456"/>
      <w:bookmarkStart w:id="1461" w:name="_Toc345513907"/>
      <w:bookmarkStart w:id="1462" w:name="_Toc480021072"/>
      <w:bookmarkStart w:id="1463" w:name="_Toc332270352"/>
      <w:bookmarkStart w:id="1464" w:name="_Toc331512904"/>
      <w:bookmarkStart w:id="1465" w:name="_Toc480020276"/>
      <w:bookmarkStart w:id="1466" w:name="_Toc339020239"/>
      <w:bookmarkStart w:id="1467" w:name="_Toc340672875"/>
      <w:bookmarkStart w:id="1468" w:name="_Toc340507448"/>
      <w:bookmarkStart w:id="1469" w:name="_Toc331684044"/>
      <w:bookmarkStart w:id="1470" w:name="_Toc340677076"/>
      <w:bookmarkStart w:id="1471" w:name="_Toc332206714"/>
      <w:bookmarkStart w:id="1472" w:name="_Toc337632364"/>
      <w:bookmarkStart w:id="1473" w:name="_Toc339441093"/>
      <w:bookmarkStart w:id="1474" w:name="_Toc330459991"/>
      <w:bookmarkStart w:id="1475" w:name="_Toc467236759"/>
      <w:bookmarkStart w:id="1476" w:name="_Toc336681941"/>
      <w:bookmarkStart w:id="1477" w:name="_Toc342060380"/>
      <w:bookmarkStart w:id="1478" w:name="_Toc339362306"/>
      <w:bookmarkStart w:id="1479" w:name="_Toc333935352"/>
      <w:bookmarkStart w:id="1480" w:name="_Toc339020101"/>
      <w:bookmarkStart w:id="1481" w:name="_Toc350438755"/>
      <w:bookmarkStart w:id="1482" w:name="_Toc480010727"/>
      <w:bookmarkStart w:id="1483" w:name="_Toc349143595"/>
      <w:bookmarkStart w:id="1484" w:name="_Toc374454606"/>
      <w:bookmarkStart w:id="1485" w:name="_Toc333237794"/>
      <w:bookmarkStart w:id="1486" w:name="_Toc341348344"/>
      <w:bookmarkStart w:id="1487" w:name="_Toc491658670"/>
      <w:bookmarkStart w:id="1488" w:name="_Toc468606048"/>
      <w:bookmarkStart w:id="1489" w:name="_Toc365967078"/>
      <w:bookmarkStart w:id="1490" w:name="_Toc365985184"/>
      <w:bookmarkStart w:id="1491" w:name="_Toc342296766"/>
      <w:bookmarkStart w:id="1492" w:name="_Toc500861016"/>
      <w:bookmarkStart w:id="1493" w:name="_Toc339020021"/>
      <w:bookmarkStart w:id="1494" w:name="_Toc339019895"/>
      <w:bookmarkStart w:id="1495" w:name="_Toc333238639"/>
      <w:bookmarkStart w:id="1496" w:name="_Toc467987842"/>
      <w:bookmarkStart w:id="1497" w:name="_Toc366072534"/>
      <w:bookmarkStart w:id="1498" w:name="_Toc479991601"/>
      <w:bookmarkStart w:id="1499" w:name="_Toc458262633"/>
      <w:bookmarkStart w:id="1500" w:name="_Toc454701400"/>
      <w:r>
        <w:rPr>
          <w:rFonts w:hint="eastAsia"/>
          <w:color w:val="000000" w:themeColor="text1"/>
          <w:highlight w:val="none"/>
        </w:rPr>
        <w:t>合同授予标准</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99"/>
    <w:bookmarkEnd w:id="1500"/>
    <w:p>
      <w:pPr>
        <w:pStyle w:val="6"/>
        <w:numPr>
          <w:ilvl w:val="4"/>
          <w:numId w:val="25"/>
        </w:numPr>
        <w:tabs>
          <w:tab w:val="left" w:pos="720"/>
        </w:tabs>
        <w:spacing w:before="240" w:after="120"/>
        <w:ind w:left="2432" w:hanging="2432"/>
        <w:rPr>
          <w:color w:val="000000" w:themeColor="text1"/>
          <w:highlight w:val="none"/>
        </w:rPr>
      </w:pPr>
      <w:bookmarkStart w:id="1501" w:name="_Toc331684045"/>
      <w:bookmarkStart w:id="1502" w:name="_Toc333237795"/>
      <w:bookmarkStart w:id="1503" w:name="_Toc468157559"/>
      <w:bookmarkStart w:id="1504" w:name="_Toc339019896"/>
      <w:bookmarkStart w:id="1505" w:name="_Toc333935694"/>
      <w:bookmarkStart w:id="1506" w:name="_Toc339020102"/>
      <w:bookmarkStart w:id="1507" w:name="_Toc340507449"/>
      <w:bookmarkStart w:id="1508" w:name="_Toc500861020"/>
      <w:bookmarkStart w:id="1509" w:name="_Toc467987846"/>
      <w:bookmarkStart w:id="1510" w:name="_Toc342060381"/>
      <w:bookmarkStart w:id="1511" w:name="_Toc366072535"/>
      <w:bookmarkStart w:id="1512" w:name="_Toc339441094"/>
      <w:bookmarkStart w:id="1513" w:name="_Toc349127633"/>
      <w:bookmarkStart w:id="1514" w:name="_Toc342296767"/>
      <w:bookmarkStart w:id="1515" w:name="_Toc345513908"/>
      <w:bookmarkStart w:id="1516" w:name="_Toc333238640"/>
      <w:bookmarkStart w:id="1517" w:name="_Toc339362307"/>
      <w:bookmarkStart w:id="1518" w:name="_Toc454701402"/>
      <w:bookmarkStart w:id="1519" w:name="_Toc330459992"/>
      <w:bookmarkStart w:id="1520" w:name="_Toc340672876"/>
      <w:bookmarkStart w:id="1521" w:name="_Toc365967079"/>
      <w:bookmarkStart w:id="1522" w:name="_Toc333935353"/>
      <w:bookmarkStart w:id="1523" w:name="_Toc480020280"/>
      <w:bookmarkStart w:id="1524" w:name="_Toc333237684"/>
      <w:bookmarkStart w:id="1525" w:name="_Toc336681942"/>
      <w:bookmarkStart w:id="1526" w:name="_Toc337632365"/>
      <w:bookmarkStart w:id="1527" w:name="_Toc339020240"/>
      <w:bookmarkStart w:id="1528" w:name="_Toc339020022"/>
      <w:bookmarkStart w:id="1529" w:name="_Toc491658674"/>
      <w:bookmarkStart w:id="1530" w:name="_Toc480021076"/>
      <w:bookmarkStart w:id="1531" w:name="_Toc467236763"/>
      <w:bookmarkStart w:id="1532" w:name="_Toc365985185"/>
      <w:bookmarkStart w:id="1533" w:name="_Toc349143596"/>
      <w:bookmarkStart w:id="1534" w:name="_Toc332206715"/>
      <w:bookmarkStart w:id="1535" w:name="_Toc350438756"/>
      <w:bookmarkStart w:id="1536" w:name="_Toc3735"/>
      <w:bookmarkStart w:id="1537" w:name="_Toc350756457"/>
      <w:bookmarkStart w:id="1538" w:name="_Toc340677077"/>
      <w:bookmarkStart w:id="1539" w:name="_Toc480010731"/>
      <w:bookmarkStart w:id="1540" w:name="_Toc331512905"/>
      <w:bookmarkStart w:id="1541" w:name="_Toc336681587"/>
      <w:bookmarkStart w:id="1542" w:name="_Toc341348345"/>
      <w:bookmarkStart w:id="1543" w:name="_Toc468606052"/>
      <w:bookmarkStart w:id="1544" w:name="_Toc374454607"/>
      <w:bookmarkStart w:id="1545" w:name="_Toc332270353"/>
      <w:bookmarkStart w:id="1546" w:name="_Toc458262635"/>
      <w:bookmarkStart w:id="1547" w:name="_Toc479991605"/>
      <w:r>
        <w:rPr>
          <w:rFonts w:hint="eastAsia"/>
          <w:color w:val="000000" w:themeColor="text1"/>
          <w:highlight w:val="none"/>
        </w:rPr>
        <w:t>签订合同</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48" w:name="_Toc377129068"/>
      <w:bookmarkStart w:id="1549" w:name="_Toc370983962"/>
      <w:bookmarkStart w:id="1550" w:name="_Toc374093632"/>
      <w:bookmarkStart w:id="1551" w:name="_Toc373401413"/>
      <w:bookmarkStart w:id="1552" w:name="_Toc366681897"/>
      <w:bookmarkStart w:id="1553" w:name="_Toc374454608"/>
      <w:bookmarkStart w:id="1554" w:name="_Toc369700990"/>
      <w:bookmarkStart w:id="1555" w:name="_Toc370309169"/>
      <w:bookmarkStart w:id="1556" w:name="_Toc383069738"/>
      <w:bookmarkStart w:id="1557" w:name="_Toc379896705"/>
      <w:bookmarkStart w:id="1558" w:name="_Toc372209289"/>
      <w:bookmarkStart w:id="1559" w:name="_Toc378261823"/>
      <w:bookmarkStart w:id="1560" w:name="_Toc366072536"/>
      <w:bookmarkStart w:id="1561" w:name="_Toc367095382"/>
      <w:bookmarkStart w:id="1562" w:name="_Toc339020023"/>
      <w:bookmarkStart w:id="1563" w:name="_Toc339362308"/>
      <w:bookmarkStart w:id="1564" w:name="_Toc336681588"/>
      <w:bookmarkStart w:id="1565" w:name="_Toc333237796"/>
      <w:bookmarkStart w:id="1566" w:name="_Toc350438757"/>
      <w:bookmarkStart w:id="1567" w:name="_Toc349127634"/>
      <w:bookmarkStart w:id="1568" w:name="_Toc340677078"/>
      <w:bookmarkStart w:id="1569" w:name="_Toc342060382"/>
      <w:bookmarkStart w:id="1570" w:name="_Toc333237685"/>
      <w:bookmarkStart w:id="1571" w:name="_Toc339020103"/>
      <w:bookmarkStart w:id="1572" w:name="_Toc341348346"/>
      <w:bookmarkStart w:id="1573" w:name="_Toc332270354"/>
      <w:bookmarkStart w:id="1574" w:name="_Toc332206716"/>
      <w:bookmarkStart w:id="1575" w:name="_Toc333935354"/>
      <w:bookmarkStart w:id="1576" w:name="_Toc345513909"/>
      <w:bookmarkStart w:id="1577" w:name="_Toc336681943"/>
      <w:bookmarkStart w:id="1578" w:name="_Toc365985186"/>
      <w:bookmarkStart w:id="1579" w:name="_Toc331512906"/>
      <w:bookmarkStart w:id="1580" w:name="_Toc350756458"/>
      <w:bookmarkStart w:id="1581" w:name="_Toc339441095"/>
      <w:bookmarkStart w:id="1582" w:name="_Toc339019897"/>
      <w:bookmarkStart w:id="1583" w:name="_Toc349143597"/>
      <w:bookmarkStart w:id="1584" w:name="_Toc339020241"/>
      <w:bookmarkStart w:id="1585" w:name="_Toc330459993"/>
      <w:bookmarkStart w:id="1586" w:name="_Toc337632366"/>
      <w:bookmarkStart w:id="1587" w:name="_Toc333935695"/>
      <w:bookmarkStart w:id="1588" w:name="_Toc365967080"/>
      <w:bookmarkStart w:id="1589" w:name="_Toc342296768"/>
      <w:bookmarkStart w:id="1590" w:name="_Toc340672877"/>
      <w:bookmarkStart w:id="1591" w:name="_Toc333238641"/>
      <w:bookmarkStart w:id="1592" w:name="_Toc331684046"/>
      <w:bookmarkStart w:id="1593" w:name="_Toc340507450"/>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w:t>
      </w:r>
      <w:r>
        <w:rPr>
          <w:rFonts w:hint="eastAsia" w:ascii="宋体" w:hAnsi="宋体"/>
          <w:bCs/>
          <w:color w:val="000000" w:themeColor="text1"/>
          <w:highlight w:val="none"/>
          <w:lang w:val="en-US" w:eastAsia="zh-CN"/>
        </w:rPr>
        <w:t>送</w:t>
      </w:r>
      <w:r>
        <w:rPr>
          <w:rFonts w:hint="eastAsia" w:ascii="宋体" w:hAnsi="宋体"/>
          <w:bCs/>
          <w:color w:val="000000" w:themeColor="text1"/>
          <w:highlight w:val="none"/>
        </w:rPr>
        <w:t>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Pr>
        <w:pStyle w:val="4"/>
        <w:numPr>
          <w:ilvl w:val="1"/>
          <w:numId w:val="0"/>
        </w:numPr>
        <w:rPr>
          <w:color w:val="000000" w:themeColor="text1"/>
          <w:sz w:val="24"/>
          <w:highlight w:val="none"/>
        </w:rPr>
      </w:pPr>
      <w:bookmarkStart w:id="1594" w:name="_Toc430771059"/>
      <w:bookmarkStart w:id="1595" w:name="_Toc23321"/>
      <w:bookmarkStart w:id="1596" w:name="_Toc432682726"/>
      <w:bookmarkStart w:id="1597" w:name="_Toc479991608"/>
      <w:bookmarkStart w:id="1598" w:name="_Toc468157562"/>
      <w:bookmarkStart w:id="1599" w:name="_Toc468606055"/>
      <w:bookmarkStart w:id="1600" w:name="_Toc467236766"/>
      <w:bookmarkStart w:id="1601" w:name="_Toc480010734"/>
      <w:bookmarkStart w:id="1602" w:name="_Toc491658677"/>
      <w:bookmarkStart w:id="1603" w:name="_Toc480021079"/>
      <w:bookmarkStart w:id="1604" w:name="_Toc467987849"/>
      <w:bookmarkStart w:id="1605" w:name="_Toc500861024"/>
      <w:bookmarkStart w:id="1606" w:name="_Toc480020283"/>
      <w:r>
        <w:rPr>
          <w:color w:val="000000" w:themeColor="text1"/>
          <w:sz w:val="24"/>
          <w:highlight w:val="none"/>
        </w:rPr>
        <w:t>G</w:t>
      </w:r>
      <w:r>
        <w:rPr>
          <w:rFonts w:hint="eastAsia"/>
          <w:color w:val="000000" w:themeColor="text1"/>
          <w:sz w:val="24"/>
          <w:highlight w:val="none"/>
        </w:rPr>
        <w:t>、政府采购政策</w:t>
      </w:r>
      <w:bookmarkEnd w:id="1594"/>
      <w:bookmarkEnd w:id="1595"/>
      <w:bookmarkEnd w:id="1596"/>
    </w:p>
    <w:p>
      <w:pPr>
        <w:spacing w:line="360" w:lineRule="auto"/>
        <w:ind w:left="735" w:hanging="735" w:hangingChars="350"/>
        <w:rPr>
          <w:rFonts w:hint="eastAsia" w:ascii="宋体" w:hAnsi="宋体" w:eastAsia="宋体" w:cs="宋体"/>
          <w:color w:val="000000" w:themeColor="text1"/>
          <w:highlight w:val="none"/>
        </w:rPr>
      </w:pPr>
      <w:bookmarkStart w:id="1607" w:name="_Toc430185803"/>
      <w:bookmarkStart w:id="1608"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60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07"/>
      <w:bookmarkEnd w:id="1608"/>
      <w:bookmarkEnd w:id="1609"/>
    </w:p>
    <w:p>
      <w:pPr>
        <w:spacing w:line="360" w:lineRule="auto"/>
        <w:ind w:left="735" w:hanging="735" w:hangingChars="350"/>
        <w:rPr>
          <w:rFonts w:hint="eastAsia" w:ascii="宋体" w:hAnsi="宋体" w:eastAsia="宋体" w:cs="宋体"/>
          <w:color w:val="000000" w:themeColor="text1"/>
          <w:highlight w:val="none"/>
        </w:rPr>
      </w:pPr>
      <w:bookmarkStart w:id="1610" w:name="_Toc430771061"/>
      <w:bookmarkStart w:id="1611"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10"/>
      <w:bookmarkEnd w:id="1611"/>
    </w:p>
    <w:p>
      <w:pPr>
        <w:spacing w:line="360" w:lineRule="auto"/>
        <w:ind w:left="735" w:hanging="735" w:hangingChars="350"/>
        <w:rPr>
          <w:rFonts w:hint="eastAsia" w:ascii="宋体" w:hAnsi="宋体" w:eastAsia="宋体" w:cs="宋体"/>
          <w:color w:val="000000" w:themeColor="text1"/>
          <w:highlight w:val="none"/>
        </w:rPr>
      </w:pPr>
      <w:bookmarkStart w:id="1612" w:name="_Toc430185805"/>
      <w:bookmarkStart w:id="1613"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12"/>
      <w:bookmarkEnd w:id="1613"/>
    </w:p>
    <w:p>
      <w:pPr>
        <w:spacing w:line="360" w:lineRule="auto"/>
        <w:ind w:left="735" w:hanging="735" w:hangingChars="350"/>
        <w:rPr>
          <w:rFonts w:hint="eastAsia" w:ascii="宋体" w:hAnsi="宋体" w:eastAsia="宋体" w:cs="宋体"/>
          <w:color w:val="000000" w:themeColor="text1"/>
          <w:highlight w:val="none"/>
        </w:rPr>
      </w:pPr>
      <w:bookmarkStart w:id="1614" w:name="_Toc430185806"/>
      <w:bookmarkStart w:id="1615"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614"/>
      <w:bookmarkEnd w:id="161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 xml:space="preserve">.1   </w:t>
      </w:r>
      <w:r>
        <w:rPr>
          <w:rFonts w:hint="eastAsia" w:ascii="宋体" w:hAnsi="宋体" w:cs="宋体"/>
          <w:bCs/>
          <w:color w:val="000000" w:themeColor="text1"/>
          <w:highlight w:val="none"/>
          <w:lang w:eastAsia="zh-CN"/>
        </w:rPr>
        <w:t>中小</w:t>
      </w:r>
      <w:r>
        <w:rPr>
          <w:rFonts w:hint="eastAsia" w:ascii="宋体" w:hAnsi="宋体" w:eastAsia="宋体" w:cs="宋体"/>
          <w:bCs/>
          <w:color w:val="000000" w:themeColor="text1"/>
          <w:highlight w:val="none"/>
        </w:rPr>
        <w:t>企业（含</w:t>
      </w:r>
      <w:r>
        <w:rPr>
          <w:rFonts w:hint="eastAsia" w:ascii="宋体" w:hAnsi="宋体" w:cs="宋体"/>
          <w:bCs/>
          <w:color w:val="000000" w:themeColor="text1"/>
          <w:highlight w:val="none"/>
          <w:lang w:eastAsia="zh-CN"/>
        </w:rPr>
        <w:t>中型、</w:t>
      </w:r>
      <w:r>
        <w:rPr>
          <w:rFonts w:hint="eastAsia" w:ascii="宋体" w:hAnsi="宋体" w:eastAsia="宋体" w:cs="宋体"/>
          <w:bCs/>
          <w:color w:val="000000" w:themeColor="text1"/>
          <w:highlight w:val="none"/>
        </w:rPr>
        <w:t>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w:t>
      </w:r>
      <w:r>
        <w:rPr>
          <w:rFonts w:hint="eastAsia" w:ascii="宋体" w:hAnsi="宋体" w:cs="宋体"/>
          <w:bCs/>
          <w:color w:val="000000" w:themeColor="text1"/>
          <w:highlight w:val="none"/>
          <w:lang w:eastAsia="zh-CN"/>
        </w:rPr>
        <w:t>中小</w:t>
      </w:r>
      <w:r>
        <w:rPr>
          <w:rFonts w:hint="eastAsia" w:ascii="宋体" w:hAnsi="宋体" w:eastAsia="宋体" w:cs="宋体"/>
          <w:bCs/>
          <w:color w:val="000000" w:themeColor="text1"/>
          <w:highlight w:val="none"/>
        </w:rPr>
        <w:t>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spacing w:line="360" w:lineRule="auto"/>
        <w:ind w:left="735" w:hanging="735" w:hangingChars="350"/>
        <w:rPr>
          <w:rFonts w:hint="eastAsia" w:ascii="宋体" w:hAnsi="宋体" w:eastAsia="宋体" w:cs="宋体"/>
          <w:bCs/>
          <w:color w:val="000000" w:themeColor="text1"/>
          <w:highlight w:val="none"/>
          <w:lang w:val="en-US" w:eastAsia="zh-CN"/>
        </w:rPr>
      </w:pPr>
      <w:r>
        <w:rPr>
          <w:rFonts w:hint="eastAsia" w:ascii="宋体"/>
          <w:color w:val="000000" w:themeColor="text1"/>
          <w:szCs w:val="21"/>
          <w:highlight w:val="none"/>
          <w:lang w:val="en-US" w:eastAsia="zh-CN"/>
        </w:rPr>
        <w:t xml:space="preserve">38    </w:t>
      </w:r>
      <w:r>
        <w:rPr>
          <w:rFonts w:hint="eastAsia" w:ascii="宋体" w:hAnsi="宋体" w:eastAsia="宋体" w:cs="宋体"/>
          <w:bCs/>
          <w:color w:val="000000" w:themeColor="text1"/>
          <w:highlight w:val="none"/>
          <w:lang w:val="en-US" w:eastAsia="zh-CN"/>
        </w:rPr>
        <w:t>根据财库〔2021〕19号 《关于运用政府采购政策支持乡村产业振兴的通知》各级预算单位应当</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按照不低于10%的比例预留年度食堂食材采购份额，通过脱贫地区农副产品网络销售平台（原贫</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困地区农副产品网络销售平台）采购脱贫地区农副产品。脱贫地区农副产品是指在832个脱贫县</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域内注册的企业、农民专业合作社、家庭农场等出产的农副产品。确因地域、相关政策限制等特</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殊原因难以完成10%预留份额任务的预算单位，可由中央主管预算单位或省级财政部门报经财政</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部(国库司)审核同意后，适当放宽预留比例要求。</w:t>
      </w:r>
    </w:p>
    <w:p>
      <w:pPr>
        <w:spacing w:line="360" w:lineRule="auto"/>
        <w:ind w:left="735" w:hanging="735" w:hangingChars="350"/>
        <w:rPr>
          <w:rFonts w:hint="default" w:ascii="宋体" w:hAnsi="宋体" w:eastAsia="宋体" w:cs="宋体"/>
          <w:bCs/>
          <w:color w:val="000000" w:themeColor="text1"/>
          <w:highlight w:val="none"/>
          <w:lang w:val="en-US" w:eastAsia="zh-CN"/>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1"/>
          <w:numId w:val="0"/>
        </w:numPr>
        <w:rPr>
          <w:color w:val="000000" w:themeColor="text1"/>
          <w:sz w:val="24"/>
          <w:highlight w:val="none"/>
        </w:rPr>
      </w:pPr>
      <w:bookmarkStart w:id="1616" w:name="_Toc4102"/>
      <w:r>
        <w:rPr>
          <w:rFonts w:hint="eastAsia"/>
          <w:color w:val="000000" w:themeColor="text1"/>
          <w:sz w:val="24"/>
          <w:highlight w:val="none"/>
        </w:rPr>
        <w:t>H、评标细则</w:t>
      </w:r>
      <w:bookmarkEnd w:id="1616"/>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70"/>
        <w:gridCol w:w="2173"/>
        <w:gridCol w:w="2226"/>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价格评分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50</w:t>
            </w:r>
            <w:r>
              <w:rPr>
                <w:rFonts w:hint="eastAsia" w:ascii="宋体" w:hAnsi="宋体" w:cs="宋体"/>
                <w:color w:val="000000" w:themeColor="text1"/>
                <w:sz w:val="21"/>
                <w:szCs w:val="21"/>
                <w:highlight w:val="none"/>
              </w:rPr>
              <w:t>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cs="宋体"/>
                <w:color w:val="000000" w:themeColor="text1"/>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3"/>
        <w:gridCol w:w="1390"/>
        <w:gridCol w:w="1100"/>
        <w:gridCol w:w="6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20"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采购</w:t>
            </w:r>
            <w:r>
              <w:rPr>
                <w:rFonts w:hint="eastAsia" w:ascii="宋体" w:hAnsi="宋体" w:eastAsia="宋体" w:cs="宋体"/>
                <w:color w:val="000000" w:themeColor="text1"/>
                <w:kern w:val="0"/>
                <w:sz w:val="21"/>
                <w:szCs w:val="21"/>
                <w:highlight w:val="none"/>
              </w:rPr>
              <w:t>需求响应程度</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5分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kinsoku w:val="0"/>
              <w:wordWrap/>
              <w:autoSpaceDE w:val="0"/>
              <w:autoSpaceDN w:val="0"/>
              <w:adjustRightInd w:val="0"/>
              <w:snapToGrid w:val="0"/>
              <w:spacing w:line="320" w:lineRule="exact"/>
              <w:jc w:val="left"/>
              <w:textAlignment w:val="baseline"/>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1.优于采购需求的得5分；</w:t>
            </w:r>
          </w:p>
          <w:p>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2.满足采购需求的得3分。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物业服务方案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15</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包括但不限于针对本项目制定的物业服务方案（包括物业管理规章制度、巡查巡视、设备使用管理、节能减排方案等）。</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物业服务内容和实施方案科学合理，考虑周全，切实可行，得15分；</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物业服务内容和实施方案较科学合理，考虑较为周全，较为切实可行，得11分；</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物业服务内容和实施方案一般，考虑不够周全，切实可行性一般，得7分；</w:t>
            </w:r>
          </w:p>
          <w:p>
            <w:pPr>
              <w:wordWrap/>
              <w:snapToGrid w:val="0"/>
              <w:spacing w:beforeLines="15" w:afterLines="15" w:line="320" w:lineRule="exac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物业服务内容和实施方案差，考虑不周全，切实可行性差，得3分。</w:t>
            </w:r>
          </w:p>
          <w:p>
            <w:pPr>
              <w:wordWrap/>
              <w:snapToGrid w:val="0"/>
              <w:spacing w:beforeLines="15" w:afterLines="15"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9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工作人员培训及管理</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工作人员服务知识和技能培训及管理方案科学合理，理念先进，措施详细，有效确保员工队伍稳定，得10分；</w:t>
            </w:r>
          </w:p>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工作人员培训及管理培训方案较科学合理，理念较为先进，措施较为详细，能够有效确保员工队伍稳定，得7分；</w:t>
            </w:r>
          </w:p>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工作人员培训及管理培训方案一般，理念一般，措施一般，能够有效确保员工队伍稳定，得3分；</w:t>
            </w:r>
          </w:p>
          <w:p>
            <w:pPr>
              <w:wordWrap/>
              <w:snapToGrid w:val="0"/>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工作人员培训及管理培训方案差，理念差，措施差，不能够有效确保员工队伍稳定，得1分；</w:t>
            </w:r>
          </w:p>
          <w:p>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档案资料管理</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包括但不限于针对本项目制定的档案资料管理措施。</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档案资料管理方案完善，能够对设备运行维护、维修记录等各类资料进行系统地收集整理分类、储存，得10分；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档案资料管理方案较为完善，能够对设备运行维护、维修记录等各类资料较系统地收集整理分类、储存，得7分；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档案资料管理方案一般，对设备运行维护、维修记录等各类资料收集整理分类、储存一般，得3分；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档案资料管理方案差，对设备运行维护、维修记录等各类资料收集整理分类、储存差，得1分；</w:t>
            </w:r>
          </w:p>
          <w:p>
            <w:pPr>
              <w:wordWrap/>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pacing w:beforeLines="15" w:afterLines="15" w:line="320" w:lineRule="exact"/>
              <w:jc w:val="lef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突发应急方案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10</w:t>
            </w:r>
            <w:r>
              <w:rPr>
                <w:rFonts w:hint="eastAsia" w:ascii="宋体" w:hAnsi="宋体" w:eastAsia="宋体" w:cs="宋体"/>
                <w:color w:val="000000" w:themeColor="text1"/>
                <w:kern w:val="0"/>
                <w:sz w:val="21"/>
                <w:szCs w:val="21"/>
                <w:highlight w:val="none"/>
                <w:lang w:val="en-US"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包括但不限于突发事件（电力故障、电梯故障、火灾等）应急方案。</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突发应急方案合理科学、具体、可行性强，10分；</w:t>
            </w:r>
          </w:p>
          <w:p>
            <w:pPr>
              <w:pStyle w:val="2"/>
              <w:wordWrap/>
              <w:spacing w:beforeLines="15" w:afterLines="15" w:line="320" w:lineRule="exact"/>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2</w:t>
            </w:r>
            <w:r>
              <w:rPr>
                <w:rFonts w:hint="eastAsia" w:ascii="宋体" w:hAnsi="宋体" w:eastAsia="宋体" w:cs="宋体"/>
                <w:color w:val="000000" w:themeColor="text1"/>
                <w:kern w:val="0"/>
                <w:sz w:val="21"/>
                <w:szCs w:val="21"/>
                <w:highlight w:val="none"/>
                <w:lang w:val="en-US" w:eastAsia="zh-CN"/>
              </w:rPr>
              <w:t>.</w:t>
            </w:r>
            <w:r>
              <w:rPr>
                <w:rFonts w:hint="eastAsia" w:ascii="宋体" w:hAnsi="宋体" w:eastAsia="宋体" w:cs="宋体"/>
                <w:color w:val="000000" w:themeColor="text1"/>
                <w:kern w:val="0"/>
                <w:sz w:val="21"/>
                <w:szCs w:val="21"/>
                <w:highlight w:val="none"/>
              </w:rPr>
              <w:t>突发应急方案较合理科学、较具体、较可行，得7分；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突发应急方案一般、不够具体、可行性一般，得3分；</w:t>
            </w:r>
          </w:p>
          <w:p>
            <w:pPr>
              <w:wordWrap/>
              <w:spacing w:beforeLines="15" w:afterLines="15" w:line="320" w:lineRule="exact"/>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突发应急方案差、不具体、可行性差的，得1分；</w:t>
            </w:r>
          </w:p>
          <w:p>
            <w:pPr>
              <w:wordWrap/>
              <w:spacing w:beforeLines="15" w:afterLines="15"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lang w:val="en-US" w:eastAsia="zh-CN"/>
              </w:rPr>
              <w:t>.</w:t>
            </w:r>
            <w:r>
              <w:rPr>
                <w:rFonts w:hint="eastAsia" w:ascii="宋体" w:hAnsi="宋体" w:eastAsia="宋体" w:cs="宋体"/>
                <w:color w:val="000000" w:themeColor="text1"/>
                <w:kern w:val="0"/>
                <w:szCs w:val="21"/>
                <w:highlight w:val="none"/>
              </w:rPr>
              <w:t>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92" w:hRule="atLeast"/>
          <w:jc w:val="center"/>
        </w:trPr>
        <w:tc>
          <w:tcPr>
            <w:tcW w:w="230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val="0"/>
              <w:wordWrap/>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41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1359"/>
        <w:gridCol w:w="1124"/>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359"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1124"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0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1</w:t>
            </w:r>
          </w:p>
        </w:tc>
        <w:tc>
          <w:tcPr>
            <w:tcW w:w="1359" w:type="dxa"/>
            <w:tcMar>
              <w:top w:w="0" w:type="dxa"/>
              <w:left w:w="108" w:type="dxa"/>
              <w:bottom w:w="0" w:type="dxa"/>
              <w:right w:w="108" w:type="dxa"/>
            </w:tcMar>
            <w:vAlign w:val="center"/>
          </w:tcPr>
          <w:p>
            <w:pPr>
              <w:widowControl/>
              <w:kinsoku w:val="0"/>
              <w:wordWrap/>
              <w:autoSpaceDE w:val="0"/>
              <w:autoSpaceDN w:val="0"/>
              <w:adjustRightInd w:val="0"/>
              <w:snapToGrid w:val="0"/>
              <w:spacing w:line="320" w:lineRule="exact"/>
              <w:jc w:val="center"/>
              <w:textAlignment w:val="baseline"/>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投入设备情况</w:t>
            </w:r>
          </w:p>
        </w:tc>
        <w:tc>
          <w:tcPr>
            <w:tcW w:w="1124" w:type="dxa"/>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val="0"/>
                <w:bCs w:val="0"/>
                <w:color w:val="000000" w:themeColor="text1"/>
                <w:kern w:val="0"/>
                <w:sz w:val="21"/>
                <w:szCs w:val="21"/>
                <w:highlight w:val="none"/>
                <w:lang w:val="en-US" w:eastAsia="zh-CN"/>
              </w:rPr>
              <w:t>20分</w:t>
            </w:r>
          </w:p>
        </w:tc>
        <w:tc>
          <w:tcPr>
            <w:tcW w:w="6017" w:type="dxa"/>
            <w:tcMar>
              <w:top w:w="0" w:type="dxa"/>
              <w:left w:w="108" w:type="dxa"/>
              <w:bottom w:w="0" w:type="dxa"/>
              <w:right w:w="108" w:type="dxa"/>
            </w:tcMar>
            <w:vAlign w:val="center"/>
          </w:tcPr>
          <w:p>
            <w:pPr>
              <w:widowControl/>
              <w:kinsoku w:val="0"/>
              <w:wordWrap/>
              <w:autoSpaceDE w:val="0"/>
              <w:autoSpaceDN w:val="0"/>
              <w:adjustRightInd w:val="0"/>
              <w:snapToGrid w:val="0"/>
              <w:spacing w:line="320" w:lineRule="exact"/>
              <w:jc w:val="left"/>
              <w:textAlignment w:val="baseline"/>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投标人具有</w:t>
            </w:r>
            <w:r>
              <w:rPr>
                <w:rFonts w:hint="eastAsia" w:ascii="宋体" w:hAnsi="宋体" w:eastAsia="宋体" w:cs="宋体"/>
                <w:b w:val="0"/>
                <w:bCs w:val="0"/>
                <w:color w:val="000000" w:themeColor="text1"/>
                <w:sz w:val="21"/>
                <w:szCs w:val="21"/>
                <w:highlight w:val="none"/>
              </w:rPr>
              <w:t>防暴棍、盾牌、钢叉、对讲机</w:t>
            </w:r>
            <w:r>
              <w:rPr>
                <w:rFonts w:hint="eastAsia" w:ascii="宋体" w:hAnsi="宋体" w:eastAsia="宋体" w:cs="宋体"/>
                <w:b w:val="0"/>
                <w:bCs w:val="0"/>
                <w:color w:val="000000" w:themeColor="text1"/>
                <w:sz w:val="21"/>
                <w:szCs w:val="21"/>
                <w:highlight w:val="none"/>
                <w:lang w:val="en-US" w:eastAsia="zh-CN"/>
              </w:rPr>
              <w:t>等设备</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lang w:val="en-US" w:eastAsia="zh-CN"/>
              </w:rPr>
              <w:t>每提供一项，得5分</w:t>
            </w:r>
            <w:r>
              <w:rPr>
                <w:rFonts w:hint="eastAsia" w:ascii="宋体" w:hAnsi="宋体" w:eastAsia="宋体" w:cs="宋体"/>
                <w:b w:val="0"/>
                <w:bCs w:val="0"/>
                <w:color w:val="000000" w:themeColor="text1"/>
                <w:sz w:val="21"/>
                <w:szCs w:val="21"/>
                <w:highlight w:val="none"/>
              </w:rPr>
              <w:t>，</w:t>
            </w:r>
            <w:r>
              <w:rPr>
                <w:rFonts w:hint="eastAsia" w:ascii="宋体" w:hAnsi="宋体" w:eastAsia="宋体" w:cs="宋体"/>
                <w:b w:val="0"/>
                <w:bCs w:val="0"/>
                <w:color w:val="000000" w:themeColor="text1"/>
                <w:sz w:val="21"/>
                <w:szCs w:val="21"/>
                <w:highlight w:val="none"/>
                <w:lang w:val="en-US" w:eastAsia="zh-CN"/>
              </w:rPr>
              <w:t>满分20</w:t>
            </w:r>
            <w:r>
              <w:rPr>
                <w:rFonts w:hint="eastAsia" w:ascii="宋体" w:hAnsi="宋体" w:eastAsia="宋体" w:cs="宋体"/>
                <w:b w:val="0"/>
                <w:bCs w:val="0"/>
                <w:color w:val="000000" w:themeColor="text1"/>
                <w:sz w:val="21"/>
                <w:szCs w:val="21"/>
                <w:highlight w:val="none"/>
              </w:rPr>
              <w:t>分；否则不得分；</w:t>
            </w:r>
          </w:p>
          <w:p>
            <w:pPr>
              <w:widowControl/>
              <w:kinsoku w:val="0"/>
              <w:wordWrap/>
              <w:autoSpaceDE w:val="0"/>
              <w:autoSpaceDN w:val="0"/>
              <w:adjustRightInd w:val="0"/>
              <w:snapToGrid w:val="0"/>
              <w:spacing w:line="320" w:lineRule="exact"/>
              <w:jc w:val="left"/>
              <w:textAlignment w:val="baseline"/>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rPr>
              <w:t>注：</w:t>
            </w:r>
            <w:r>
              <w:rPr>
                <w:rFonts w:hint="eastAsia" w:ascii="宋体" w:hAnsi="宋体" w:eastAsia="宋体" w:cs="宋体"/>
                <w:b/>
                <w:bCs/>
                <w:color w:val="000000" w:themeColor="text1"/>
                <w:sz w:val="21"/>
                <w:szCs w:val="21"/>
                <w:highlight w:val="none"/>
                <w:lang w:val="en-US" w:eastAsia="zh-CN"/>
              </w:rPr>
              <w:t>提供设备图片</w:t>
            </w:r>
            <w:r>
              <w:rPr>
                <w:rFonts w:hint="eastAsia" w:ascii="宋体" w:hAnsi="宋体" w:eastAsia="宋体" w:cs="宋体"/>
                <w:b/>
                <w:bCs/>
                <w:color w:val="000000" w:themeColor="text1"/>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0"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1359" w:type="dxa"/>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同类项目业绩</w:t>
            </w:r>
          </w:p>
        </w:tc>
        <w:tc>
          <w:tcPr>
            <w:tcW w:w="1124" w:type="dxa"/>
            <w:tcMar>
              <w:top w:w="0" w:type="dxa"/>
              <w:left w:w="108" w:type="dxa"/>
              <w:bottom w:w="0" w:type="dxa"/>
              <w:right w:w="108" w:type="dxa"/>
            </w:tcMar>
            <w:vAlign w:val="center"/>
          </w:tcPr>
          <w:p>
            <w:pPr>
              <w:widowControl/>
              <w:wordWrap/>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10分</w:t>
            </w:r>
          </w:p>
        </w:tc>
        <w:tc>
          <w:tcPr>
            <w:tcW w:w="6017" w:type="dxa"/>
            <w:tcMar>
              <w:top w:w="0" w:type="dxa"/>
              <w:left w:w="108" w:type="dxa"/>
              <w:bottom w:w="0" w:type="dxa"/>
              <w:right w:w="108" w:type="dxa"/>
            </w:tcMar>
            <w:vAlign w:val="center"/>
          </w:tcPr>
          <w:p>
            <w:pPr>
              <w:wordWrap/>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投标人2020年1月1日至投标截止时间承接过同类项目业绩的，提供1项业绩得</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分，最高得</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widowControl/>
              <w:wordWrap/>
              <w:spacing w:line="320" w:lineRule="exact"/>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sz w:val="21"/>
                <w:szCs w:val="21"/>
                <w:highlight w:val="none"/>
              </w:rPr>
              <w:t>注：以合同签订时间为准</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提供合同复印件加盖公章作为评审依据，不提供不得分。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8" w:hRule="atLeast"/>
        </w:trPr>
        <w:tc>
          <w:tcPr>
            <w:tcW w:w="9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1359" w:type="dxa"/>
            <w:tcMar>
              <w:top w:w="0" w:type="dxa"/>
              <w:left w:w="108" w:type="dxa"/>
              <w:bottom w:w="0" w:type="dxa"/>
              <w:right w:w="108" w:type="dxa"/>
            </w:tcMar>
            <w:vAlign w:val="center"/>
          </w:tcPr>
          <w:p>
            <w:pPr>
              <w:widowControl/>
              <w:wordWrap/>
              <w:spacing w:line="320" w:lineRule="exact"/>
              <w:jc w:val="center"/>
              <w:rPr>
                <w:rFonts w:hint="eastAsia" w:ascii="宋体" w:hAnsi="宋体" w:cs="宋体"/>
                <w:color w:val="000000" w:themeColor="text1"/>
                <w:highlight w:val="none"/>
                <w:lang w:val="en-US" w:eastAsia="zh-CN"/>
              </w:rPr>
            </w:pPr>
            <w:r>
              <w:rPr>
                <w:rFonts w:hint="eastAsia" w:ascii="宋体" w:hAnsi="宋体" w:eastAsia="宋体" w:cs="宋体"/>
                <w:color w:val="000000" w:themeColor="text1"/>
                <w:kern w:val="0"/>
                <w:sz w:val="21"/>
                <w:szCs w:val="21"/>
                <w:highlight w:val="none"/>
              </w:rPr>
              <w:t>人员</w:t>
            </w:r>
            <w:r>
              <w:rPr>
                <w:rFonts w:hint="eastAsia" w:ascii="宋体" w:hAnsi="宋体" w:eastAsia="宋体" w:cs="宋体"/>
                <w:color w:val="000000" w:themeColor="text1"/>
                <w:sz w:val="21"/>
                <w:szCs w:val="21"/>
                <w:highlight w:val="none"/>
                <w:lang w:val="en-US" w:eastAsia="zh-CN"/>
              </w:rPr>
              <w:t>投入</w:t>
            </w:r>
            <w:r>
              <w:rPr>
                <w:rFonts w:hint="eastAsia" w:ascii="宋体" w:hAnsi="宋体" w:eastAsia="宋体" w:cs="宋体"/>
                <w:color w:val="000000" w:themeColor="text1"/>
                <w:kern w:val="0"/>
                <w:sz w:val="21"/>
                <w:szCs w:val="21"/>
                <w:highlight w:val="none"/>
              </w:rPr>
              <w:t>情况</w:t>
            </w:r>
          </w:p>
        </w:tc>
        <w:tc>
          <w:tcPr>
            <w:tcW w:w="1124" w:type="dxa"/>
            <w:tcMar>
              <w:top w:w="0" w:type="dxa"/>
              <w:left w:w="108" w:type="dxa"/>
              <w:bottom w:w="0" w:type="dxa"/>
              <w:right w:w="108" w:type="dxa"/>
            </w:tcMar>
            <w:vAlign w:val="center"/>
          </w:tcPr>
          <w:p>
            <w:pPr>
              <w:widowControl/>
              <w:wordWrap/>
              <w:spacing w:line="320" w:lineRule="exact"/>
              <w:jc w:val="center"/>
              <w:rPr>
                <w:rFonts w:hint="eastAsia" w:ascii="宋体" w:hAnsi="宋体" w:cs="宋体"/>
                <w:color w:val="000000" w:themeColor="text1"/>
                <w:highlight w:val="none"/>
                <w:lang w:val="en-US" w:eastAsia="zh-CN"/>
              </w:rPr>
            </w:pPr>
            <w:r>
              <w:rPr>
                <w:rFonts w:hint="eastAsia" w:ascii="宋体" w:hAnsi="宋体" w:eastAsia="宋体" w:cs="宋体"/>
                <w:color w:val="000000" w:themeColor="text1"/>
                <w:kern w:val="0"/>
                <w:sz w:val="21"/>
                <w:szCs w:val="21"/>
                <w:highlight w:val="none"/>
                <w:lang w:val="en-US" w:eastAsia="zh-CN"/>
              </w:rPr>
              <w:t>10分</w:t>
            </w:r>
          </w:p>
        </w:tc>
        <w:tc>
          <w:tcPr>
            <w:tcW w:w="6017" w:type="dxa"/>
            <w:tcMar>
              <w:top w:w="0" w:type="dxa"/>
              <w:left w:w="108" w:type="dxa"/>
              <w:bottom w:w="0" w:type="dxa"/>
              <w:right w:w="108" w:type="dxa"/>
            </w:tcMar>
            <w:vAlign w:val="center"/>
          </w:tcPr>
          <w:p>
            <w:pPr>
              <w:widowControl/>
              <w:wordWrap/>
              <w:spacing w:line="320" w:lineRule="exact"/>
              <w:jc w:val="lef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投入本项目人员，提供1人得2分，满分10分。</w:t>
            </w:r>
          </w:p>
          <w:p>
            <w:pPr>
              <w:widowControl/>
              <w:wordWrap/>
              <w:spacing w:line="320" w:lineRule="exact"/>
              <w:jc w:val="left"/>
              <w:rPr>
                <w:rFonts w:hint="eastAsia" w:ascii="宋体" w:hAnsi="宋体" w:eastAsia="宋体" w:cs="宋体"/>
                <w:b/>
                <w:bCs/>
                <w:color w:val="000000" w:themeColor="text1"/>
                <w:highlight w:val="none"/>
              </w:rPr>
            </w:pPr>
            <w:r>
              <w:rPr>
                <w:rFonts w:hint="eastAsia" w:ascii="宋体" w:hAnsi="宋体" w:eastAsia="宋体" w:cs="宋体"/>
                <w:b/>
                <w:bCs/>
                <w:color w:val="000000" w:themeColor="text1"/>
                <w:sz w:val="21"/>
                <w:szCs w:val="21"/>
                <w:highlight w:val="none"/>
                <w:lang w:val="en-US" w:eastAsia="zh-CN"/>
              </w:rPr>
              <w:t>注：提供身份证复印件和劳动合同复印件加盖公章，不提供不得分。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trPr>
        <w:tc>
          <w:tcPr>
            <w:tcW w:w="2276" w:type="dxa"/>
            <w:gridSpan w:val="2"/>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124"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分</w:t>
            </w:r>
          </w:p>
        </w:tc>
        <w:tc>
          <w:tcPr>
            <w:tcW w:w="6017" w:type="dxa"/>
            <w:tcMar>
              <w:top w:w="0" w:type="dxa"/>
              <w:left w:w="108" w:type="dxa"/>
              <w:bottom w:w="0" w:type="dxa"/>
              <w:right w:w="108" w:type="dxa"/>
            </w:tcMar>
            <w:vAlign w:val="center"/>
          </w:tcPr>
          <w:p>
            <w:pPr>
              <w:widowControl w:val="0"/>
              <w:wordWrap/>
              <w:adjustRightInd/>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97"/>
    <w:bookmarkEnd w:id="1598"/>
    <w:bookmarkEnd w:id="1599"/>
    <w:bookmarkEnd w:id="1600"/>
    <w:bookmarkEnd w:id="1601"/>
    <w:bookmarkEnd w:id="1602"/>
    <w:bookmarkEnd w:id="1603"/>
    <w:bookmarkEnd w:id="1604"/>
    <w:bookmarkEnd w:id="1605"/>
    <w:bookmarkEnd w:id="1606"/>
    <w:p>
      <w:pPr>
        <w:pStyle w:val="3"/>
        <w:numPr>
          <w:ilvl w:val="0"/>
          <w:numId w:val="0"/>
        </w:numPr>
        <w:spacing w:beforeLines="0"/>
        <w:rPr>
          <w:color w:val="000000" w:themeColor="text1"/>
          <w:highlight w:val="none"/>
        </w:rPr>
      </w:pPr>
      <w:bookmarkStart w:id="1617" w:name="_Hlt21939000"/>
      <w:bookmarkEnd w:id="1617"/>
      <w:bookmarkStart w:id="1618" w:name="_Toc337632367"/>
      <w:bookmarkStart w:id="1619" w:name="_Toc340677079"/>
      <w:bookmarkStart w:id="1620" w:name="_Toc340672878"/>
      <w:bookmarkStart w:id="1621" w:name="_Toc331512907"/>
      <w:bookmarkStart w:id="1622" w:name="_Toc333238642"/>
      <w:bookmarkStart w:id="1623" w:name="_Toc349127635"/>
      <w:bookmarkStart w:id="1624" w:name="_Toc374454610"/>
      <w:bookmarkStart w:id="1625" w:name="_Toc342296769"/>
      <w:bookmarkStart w:id="1626" w:name="_Toc336681944"/>
      <w:bookmarkStart w:id="1627" w:name="_Toc333935696"/>
      <w:bookmarkStart w:id="1628" w:name="_Toc339362309"/>
      <w:bookmarkStart w:id="1629" w:name="_Toc365967081"/>
      <w:bookmarkStart w:id="1630" w:name="_Toc342060383"/>
      <w:bookmarkStart w:id="1631" w:name="_Toc339441096"/>
      <w:bookmarkStart w:id="1632" w:name="_Toc333935355"/>
      <w:bookmarkStart w:id="1633" w:name="_Toc331684047"/>
      <w:bookmarkStart w:id="1634" w:name="_Toc345513910"/>
      <w:bookmarkStart w:id="1635" w:name="_Toc349143598"/>
      <w:bookmarkStart w:id="1636" w:name="_Toc350438758"/>
      <w:bookmarkStart w:id="1637" w:name="_Toc339020242"/>
      <w:bookmarkStart w:id="1638" w:name="_Toc333237797"/>
      <w:bookmarkStart w:id="1639" w:name="_Toc332206717"/>
      <w:bookmarkStart w:id="1640" w:name="_Toc365985187"/>
      <w:bookmarkStart w:id="1641" w:name="_Toc333237686"/>
      <w:bookmarkStart w:id="1642" w:name="_Toc340507451"/>
      <w:bookmarkStart w:id="1643" w:name="_Toc330459994"/>
      <w:bookmarkStart w:id="1644" w:name="_Toc336681589"/>
      <w:bookmarkStart w:id="1645" w:name="_Toc339019898"/>
      <w:bookmarkStart w:id="1646" w:name="_Toc366072538"/>
      <w:bookmarkStart w:id="1647" w:name="_Toc339020024"/>
      <w:bookmarkStart w:id="1648" w:name="_Toc332270355"/>
      <w:bookmarkStart w:id="1649" w:name="_Toc350756459"/>
      <w:bookmarkStart w:id="1650" w:name="_Toc341348347"/>
      <w:bookmarkStart w:id="1651" w:name="_Toc339020104"/>
      <w:bookmarkStart w:id="1652" w:name="_Toc12435"/>
      <w:r>
        <w:rPr>
          <w:rFonts w:hint="eastAsia"/>
          <w:color w:val="000000" w:themeColor="text1"/>
          <w:highlight w:val="none"/>
        </w:rPr>
        <w:t>第四部分  采购项目合同</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97188170"/>
      <w:bookmarkEnd w:id="1653"/>
      <w:r>
        <w:rPr>
          <w:rFonts w:hint="eastAsia"/>
          <w:color w:val="000000" w:themeColor="text1"/>
          <w:highlight w:val="none"/>
        </w:rPr>
        <w:t>（参考范本）</w:t>
      </w:r>
      <w:bookmarkEnd w:id="1652"/>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rPr>
      </w:pPr>
      <w:r>
        <w:rPr>
          <w:rFonts w:hint="eastAsia" w:ascii="宋体" w:hAnsi="宋体" w:eastAsia="宋体" w:cs="宋体"/>
          <w:b/>
          <w:color w:val="000000" w:themeColor="text1"/>
          <w:sz w:val="44"/>
          <w:szCs w:val="44"/>
          <w:highlight w:val="none"/>
          <w:lang w:eastAsia="zh-CN"/>
        </w:rPr>
        <w:t>国家税务总局阳西县税务局2023年－2025年物业管理服务项目</w:t>
      </w: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both"/>
        <w:rPr>
          <w:rFonts w:hint="eastAsia" w:ascii="宋体" w:hAnsi="宋体"/>
          <w:b/>
          <w:color w:val="000000" w:themeColor="text1"/>
          <w:sz w:val="28"/>
          <w:szCs w:val="28"/>
          <w:highlight w:val="none"/>
          <w:lang w:val="en-US" w:eastAsia="zh-CN"/>
        </w:rPr>
      </w:pPr>
      <w:r>
        <w:rPr>
          <w:rFonts w:hint="eastAsia" w:ascii="宋体" w:hAnsi="宋体"/>
          <w:b/>
          <w:color w:val="000000" w:themeColor="text1"/>
          <w:sz w:val="28"/>
          <w:szCs w:val="28"/>
          <w:highlight w:val="none"/>
          <w:lang w:val="en-US" w:eastAsia="zh-CN"/>
        </w:rPr>
        <w:t xml:space="preserve">               </w:t>
      </w:r>
    </w:p>
    <w:p>
      <w:pPr>
        <w:jc w:val="both"/>
        <w:rPr>
          <w:rFonts w:hint="eastAsia" w:ascii="宋体" w:hAnsi="宋体"/>
          <w:b/>
          <w:color w:val="000000" w:themeColor="text1"/>
          <w:sz w:val="28"/>
          <w:szCs w:val="28"/>
          <w:highlight w:val="none"/>
          <w:lang w:val="en-US" w:eastAsia="zh-CN"/>
        </w:rPr>
      </w:pPr>
    </w:p>
    <w:p>
      <w:pPr>
        <w:jc w:val="both"/>
        <w:rPr>
          <w:rFonts w:hint="eastAsia" w:ascii="宋体" w:hAnsi="宋体"/>
          <w:b/>
          <w:color w:val="000000" w:themeColor="text1"/>
          <w:sz w:val="28"/>
          <w:szCs w:val="28"/>
          <w:highlight w:val="none"/>
          <w:lang w:val="en-US" w:eastAsia="zh-CN"/>
        </w:rPr>
      </w:pPr>
    </w:p>
    <w:p>
      <w:pPr>
        <w:jc w:val="both"/>
        <w:rPr>
          <w:rFonts w:hint="eastAsia" w:ascii="宋体" w:hAnsi="宋体"/>
          <w:b/>
          <w:color w:val="000000" w:themeColor="text1"/>
          <w:sz w:val="28"/>
          <w:szCs w:val="28"/>
          <w:highlight w:val="none"/>
          <w:lang w:val="en-US" w:eastAsia="zh-CN"/>
        </w:rPr>
      </w:pPr>
    </w:p>
    <w:p>
      <w:pPr>
        <w:ind w:right="-168" w:rightChars="-80"/>
        <w:jc w:val="both"/>
        <w:rPr>
          <w:rFonts w:hint="eastAsia" w:ascii="宋体" w:hAnsi="宋体"/>
          <w:b/>
          <w:color w:val="000000" w:themeColor="text1"/>
          <w:sz w:val="28"/>
          <w:szCs w:val="28"/>
          <w:highlight w:val="none"/>
          <w:u w:val="single"/>
          <w:lang w:val="en-US" w:eastAsia="zh-CN"/>
        </w:rPr>
      </w:pPr>
      <w:r>
        <w:rPr>
          <w:rFonts w:hint="eastAsia" w:ascii="宋体" w:hAnsi="宋体"/>
          <w:b/>
          <w:color w:val="000000" w:themeColor="text1"/>
          <w:sz w:val="28"/>
          <w:szCs w:val="28"/>
          <w:highlight w:val="none"/>
          <w:lang w:val="en-US" w:eastAsia="zh-CN"/>
        </w:rPr>
        <w:t>合同编号：</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p>
    <w:p>
      <w:pPr>
        <w:ind w:right="-168" w:rightChars="-80"/>
        <w:jc w:val="both"/>
        <w:rPr>
          <w:rFonts w:hint="eastAsia" w:ascii="宋体" w:hAnsi="宋体"/>
          <w:b/>
          <w:color w:val="000000" w:themeColor="text1"/>
          <w:sz w:val="28"/>
          <w:szCs w:val="28"/>
          <w:highlight w:val="none"/>
        </w:rPr>
      </w:pPr>
    </w:p>
    <w:p>
      <w:pPr>
        <w:ind w:right="-168" w:rightChars="-8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right="-168" w:rightChars="-8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eastAsia="zh-CN"/>
        </w:rPr>
        <w:t>国家税务总局阳西县税务局2023年－2025年物业管理服务项目</w:t>
      </w:r>
    </w:p>
    <w:p>
      <w:pPr>
        <w:rPr>
          <w:rFonts w:hint="eastAsia" w:ascii="宋体" w:hAnsi="宋体"/>
          <w:b/>
          <w:color w:val="000000" w:themeColor="text1"/>
          <w:sz w:val="28"/>
          <w:szCs w:val="28"/>
          <w:highlight w:val="none"/>
        </w:rPr>
      </w:pPr>
    </w:p>
    <w:p>
      <w:pPr>
        <w:jc w:val="center"/>
        <w:rPr>
          <w:rFonts w:hint="eastAsia" w:ascii="宋体" w:hAnsi="宋体" w:cs="宋体"/>
          <w:color w:val="000000" w:themeColor="text1"/>
          <w:sz w:val="44"/>
          <w:szCs w:val="44"/>
          <w:highlight w:val="none"/>
          <w:lang w:eastAsia="zh-CN"/>
        </w:rPr>
      </w:pPr>
    </w:p>
    <w:p>
      <w:pPr>
        <w:jc w:val="center"/>
        <w:rPr>
          <w:rFonts w:hint="eastAsia" w:ascii="宋体" w:hAnsi="宋体" w:cs="宋体"/>
          <w:color w:val="000000" w:themeColor="text1"/>
          <w:sz w:val="44"/>
          <w:szCs w:val="44"/>
          <w:highlight w:val="none"/>
          <w:lang w:eastAsia="zh-CN"/>
        </w:rPr>
      </w:pPr>
    </w:p>
    <w:p>
      <w:pPr>
        <w:wordWrap w:val="0"/>
        <w:jc w:val="right"/>
        <w:rPr>
          <w:rFonts w:hint="default" w:ascii="宋体" w:hAnsi="宋体" w:cs="宋体"/>
          <w:color w:val="000000" w:themeColor="text1"/>
          <w:sz w:val="28"/>
          <w:szCs w:val="28"/>
          <w:highlight w:val="none"/>
          <w:lang w:val="en-US" w:eastAsia="zh-CN"/>
        </w:rPr>
      </w:pPr>
      <w:r>
        <w:rPr>
          <w:rStyle w:val="310"/>
          <w:rFonts w:hint="eastAsia"/>
          <w:b/>
          <w:i w:val="0"/>
          <w:caps w:val="0"/>
          <w:color w:val="000000" w:themeColor="text1"/>
          <w:spacing w:val="0"/>
          <w:w w:val="100"/>
          <w:kern w:val="2"/>
          <w:sz w:val="28"/>
          <w:szCs w:val="28"/>
          <w:highlight w:val="none"/>
          <w:lang w:val="en-US" w:eastAsia="zh-CN" w:bidi="ar-SA"/>
        </w:rPr>
        <w:t xml:space="preserve">  </w:t>
      </w: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spacing w:line="360" w:lineRule="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甲方：</w:t>
      </w:r>
      <w:r>
        <w:rPr>
          <w:rFonts w:hint="eastAsia" w:ascii="宋体" w:hAnsi="宋体" w:cs="宋体"/>
          <w:color w:val="000000" w:themeColor="text1"/>
          <w:sz w:val="28"/>
          <w:szCs w:val="28"/>
          <w:highlight w:val="none"/>
          <w:u w:val="single"/>
          <w:lang w:eastAsia="zh-CN"/>
        </w:rPr>
        <w:t>国家税务总局阳西县税务局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地址：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电话：</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地址：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u w:val="single"/>
        </w:rPr>
      </w:pPr>
      <w:r>
        <w:rPr>
          <w:rFonts w:hint="eastAsia" w:ascii="宋体" w:hAnsi="宋体" w:eastAsia="宋体" w:cs="宋体"/>
          <w:color w:val="000000" w:themeColor="text1"/>
          <w:sz w:val="28"/>
          <w:szCs w:val="28"/>
          <w:highlight w:val="none"/>
        </w:rPr>
        <w:t>电话：</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p>
    <w:p>
      <w:pPr>
        <w:keepNext w:val="0"/>
        <w:keepLines w:val="0"/>
        <w:pageBreakBefore w:val="0"/>
        <w:widowControl w:val="0"/>
        <w:kinsoku/>
        <w:wordWrap/>
        <w:overflowPunct/>
        <w:topLinePunct w:val="0"/>
        <w:bidi w:val="0"/>
        <w:adjustRightInd/>
        <w:snapToGrid/>
        <w:spacing w:line="560" w:lineRule="atLeast"/>
        <w:ind w:firstLine="555"/>
        <w:jc w:val="left"/>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 xml:space="preserve">根据 </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eastAsia="zh-CN"/>
        </w:rPr>
        <w:t>国家税务总局阳西县税务局2023年－2025年物业管理服务项目</w:t>
      </w:r>
      <w:r>
        <w:rPr>
          <w:rFonts w:hint="eastAsia" w:ascii="宋体" w:hAnsi="宋体" w:eastAsia="宋体" w:cs="宋体"/>
          <w:color w:val="000000" w:themeColor="text1"/>
          <w:sz w:val="28"/>
          <w:szCs w:val="28"/>
          <w:highlight w:val="none"/>
        </w:rPr>
        <w:t>（采购编号：</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）的采购结果</w:t>
      </w:r>
      <w:r>
        <w:rPr>
          <w:rFonts w:hint="eastAsia" w:ascii="宋体" w:hAnsi="宋体" w:eastAsia="宋体" w:cs="宋体"/>
          <w:color w:val="000000" w:themeColor="text1"/>
          <w:sz w:val="28"/>
          <w:szCs w:val="28"/>
          <w:highlight w:val="none"/>
          <w:lang w:val="en-US" w:eastAsia="zh-CN"/>
        </w:rPr>
        <w:t>及</w:t>
      </w:r>
      <w:r>
        <w:rPr>
          <w:rFonts w:hint="eastAsia" w:ascii="宋体" w:hAnsi="宋体" w:eastAsia="宋体" w:cs="宋体"/>
          <w:color w:val="000000" w:themeColor="text1"/>
          <w:sz w:val="28"/>
          <w:szCs w:val="28"/>
          <w:highlight w:val="none"/>
        </w:rPr>
        <w:t>招标投标文件中的相关约定，按照《中华人民共和国政府采购法》、</w:t>
      </w:r>
      <w:r>
        <w:rPr>
          <w:rFonts w:hint="eastAsia" w:ascii="宋体" w:hAnsi="宋体" w:eastAsia="宋体" w:cs="宋体"/>
          <w:color w:val="000000" w:themeColor="text1"/>
          <w:sz w:val="28"/>
          <w:szCs w:val="28"/>
          <w:highlight w:val="none"/>
          <w:lang w:eastAsia="zh-CN"/>
        </w:rPr>
        <w:t>《中华人民共和国民法典》</w:t>
      </w:r>
      <w:r>
        <w:rPr>
          <w:rFonts w:hint="eastAsia" w:ascii="宋体" w:hAnsi="宋体" w:eastAsia="宋体" w:cs="宋体"/>
          <w:color w:val="000000" w:themeColor="text1"/>
          <w:sz w:val="28"/>
          <w:szCs w:val="28"/>
          <w:highlight w:val="none"/>
        </w:rPr>
        <w:t>的规定，</w:t>
      </w:r>
      <w:r>
        <w:rPr>
          <w:rFonts w:hint="eastAsia" w:ascii="宋体" w:hAnsi="宋体" w:eastAsia="宋体" w:cs="宋体"/>
          <w:color w:val="000000" w:themeColor="text1"/>
          <w:kern w:val="28"/>
          <w:sz w:val="28"/>
          <w:szCs w:val="28"/>
          <w:highlight w:val="none"/>
        </w:rPr>
        <w:t>经双方协商，</w:t>
      </w:r>
      <w:r>
        <w:rPr>
          <w:rFonts w:hint="eastAsia" w:ascii="宋体" w:hAnsi="宋体" w:eastAsia="宋体" w:cs="宋体"/>
          <w:color w:val="000000" w:themeColor="text1"/>
          <w:sz w:val="28"/>
          <w:szCs w:val="28"/>
          <w:highlight w:val="none"/>
        </w:rPr>
        <w:t>本着平等互利和诚实信用的原则，</w:t>
      </w:r>
      <w:r>
        <w:rPr>
          <w:rFonts w:hint="eastAsia" w:ascii="宋体" w:hAnsi="宋体" w:eastAsia="宋体" w:cs="宋体"/>
          <w:color w:val="000000" w:themeColor="text1"/>
          <w:kern w:val="28"/>
          <w:sz w:val="28"/>
          <w:szCs w:val="28"/>
          <w:highlight w:val="none"/>
        </w:rPr>
        <w:t>一致同意签订本合同如下</w:t>
      </w:r>
      <w:r>
        <w:rPr>
          <w:rFonts w:hint="eastAsia" w:ascii="宋体" w:hAnsi="宋体" w:cs="宋体"/>
          <w:color w:val="000000" w:themeColor="text1"/>
          <w:kern w:val="28"/>
          <w:sz w:val="28"/>
          <w:szCs w:val="28"/>
          <w:highlight w:val="none"/>
          <w:lang w:eastAsia="zh-CN"/>
        </w:rPr>
        <w:t>：</w:t>
      </w:r>
    </w:p>
    <w:p>
      <w:pPr>
        <w:keepNext w:val="0"/>
        <w:keepLines w:val="0"/>
        <w:pageBreakBefore w:val="0"/>
        <w:widowControl w:val="0"/>
        <w:kinsoku/>
        <w:wordWrap/>
        <w:overflowPunct/>
        <w:topLinePunct w:val="0"/>
        <w:bidi w:val="0"/>
        <w:adjustRightInd/>
        <w:snapToGrid/>
        <w:spacing w:line="560" w:lineRule="atLeast"/>
        <w:ind w:firstLine="560" w:firstLineChars="200"/>
        <w:textAlignment w:val="auto"/>
        <w:rPr>
          <w:rFonts w:hint="eastAsia" w:ascii="宋体" w:hAnsi="宋体" w:eastAsia="宋体" w:cs="宋体"/>
          <w:b w:val="0"/>
          <w:bCs w:val="0"/>
          <w:color w:val="000000" w:themeColor="text1"/>
          <w:sz w:val="28"/>
          <w:szCs w:val="28"/>
          <w:highlight w:val="none"/>
        </w:rPr>
      </w:pPr>
      <w:r>
        <w:rPr>
          <w:rFonts w:hint="eastAsia" w:ascii="宋体" w:hAnsi="宋体" w:eastAsia="宋体" w:cs="宋体"/>
          <w:b w:val="0"/>
          <w:bCs w:val="0"/>
          <w:color w:val="000000" w:themeColor="text1"/>
          <w:sz w:val="28"/>
          <w:szCs w:val="28"/>
          <w:highlight w:val="none"/>
          <w:lang w:eastAsia="zh-CN"/>
        </w:rPr>
        <w:t>第一条</w:t>
      </w:r>
      <w:r>
        <w:rPr>
          <w:rFonts w:hint="eastAsia" w:ascii="宋体" w:hAnsi="宋体" w:eastAsia="宋体" w:cs="宋体"/>
          <w:b w:val="0"/>
          <w:bCs w:val="0"/>
          <w:color w:val="000000" w:themeColor="text1"/>
          <w:sz w:val="28"/>
          <w:szCs w:val="28"/>
          <w:highlight w:val="none"/>
        </w:rPr>
        <w:tab/>
      </w:r>
      <w:r>
        <w:rPr>
          <w:rFonts w:hint="eastAsia" w:ascii="宋体" w:hAnsi="宋体" w:eastAsia="宋体" w:cs="宋体"/>
          <w:b w:val="0"/>
          <w:bCs w:val="0"/>
          <w:color w:val="000000" w:themeColor="text1"/>
          <w:sz w:val="28"/>
          <w:szCs w:val="28"/>
          <w:highlight w:val="none"/>
        </w:rPr>
        <w:t>合同金额</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合同金额为人民币（大写</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 xml:space="preserve"> </w:t>
      </w:r>
      <w:r>
        <w:rPr>
          <w:rFonts w:hint="eastAsia" w:ascii="宋体" w:hAnsi="宋体" w:eastAsia="宋体" w:cs="宋体"/>
          <w:color w:val="000000" w:themeColor="text1"/>
          <w:sz w:val="28"/>
          <w:szCs w:val="28"/>
          <w:highlight w:val="none"/>
        </w:rPr>
        <w:tab/>
      </w:r>
      <w:r>
        <w:rPr>
          <w:rFonts w:hint="eastAsia" w:ascii="宋体" w:hAnsi="宋体" w:eastAsia="宋体" w:cs="宋体"/>
          <w:color w:val="000000" w:themeColor="text1"/>
          <w:sz w:val="28"/>
          <w:szCs w:val="28"/>
          <w:highlight w:val="none"/>
        </w:rPr>
        <w:t>元）。</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default" w:ascii="Times New Roman" w:hAnsi="Times New Roman" w:eastAsia="宋体" w:cs="Times New Roman"/>
          <w:bCs w:val="0"/>
          <w:color w:val="000000" w:themeColor="text1"/>
          <w:kern w:val="2"/>
          <w:sz w:val="28"/>
          <w:szCs w:val="28"/>
          <w:highlight w:val="none"/>
          <w:lang w:val="en-US" w:eastAsia="zh-CN" w:bidi="ar-SA"/>
        </w:rPr>
      </w:pPr>
      <w:r>
        <w:rPr>
          <w:rFonts w:hint="eastAsia" w:ascii="Times New Roman" w:hAnsi="Times New Roman" w:eastAsia="宋体" w:cs="Times New Roman"/>
          <w:bCs w:val="0"/>
          <w:color w:val="000000" w:themeColor="text1"/>
          <w:kern w:val="2"/>
          <w:sz w:val="28"/>
          <w:szCs w:val="28"/>
          <w:highlight w:val="none"/>
          <w:lang w:val="en-US" w:eastAsia="zh-CN" w:bidi="ar-SA"/>
        </w:rPr>
        <w:t>本合同履行期间实际支付的物业管理服务费</w:t>
      </w:r>
      <w:r>
        <w:rPr>
          <w:rFonts w:hint="eastAsia" w:ascii="Times New Roman" w:eastAsia="宋体" w:cs="Times New Roman"/>
          <w:bCs w:val="0"/>
          <w:color w:val="000000" w:themeColor="text1"/>
          <w:kern w:val="2"/>
          <w:sz w:val="28"/>
          <w:szCs w:val="28"/>
          <w:highlight w:val="none"/>
          <w:lang w:val="en-US" w:eastAsia="zh-CN" w:bidi="ar-SA"/>
        </w:rPr>
        <w:t>总额不能超出上述合同金额，否则超出部分由乙方承担。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二</w:t>
      </w:r>
      <w:r>
        <w:rPr>
          <w:rFonts w:hint="eastAsia" w:ascii="宋体" w:hAnsi="宋体" w:eastAsia="宋体" w:cs="宋体"/>
          <w:color w:val="000000" w:themeColor="text1"/>
          <w:sz w:val="28"/>
          <w:szCs w:val="28"/>
          <w:highlight w:val="none"/>
        </w:rPr>
        <w:t>条  一般规定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1、本合同为</w:t>
      </w:r>
      <w:r>
        <w:rPr>
          <w:rFonts w:hint="eastAsia" w:ascii="宋体" w:hAnsi="宋体" w:cs="宋体"/>
          <w:color w:val="000000" w:themeColor="text1"/>
          <w:sz w:val="28"/>
          <w:szCs w:val="28"/>
          <w:highlight w:val="none"/>
          <w:lang w:eastAsia="zh-CN"/>
        </w:rPr>
        <w:t>物业服务</w:t>
      </w:r>
      <w:r>
        <w:rPr>
          <w:rFonts w:hint="eastAsia" w:ascii="宋体" w:hAnsi="宋体" w:eastAsia="宋体" w:cs="宋体"/>
          <w:color w:val="000000" w:themeColor="text1"/>
          <w:sz w:val="28"/>
          <w:szCs w:val="28"/>
          <w:highlight w:val="none"/>
        </w:rPr>
        <w:t>合同，乙方向甲方</w:t>
      </w:r>
      <w:r>
        <w:rPr>
          <w:rFonts w:hint="eastAsia" w:ascii="宋体" w:hAnsi="宋体" w:cs="宋体"/>
          <w:color w:val="000000" w:themeColor="text1"/>
          <w:sz w:val="28"/>
          <w:szCs w:val="28"/>
          <w:highlight w:val="none"/>
          <w:lang w:eastAsia="zh-CN"/>
        </w:rPr>
        <w:t>提供</w:t>
      </w:r>
      <w:r>
        <w:rPr>
          <w:rFonts w:hint="eastAsia" w:ascii="宋体" w:hAnsi="宋体" w:cs="宋体"/>
          <w:color w:val="000000" w:themeColor="text1"/>
          <w:sz w:val="28"/>
          <w:szCs w:val="28"/>
          <w:highlight w:val="none"/>
          <w:lang w:val="en-US" w:eastAsia="zh-CN"/>
        </w:rPr>
        <w:t>物业服务需求事项：物业档案建立和管理、环境卫生与保洁管理服务</w:t>
      </w:r>
      <w:r>
        <w:rPr>
          <w:rFonts w:hint="eastAsia" w:ascii="宋体" w:hAnsi="宋体" w:cs="宋体"/>
          <w:color w:val="000000" w:themeColor="text1"/>
          <w:sz w:val="28"/>
          <w:szCs w:val="28"/>
          <w:highlight w:val="none"/>
          <w:lang w:eastAsia="zh-CN"/>
        </w:rPr>
        <w:t>（垃圾清运）</w:t>
      </w:r>
      <w:r>
        <w:rPr>
          <w:rFonts w:hint="eastAsia" w:ascii="宋体" w:hAnsi="宋体" w:cs="宋体"/>
          <w:color w:val="000000" w:themeColor="text1"/>
          <w:sz w:val="28"/>
          <w:szCs w:val="28"/>
          <w:highlight w:val="none"/>
          <w:lang w:val="en-US" w:eastAsia="zh-CN"/>
        </w:rPr>
        <w:t>、污水及化粪池管理、安保及秩序管理服务</w:t>
      </w:r>
      <w:r>
        <w:rPr>
          <w:rFonts w:hint="eastAsia" w:ascii="宋体" w:hAnsi="宋体" w:cs="宋体"/>
          <w:color w:val="000000" w:themeColor="text1"/>
          <w:sz w:val="28"/>
          <w:szCs w:val="28"/>
          <w:highlight w:val="none"/>
          <w:lang w:eastAsia="zh-CN"/>
        </w:rPr>
        <w:t>（停车场管理）</w:t>
      </w:r>
      <w:r>
        <w:rPr>
          <w:rFonts w:hint="eastAsia" w:ascii="宋体" w:hAnsi="宋体" w:cs="宋体"/>
          <w:color w:val="000000" w:themeColor="text1"/>
          <w:sz w:val="28"/>
          <w:szCs w:val="28"/>
          <w:highlight w:val="none"/>
          <w:lang w:val="en-US" w:eastAsia="zh-CN"/>
        </w:rPr>
        <w:t>、绿化的养护和管理、物业配套设施设备的日常维护管理等。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2、</w:t>
      </w:r>
      <w:r>
        <w:rPr>
          <w:rFonts w:hint="eastAsia" w:ascii="宋体" w:hAnsi="宋体" w:cs="宋体"/>
          <w:color w:val="000000" w:themeColor="text1"/>
          <w:sz w:val="28"/>
          <w:szCs w:val="28"/>
          <w:highlight w:val="none"/>
          <w:lang w:eastAsia="zh-CN"/>
        </w:rPr>
        <w:t>物业服</w:t>
      </w:r>
      <w:r>
        <w:rPr>
          <w:rFonts w:hint="eastAsia" w:ascii="宋体" w:hAnsi="宋体" w:eastAsia="宋体" w:cs="宋体"/>
          <w:color w:val="000000" w:themeColor="text1"/>
          <w:sz w:val="28"/>
          <w:szCs w:val="28"/>
          <w:highlight w:val="none"/>
        </w:rPr>
        <w:t>务期限从</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日起至</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日止（共计</w:t>
      </w:r>
      <w:r>
        <w:rPr>
          <w:rFonts w:hint="eastAsia" w:ascii="宋体" w:hAnsi="宋体" w:cs="宋体"/>
          <w:color w:val="000000" w:themeColor="text1"/>
          <w:sz w:val="28"/>
          <w:szCs w:val="28"/>
          <w:highlight w:val="none"/>
          <w:lang w:val="en-US" w:eastAsia="zh-CN"/>
        </w:rPr>
        <w:t>两</w:t>
      </w:r>
      <w:r>
        <w:rPr>
          <w:rFonts w:hint="eastAsia" w:ascii="宋体" w:hAnsi="宋体" w:eastAsia="宋体" w:cs="宋体"/>
          <w:color w:val="000000" w:themeColor="text1"/>
          <w:sz w:val="28"/>
          <w:szCs w:val="28"/>
          <w:highlight w:val="none"/>
        </w:rPr>
        <w:t>年），但本合同规定的提前终止协议的情形除外</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3、除双方另有约定外，甲、乙双方之间任何与本合同相关的信函以及结算，均使用并且只能使用本合同中甲、乙双方指定的地址和银行开户</w:t>
      </w:r>
      <w:r>
        <w:rPr>
          <w:rFonts w:hint="eastAsia" w:ascii="宋体" w:hAnsi="宋体" w:cs="宋体"/>
          <w:color w:val="000000" w:themeColor="text1"/>
          <w:sz w:val="28"/>
          <w:szCs w:val="28"/>
          <w:highlight w:val="none"/>
          <w:lang w:eastAsia="zh-CN"/>
        </w:rPr>
        <w:t>账号</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4、本合同中甲、乙任何一方的名称、法定地址、汇款人、收款人、开户银行、</w:t>
      </w:r>
      <w:r>
        <w:rPr>
          <w:rFonts w:hint="eastAsia" w:ascii="宋体" w:hAnsi="宋体" w:cs="宋体"/>
          <w:color w:val="000000" w:themeColor="text1"/>
          <w:sz w:val="28"/>
          <w:szCs w:val="28"/>
          <w:highlight w:val="none"/>
          <w:lang w:eastAsia="zh-CN"/>
        </w:rPr>
        <w:t>账号</w:t>
      </w:r>
      <w:bookmarkStart w:id="1971" w:name="_GoBack"/>
      <w:bookmarkEnd w:id="1971"/>
      <w:r>
        <w:rPr>
          <w:rFonts w:hint="eastAsia" w:ascii="宋体" w:hAnsi="宋体" w:eastAsia="宋体" w:cs="宋体"/>
          <w:color w:val="000000" w:themeColor="text1"/>
          <w:sz w:val="28"/>
          <w:szCs w:val="28"/>
          <w:highlight w:val="none"/>
        </w:rPr>
        <w:t>若有变更，变更一方应于变更前至少提前十五天书面通知对方。该书面通知经加盖公章并经本合同授权代表签字确认方有效，如乙方名称更改，还需提供新的营业执照复印件和企业名称变更核准通知书。</w:t>
      </w:r>
    </w:p>
    <w:p>
      <w:pPr>
        <w:pStyle w:val="2"/>
        <w:keepNext w:val="0"/>
        <w:keepLines w:val="0"/>
        <w:pageBreakBefore w:val="0"/>
        <w:widowControl w:val="0"/>
        <w:kinsoku/>
        <w:wordWrap/>
        <w:overflowPunct/>
        <w:topLinePunct w:val="0"/>
        <w:bidi w:val="0"/>
        <w:spacing w:line="560" w:lineRule="atLeast"/>
        <w:ind w:firstLine="56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5</w:t>
      </w:r>
      <w:r>
        <w:rPr>
          <w:rFonts w:hint="eastAsia" w:ascii="宋体" w:hAnsi="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val="en-US" w:eastAsia="zh-CN"/>
        </w:rPr>
        <w:t>服务地点为国家税务总局阳西县税务局桥平办公区、国家税务总局阳西县税务局升平办公区、国家税务总局阳西县税务局第一税务分局（办税服务厅）、国家税务总局阳西县税务局沙扒税务分局、国家税务总局阳西县税务局儒洞税务分局，以及阳西县内</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指定的其他地点。</w:t>
      </w:r>
    </w:p>
    <w:p>
      <w:pPr>
        <w:pStyle w:val="2"/>
        <w:keepNext w:val="0"/>
        <w:keepLines w:val="0"/>
        <w:pageBreakBefore w:val="0"/>
        <w:widowControl w:val="0"/>
        <w:kinsoku/>
        <w:wordWrap/>
        <w:overflowPunct/>
        <w:topLinePunct w:val="0"/>
        <w:bidi w:val="0"/>
        <w:spacing w:line="560" w:lineRule="atLeast"/>
        <w:ind w:firstLine="56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三</w:t>
      </w:r>
      <w:r>
        <w:rPr>
          <w:rFonts w:hint="eastAsia" w:ascii="宋体" w:hAnsi="宋体" w:eastAsia="宋体" w:cs="宋体"/>
          <w:color w:val="000000" w:themeColor="text1"/>
          <w:sz w:val="28"/>
          <w:szCs w:val="28"/>
          <w:highlight w:val="none"/>
        </w:rPr>
        <w:t>条  双方的权利与义务</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必须是品行端正、身体健康。</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在服务过程中应该态度良好。如乙方</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在服务过程中出现服务质量问题，甲方有权要求乙方服务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改正或通知乙方责令</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改正，若乙方服务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再不能达到要求的，甲方有权将该</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退回乙方，并有权要求乙方另行</w:t>
      </w:r>
      <w:r>
        <w:rPr>
          <w:rFonts w:hint="eastAsia" w:ascii="宋体" w:hAnsi="宋体" w:cs="宋体"/>
          <w:color w:val="000000" w:themeColor="text1"/>
          <w:sz w:val="28"/>
          <w:szCs w:val="28"/>
          <w:highlight w:val="none"/>
          <w:lang w:eastAsia="zh-CN"/>
        </w:rPr>
        <w:t>配备</w:t>
      </w:r>
      <w:r>
        <w:rPr>
          <w:rFonts w:hint="eastAsia" w:ascii="宋体" w:hAnsi="宋体" w:eastAsia="宋体" w:cs="宋体"/>
          <w:color w:val="000000" w:themeColor="text1"/>
          <w:sz w:val="28"/>
          <w:szCs w:val="28"/>
          <w:highlight w:val="none"/>
        </w:rPr>
        <w:t>符合条件和要求的</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提供服务。</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3、乙方应与</w:t>
      </w:r>
      <w:r>
        <w:rPr>
          <w:rFonts w:hint="eastAsia" w:ascii="宋体" w:hAnsi="宋体" w:cs="宋体"/>
          <w:color w:val="000000" w:themeColor="text1"/>
          <w:sz w:val="28"/>
          <w:szCs w:val="28"/>
          <w:highlight w:val="none"/>
          <w:lang w:val="en-US" w:eastAsia="zh-CN"/>
        </w:rPr>
        <w:t>所有</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签订正式的劳动合同，并承担所</w:t>
      </w:r>
      <w:r>
        <w:rPr>
          <w:rFonts w:hint="eastAsia" w:ascii="宋体" w:hAnsi="宋体" w:cs="宋体"/>
          <w:color w:val="000000" w:themeColor="text1"/>
          <w:sz w:val="28"/>
          <w:szCs w:val="28"/>
          <w:highlight w:val="none"/>
          <w:lang w:val="en-US" w:eastAsia="zh-CN"/>
        </w:rPr>
        <w:t>有</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的工资</w:t>
      </w:r>
      <w:r>
        <w:rPr>
          <w:rFonts w:hint="eastAsia" w:ascii="宋体" w:hAnsi="宋体" w:eastAsia="宋体" w:cs="宋体"/>
          <w:color w:val="000000" w:themeColor="text1"/>
          <w:sz w:val="28"/>
          <w:szCs w:val="28"/>
          <w:highlight w:val="none"/>
          <w:lang w:eastAsia="zh-CN"/>
        </w:rPr>
        <w:t>及加班费</w:t>
      </w:r>
      <w:r>
        <w:rPr>
          <w:rFonts w:hint="eastAsia" w:ascii="宋体" w:hAnsi="宋体" w:eastAsia="宋体" w:cs="宋体"/>
          <w:color w:val="000000" w:themeColor="text1"/>
          <w:sz w:val="28"/>
          <w:szCs w:val="28"/>
          <w:highlight w:val="none"/>
        </w:rPr>
        <w:t>、福利、</w:t>
      </w:r>
      <w:r>
        <w:rPr>
          <w:rFonts w:hint="eastAsia" w:ascii="宋体" w:hAnsi="宋体" w:cs="宋体"/>
          <w:color w:val="000000" w:themeColor="text1"/>
          <w:sz w:val="28"/>
          <w:szCs w:val="28"/>
          <w:highlight w:val="none"/>
          <w:lang w:val="en-US" w:eastAsia="zh-CN"/>
        </w:rPr>
        <w:t>应缴纳</w:t>
      </w:r>
      <w:r>
        <w:rPr>
          <w:rFonts w:hint="eastAsia" w:ascii="宋体" w:hAnsi="宋体" w:eastAsia="宋体" w:cs="宋体"/>
          <w:color w:val="000000" w:themeColor="text1"/>
          <w:sz w:val="28"/>
          <w:szCs w:val="28"/>
          <w:highlight w:val="none"/>
        </w:rPr>
        <w:t>各项社会保险（含养老、医疗、工伤、失业、生育险</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高额医疗保险）、</w:t>
      </w:r>
      <w:r>
        <w:rPr>
          <w:rFonts w:hint="eastAsia" w:ascii="宋体" w:hAnsi="宋体" w:eastAsia="宋体" w:cs="宋体"/>
          <w:color w:val="000000" w:themeColor="text1"/>
          <w:sz w:val="28"/>
          <w:szCs w:val="28"/>
          <w:highlight w:val="none"/>
          <w:lang w:eastAsia="zh-CN"/>
        </w:rPr>
        <w:t>住房公积金及其他</w:t>
      </w:r>
      <w:r>
        <w:rPr>
          <w:rFonts w:hint="eastAsia" w:ascii="宋体" w:hAnsi="宋体" w:cs="宋体"/>
          <w:color w:val="000000" w:themeColor="text1"/>
          <w:sz w:val="28"/>
          <w:szCs w:val="28"/>
          <w:highlight w:val="none"/>
          <w:lang w:val="en-US" w:eastAsia="zh-CN"/>
        </w:rPr>
        <w:t>应由用人单位承担的一切有关</w:t>
      </w:r>
      <w:r>
        <w:rPr>
          <w:rFonts w:hint="eastAsia" w:ascii="宋体" w:hAnsi="宋体" w:eastAsia="宋体" w:cs="宋体"/>
          <w:color w:val="000000" w:themeColor="text1"/>
          <w:sz w:val="28"/>
          <w:szCs w:val="28"/>
          <w:highlight w:val="none"/>
          <w:lang w:eastAsia="zh-CN"/>
        </w:rPr>
        <w:t>费用</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乙方应以法定货币形式按月支付</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人员工资，不得克扣或无故拖欠。乙方应执行有关最低工资的规定。</w:t>
      </w:r>
    </w:p>
    <w:p>
      <w:pPr>
        <w:keepNext w:val="0"/>
        <w:keepLines w:val="0"/>
        <w:pageBreakBefore w:val="0"/>
        <w:widowControl w:val="0"/>
        <w:kinsoku/>
        <w:wordWrap/>
        <w:overflowPunct/>
        <w:topLinePunct w:val="0"/>
        <w:bidi w:val="0"/>
        <w:adjustRightInd w:val="0"/>
        <w:snapToGrid w:val="0"/>
        <w:spacing w:line="560" w:lineRule="atLeast"/>
        <w:ind w:firstLine="420" w:firstLineChars="15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4、乙方服务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如果患病、因事不能提供服务的，必须提前向甲方请假。</w:t>
      </w:r>
    </w:p>
    <w:p>
      <w:pPr>
        <w:keepNext w:val="0"/>
        <w:keepLines w:val="0"/>
        <w:pageBreakBefore w:val="0"/>
        <w:widowControl w:val="0"/>
        <w:kinsoku/>
        <w:wordWrap/>
        <w:overflowPunct/>
        <w:topLinePunct w:val="0"/>
        <w:bidi w:val="0"/>
        <w:adjustRightInd w:val="0"/>
        <w:snapToGrid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w:t>
      </w:r>
      <w:r>
        <w:rPr>
          <w:rFonts w:hint="eastAsia" w:ascii="宋体" w:hAnsi="宋体" w:cs="宋体"/>
          <w:color w:val="000000" w:themeColor="text1"/>
          <w:sz w:val="28"/>
          <w:szCs w:val="28"/>
          <w:highlight w:val="none"/>
          <w:lang w:val="en-US" w:eastAsia="zh-CN"/>
        </w:rPr>
        <w:t xml:space="preserve">   5</w:t>
      </w:r>
      <w:r>
        <w:rPr>
          <w:rFonts w:hint="eastAsia" w:ascii="宋体" w:hAnsi="宋体" w:eastAsia="宋体" w:cs="宋体"/>
          <w:color w:val="000000" w:themeColor="text1"/>
          <w:sz w:val="28"/>
          <w:szCs w:val="28"/>
          <w:highlight w:val="none"/>
        </w:rPr>
        <w:t>、乙方服务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为甲方提供服务期间，对甲方有关工作内容及其它信息有保密义务，</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期间，服务</w:t>
      </w:r>
      <w:r>
        <w:rPr>
          <w:rFonts w:hint="eastAsia" w:ascii="宋体" w:hAnsi="宋体" w:cs="宋体"/>
          <w:color w:val="000000" w:themeColor="text1"/>
          <w:sz w:val="28"/>
          <w:szCs w:val="28"/>
          <w:highlight w:val="none"/>
          <w:lang w:eastAsia="zh-CN"/>
        </w:rPr>
        <w:t>人员</w:t>
      </w:r>
      <w:r>
        <w:rPr>
          <w:rFonts w:hint="eastAsia" w:ascii="宋体" w:hAnsi="宋体" w:eastAsia="宋体" w:cs="宋体"/>
          <w:color w:val="000000" w:themeColor="text1"/>
          <w:sz w:val="28"/>
          <w:szCs w:val="28"/>
          <w:highlight w:val="none"/>
        </w:rPr>
        <w:t>要与甲方签定保密协议。</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6</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人员有《劳动合同法》第三十九条第（二）、（三）、（六）项和第四十条第（一）、第（二）项规定情形的，甲方可以将</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人员退回乙方，并有权要求乙方重新</w:t>
      </w:r>
      <w:r>
        <w:rPr>
          <w:rFonts w:hint="eastAsia" w:ascii="宋体" w:hAnsi="宋体" w:cs="宋体"/>
          <w:color w:val="000000" w:themeColor="text1"/>
          <w:sz w:val="28"/>
          <w:szCs w:val="28"/>
          <w:highlight w:val="none"/>
          <w:lang w:eastAsia="zh-CN"/>
        </w:rPr>
        <w:t>配置</w:t>
      </w:r>
      <w:r>
        <w:rPr>
          <w:rFonts w:hint="eastAsia" w:ascii="宋体" w:hAnsi="宋体" w:eastAsia="宋体" w:cs="宋体"/>
          <w:color w:val="000000" w:themeColor="text1"/>
          <w:sz w:val="28"/>
          <w:szCs w:val="28"/>
          <w:highlight w:val="none"/>
        </w:rPr>
        <w:t>符合条件的</w:t>
      </w:r>
      <w:r>
        <w:rPr>
          <w:rFonts w:hint="eastAsia" w:ascii="宋体" w:hAnsi="宋体" w:cs="宋体"/>
          <w:color w:val="000000" w:themeColor="text1"/>
          <w:sz w:val="28"/>
          <w:szCs w:val="28"/>
          <w:highlight w:val="none"/>
          <w:lang w:val="en-US" w:eastAsia="zh-CN"/>
        </w:rPr>
        <w:t>服务</w:t>
      </w:r>
      <w:r>
        <w:rPr>
          <w:rFonts w:hint="eastAsia" w:ascii="宋体" w:hAnsi="宋体" w:eastAsia="宋体" w:cs="宋体"/>
          <w:color w:val="000000" w:themeColor="text1"/>
          <w:sz w:val="28"/>
          <w:szCs w:val="28"/>
          <w:highlight w:val="none"/>
        </w:rPr>
        <w:t>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7</w:t>
      </w:r>
      <w:r>
        <w:rPr>
          <w:rFonts w:hint="eastAsia" w:ascii="宋体" w:hAnsi="宋体" w:eastAsia="宋体" w:cs="宋体"/>
          <w:color w:val="000000" w:themeColor="text1"/>
          <w:sz w:val="28"/>
          <w:szCs w:val="28"/>
          <w:highlight w:val="none"/>
        </w:rPr>
        <w:t>、甲方有权查询乙方发放</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人员的</w:t>
      </w:r>
      <w:r>
        <w:rPr>
          <w:rFonts w:hint="eastAsia" w:ascii="宋体" w:hAnsi="宋体" w:cs="宋体"/>
          <w:color w:val="000000" w:themeColor="text1"/>
          <w:sz w:val="28"/>
          <w:szCs w:val="28"/>
          <w:highlight w:val="none"/>
          <w:lang w:val="en-US" w:eastAsia="zh-CN"/>
        </w:rPr>
        <w:t>薪酬</w:t>
      </w:r>
      <w:r>
        <w:rPr>
          <w:rFonts w:hint="eastAsia" w:ascii="宋体" w:hAnsi="宋体" w:eastAsia="宋体" w:cs="宋体"/>
          <w:color w:val="000000" w:themeColor="text1"/>
          <w:sz w:val="28"/>
          <w:szCs w:val="28"/>
          <w:highlight w:val="none"/>
        </w:rPr>
        <w:t>情况，出现违法现象，甲方可以依法向乙方交涉要求纠正，因此造成甲方损失的，乙方应当给予甲方赔偿。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8</w:t>
      </w:r>
      <w:r>
        <w:rPr>
          <w:rFonts w:hint="eastAsia" w:ascii="宋体" w:hAnsi="宋体" w:eastAsia="宋体" w:cs="宋体"/>
          <w:color w:val="000000" w:themeColor="text1"/>
          <w:sz w:val="28"/>
          <w:szCs w:val="28"/>
          <w:highlight w:val="none"/>
        </w:rPr>
        <w:t>、乙方不得</w:t>
      </w:r>
      <w:r>
        <w:rPr>
          <w:rFonts w:hint="eastAsia" w:ascii="宋体" w:hAnsi="宋体" w:cs="宋体"/>
          <w:color w:val="000000" w:themeColor="text1"/>
          <w:sz w:val="28"/>
          <w:szCs w:val="28"/>
          <w:highlight w:val="none"/>
          <w:lang w:val="en-US" w:eastAsia="zh-CN"/>
        </w:rPr>
        <w:t>未经甲方同意又</w:t>
      </w:r>
      <w:r>
        <w:rPr>
          <w:rFonts w:hint="eastAsia" w:ascii="宋体" w:hAnsi="宋体" w:eastAsia="宋体" w:cs="宋体"/>
          <w:color w:val="000000" w:themeColor="text1"/>
          <w:sz w:val="28"/>
          <w:szCs w:val="28"/>
          <w:highlight w:val="none"/>
        </w:rPr>
        <w:t>将</w:t>
      </w:r>
      <w:r>
        <w:rPr>
          <w:rFonts w:hint="eastAsia" w:ascii="宋体" w:hAnsi="宋体" w:cs="宋体"/>
          <w:color w:val="000000" w:themeColor="text1"/>
          <w:sz w:val="28"/>
          <w:szCs w:val="28"/>
          <w:highlight w:val="none"/>
          <w:lang w:val="en-US" w:eastAsia="zh-CN"/>
        </w:rPr>
        <w:t>安排到甲方的服务</w:t>
      </w:r>
      <w:r>
        <w:rPr>
          <w:rFonts w:hint="eastAsia" w:ascii="宋体" w:hAnsi="宋体" w:eastAsia="宋体" w:cs="宋体"/>
          <w:color w:val="000000" w:themeColor="text1"/>
          <w:sz w:val="28"/>
          <w:szCs w:val="28"/>
          <w:highlight w:val="none"/>
        </w:rPr>
        <w:t>人员再</w:t>
      </w:r>
      <w:r>
        <w:rPr>
          <w:rFonts w:hint="eastAsia" w:ascii="宋体" w:hAnsi="宋体" w:cs="宋体"/>
          <w:color w:val="000000" w:themeColor="text1"/>
          <w:sz w:val="28"/>
          <w:szCs w:val="28"/>
          <w:highlight w:val="none"/>
          <w:lang w:eastAsia="zh-CN"/>
        </w:rPr>
        <w:t>安排</w:t>
      </w:r>
      <w:r>
        <w:rPr>
          <w:rFonts w:hint="eastAsia" w:ascii="宋体" w:hAnsi="宋体" w:eastAsia="宋体" w:cs="宋体"/>
          <w:color w:val="000000" w:themeColor="text1"/>
          <w:sz w:val="28"/>
          <w:szCs w:val="28"/>
          <w:highlight w:val="none"/>
        </w:rPr>
        <w:t>到其他用人单位，否则，甲方有权解除合同并要求乙方赔偿损失。</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9、乙方在合同签订生效之日起7个工作日内，安排各部门业务骨干入场详细了解物业状况，制定管理服务制度及相关方法、方案，并与原物业公司共同研究本项目物业管理服务交接方案(进驻时间由甲方决定)。确保交接期内（20个自然日或甲方确定的期限）本项目各项物业管理服务正常运作，30个自然日内按招标文件要求完成物资、物料、工具、设备、设施等必须品的配备、配置，物业管理从业人员人数按照招标文件要求全部到位。整个交叉管理期间产生的费用在当月管理费中核支，在甲方的协调、监督下，乙方和在管公司双方按投入人员、物料等比例分配相关费用。（须提供承诺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10、在管理服务期内由于乙方责任造成第三人、甲方和乙方工作人员人身伤亡和财产损失，全部费用和责任由乙方承担。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11、乙方工作人员在本项目辖区范围内发生违法、违规行为的，所造成的一切后果及损失，由乙方承担责任及负责赔偿。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12、乙方不按照甲方要求及时更换不合格物业服务人员，或者擅自更换甲方要求保留的物业服务人员，以及人员变动率超过标准（每月3％）时，甲方有权扣减当月物业管理服务费的5%。</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13、乙方未按本项目要求和承诺配备具有资职证、上岗证等有效资格证明足够工作人员，且在甲方发出的规定期限内未整改补充到位，则甲方按缺少岗位、人员工资的三倍扣减当月的物业管理费，继续要求不整改的，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14、在管理服务期内若发现乙方假借派驻员工劳动合同到期或个人辞职为理由，实际将该员工调换至乙方或其下属控股公司、子公司的其他在管物业项目工作服务时，则甲方按相关岗位、人员工资的三倍扣减当月的物业管理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15、乙方违反合同要求和规定，未能达到约定的服务目标，发生多次物业服务保障迟延或挪用物业管理服务费用等情况，严重影响到物业服务质量，或者物业使用人投诉多（两个月内有效投诉累积超过30次），或出现重大服务过错（损失金额超过人民币10万元，或者造成严重社会影响的），甲方有权视情况终止合同；造成甲方经损失由乙方负责赔偿，并承担相应的法律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16、甲方在向乙方送达《解除（终止）合同通知书》后，合同自然解除或终止，甲方可将本项目重新招标，同时，甲方有权视情况自行决定扣减履约保证金的金额或没收履约保证金。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17、在物业服务期内，如果因发生盗窃、抢劫、失火等原因导致甲方财产损失或者工作人员人身损害的，除能够证明非乙方责任外，乙方应该承担法律责任及赔偿经济损失，甲方有权从物业管理服务费和履约保证金中扣除，情节严重的，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18、在物业服务期内乙方应确保在服务范围内无刑事、治安案件（事件）的发生；无消防责任事故发生、无机械设备操作责任事故发生。如发生责任事故，造乙方应该承担法律责任及赔偿经济损失，甲方有权从当期的物业管理服务费和履约保证金中扣除，情节严重的，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19、甲方未能按时支付服务费，乙方有权要求甲方及时结清。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20、在甲方办公区域，乙方服务人员应尊重甲方有关规定，不得影响甲方的正常工作秩序。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21、合同期最后三个月，乙方应无条件配合甲方做好新的物业服务采购招标工作，合同期最后一个月为物业接管过渡期，乙方在过渡接管期间不得拒绝新物业公司为有利于接管而提出的配合要求（限服务范围内），乙方同时将整理好的管理记录及档案整体移交给甲方。交接时间超过合同服务截止时间，乙方应根据本物业管理需要承诺临时延长期服务，临时延长期物业管理费不得超过原合同总金额的10%，延长服务范围内容要求及物业管理服务期由甲方与乙方另行协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22、如果中标时乙方为中型企业，乙方应在与甲方签订合同后30天内与小微企业签订分包协议，约定分包给小微企业的金额比例不低于合同总金额的60%，并将分包协议、小微企业的营业执照、承诺书等有关资料提供一份给甲方备案，否则甲方有权要求乙方纠正，乙方逾期30天不纠正的，甲方有权不支付实结总金额的60%的费用给乙方，直至乙方纠正之日止。若乙方逾期6个月不纠正的，甲方有权解除或终止本合同，因此造成的损失和责任全部由乙方承担。</w:t>
      </w:r>
    </w:p>
    <w:p>
      <w:pPr>
        <w:keepNext w:val="0"/>
        <w:keepLines w:val="0"/>
        <w:pageBreakBefore w:val="0"/>
        <w:widowControl w:val="0"/>
        <w:numPr>
          <w:ilvl w:val="0"/>
          <w:numId w:val="0"/>
        </w:numPr>
        <w:kinsoku/>
        <w:wordWrap/>
        <w:overflowPunct/>
        <w:topLinePunct w:val="0"/>
        <w:bidi w:val="0"/>
        <w:spacing w:before="156" w:beforeLines="50" w:line="560" w:lineRule="atLeast"/>
        <w:ind w:firstLine="560" w:firstLineChars="200"/>
        <w:textAlignment w:val="auto"/>
        <w:outlineLvl w:val="9"/>
        <w:rPr>
          <w:rFonts w:hint="default" w:ascii="Times New Roman" w:hAnsi="Times New Roman" w:eastAsia="宋体" w:cs="Times New Roman"/>
          <w:bCs w:val="0"/>
          <w:color w:val="000000" w:themeColor="text1"/>
          <w:sz w:val="28"/>
          <w:szCs w:val="28"/>
          <w:highlight w:val="none"/>
          <w:lang w:val="en-US" w:eastAsia="zh-CN"/>
        </w:rPr>
      </w:pPr>
      <w:r>
        <w:rPr>
          <w:rFonts w:hint="eastAsia" w:cs="Times New Roman"/>
          <w:bCs w:val="0"/>
          <w:color w:val="000000" w:themeColor="text1"/>
          <w:sz w:val="28"/>
          <w:szCs w:val="28"/>
          <w:highlight w:val="none"/>
          <w:lang w:val="en-US" w:eastAsia="zh-CN"/>
        </w:rPr>
        <w:t>23、乙方应</w:t>
      </w:r>
      <w:r>
        <w:rPr>
          <w:rFonts w:hint="eastAsia" w:ascii="Times New Roman" w:hAnsi="Times New Roman" w:eastAsia="宋体" w:cs="Times New Roman"/>
          <w:bCs w:val="0"/>
          <w:color w:val="000000" w:themeColor="text1"/>
          <w:sz w:val="28"/>
          <w:szCs w:val="28"/>
          <w:highlight w:val="none"/>
          <w:lang w:val="en-US" w:eastAsia="zh-CN"/>
        </w:rPr>
        <w:t>优先录用本次公开招标前自愿与</w:t>
      </w:r>
      <w:r>
        <w:rPr>
          <w:rFonts w:hint="eastAsia" w:cs="Times New Roman"/>
          <w:bCs w:val="0"/>
          <w:color w:val="000000" w:themeColor="text1"/>
          <w:sz w:val="28"/>
          <w:szCs w:val="28"/>
          <w:highlight w:val="none"/>
          <w:lang w:val="en-US" w:eastAsia="zh-CN"/>
        </w:rPr>
        <w:t>甲方</w:t>
      </w:r>
      <w:r>
        <w:rPr>
          <w:rFonts w:hint="eastAsia" w:ascii="Times New Roman" w:hAnsi="Times New Roman" w:eastAsia="宋体" w:cs="Times New Roman"/>
          <w:bCs w:val="0"/>
          <w:color w:val="000000" w:themeColor="text1"/>
          <w:sz w:val="28"/>
          <w:szCs w:val="28"/>
          <w:highlight w:val="none"/>
          <w:lang w:val="en-US" w:eastAsia="zh-CN"/>
        </w:rPr>
        <w:t>或者相关</w:t>
      </w:r>
      <w:r>
        <w:rPr>
          <w:rFonts w:hint="eastAsia" w:cs="Times New Roman"/>
          <w:bCs w:val="0"/>
          <w:color w:val="000000" w:themeColor="text1"/>
          <w:sz w:val="28"/>
          <w:szCs w:val="28"/>
          <w:highlight w:val="none"/>
          <w:lang w:val="en-US" w:eastAsia="zh-CN"/>
        </w:rPr>
        <w:t>物业</w:t>
      </w:r>
      <w:r>
        <w:rPr>
          <w:rFonts w:hint="eastAsia" w:ascii="Times New Roman" w:hAnsi="Times New Roman" w:eastAsia="宋体" w:cs="Times New Roman"/>
          <w:bCs w:val="0"/>
          <w:color w:val="000000" w:themeColor="text1"/>
          <w:sz w:val="28"/>
          <w:szCs w:val="28"/>
          <w:highlight w:val="none"/>
          <w:lang w:val="en-US" w:eastAsia="zh-CN"/>
        </w:rPr>
        <w:t>公司解除劳动合同的人员，且录用后其待遇与原待遇应相当。</w:t>
      </w:r>
      <w:r>
        <w:rPr>
          <w:rFonts w:hint="eastAsia" w:cs="Times New Roman"/>
          <w:bCs w:val="0"/>
          <w:color w:val="000000" w:themeColor="text1"/>
          <w:sz w:val="28"/>
          <w:szCs w:val="28"/>
          <w:highlight w:val="none"/>
          <w:lang w:val="en-US" w:eastAsia="zh-CN"/>
        </w:rPr>
        <w:t>若低于原待遇的，甲方有权要求乙方纠正。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四</w:t>
      </w:r>
      <w:r>
        <w:rPr>
          <w:rFonts w:hint="eastAsia" w:ascii="宋体" w:hAnsi="宋体" w:eastAsia="宋体" w:cs="宋体"/>
          <w:color w:val="000000" w:themeColor="text1"/>
          <w:sz w:val="28"/>
          <w:szCs w:val="28"/>
          <w:highlight w:val="none"/>
        </w:rPr>
        <w:t xml:space="preserve">条   </w:t>
      </w:r>
      <w:r>
        <w:rPr>
          <w:rFonts w:hint="eastAsia" w:ascii="宋体" w:hAnsi="宋体" w:cs="宋体"/>
          <w:color w:val="000000" w:themeColor="text1"/>
          <w:sz w:val="28"/>
          <w:szCs w:val="28"/>
          <w:highlight w:val="none"/>
          <w:lang w:eastAsia="zh-CN"/>
        </w:rPr>
        <w:t>物业服务要求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一</w:t>
      </w:r>
      <w:r>
        <w:rPr>
          <w:rFonts w:hint="eastAsia" w:ascii="宋体" w:hAnsi="宋体" w:eastAsia="宋体" w:cs="宋体"/>
          <w:color w:val="000000" w:themeColor="text1"/>
          <w:sz w:val="28"/>
          <w:szCs w:val="28"/>
          <w:highlight w:val="none"/>
        </w:rPr>
        <w:t>】环境卫生与保洁管理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每天至少1次清扫、拖抹公共部分。门厅每天用水拖抹1次，雨天随脏随抹;对人员走动频繁之地，进行不间断巡回保洁</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要求做到地面干净、保持材料本色，无明显灰尘、污渍和杂物，无积水。发现杂物、废弃物立即清理。特殊情况或特殊时期要每天1次消毒。</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区域内垃圾实行袋装化，在各公共部位设立公共垃圾箱，在露天公共部位设立杂物箱。由专人分类、清运、处理(包括联系环卫部门运出处理)。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及时清扫服务区域地面积水、垃圾、烟头、枯叶等，使保持干净、无杂物、无积水等。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lang w:eastAsia="zh-CN"/>
        </w:rPr>
        <w:t>对垃圾筒每天清洁或清洗</w:t>
      </w:r>
      <w:r>
        <w:rPr>
          <w:rFonts w:hint="eastAsia" w:ascii="宋体" w:hAnsi="宋体" w:eastAsia="宋体" w:cs="宋体"/>
          <w:color w:val="000000" w:themeColor="text1"/>
          <w:sz w:val="28"/>
          <w:szCs w:val="28"/>
          <w:highlight w:val="none"/>
          <w:lang w:val="en-US" w:eastAsia="zh-CN"/>
        </w:rPr>
        <w:t>1次，停车场、室外地面每周进行1次高压冲洗。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5</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每天至少</w:t>
      </w:r>
      <w:r>
        <w:rPr>
          <w:rFonts w:hint="eastAsia" w:ascii="宋体" w:hAnsi="宋体" w:eastAsia="宋体" w:cs="宋体"/>
          <w:color w:val="000000" w:themeColor="text1"/>
          <w:sz w:val="28"/>
          <w:szCs w:val="28"/>
          <w:highlight w:val="none"/>
          <w:lang w:val="en-US" w:eastAsia="zh-CN"/>
        </w:rPr>
        <w:t>1次对公共设备、设施的表面进行清洁、抹净处理，保持洁净。每天擦净、抹净各办公室、会议室、接待室、休息室、餐厅等的办公桌、讲台、文件柜等家具。门窗、梯间内、楼梯扶手、灯饰栏杆、指示牌等无污渍及明显灰尘。每月至少1次用水冲洗所有水泥地面、沥青地面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6</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清洗及保洁各区域的洗手间、更换卫生纸、洗手液、洁厕精。厕内无臭无味，目视地面、坑位、小便池、洗手盆干净，无尿迹、痰迹和其它污迹，无茶渣、烟头、纸巾、果皮等垃圾存在，特殊情况需按实际加强消毒频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每</w:t>
      </w:r>
      <w:r>
        <w:rPr>
          <w:rFonts w:hint="eastAsia" w:ascii="宋体" w:hAnsi="宋体" w:eastAsia="宋体" w:cs="宋体"/>
          <w:color w:val="000000" w:themeColor="text1"/>
          <w:sz w:val="28"/>
          <w:szCs w:val="28"/>
          <w:highlight w:val="none"/>
        </w:rPr>
        <w:t>周至少1</w:t>
      </w:r>
      <w:r>
        <w:rPr>
          <w:rFonts w:hint="eastAsia" w:ascii="宋体" w:hAnsi="宋体" w:eastAsia="宋体" w:cs="宋体"/>
          <w:color w:val="000000" w:themeColor="text1"/>
          <w:sz w:val="28"/>
          <w:szCs w:val="28"/>
          <w:highlight w:val="none"/>
          <w:lang w:eastAsia="zh-CN"/>
        </w:rPr>
        <w:t>次检查并</w:t>
      </w:r>
      <w:r>
        <w:rPr>
          <w:rFonts w:hint="eastAsia" w:ascii="宋体" w:hAnsi="宋体" w:eastAsia="宋体" w:cs="宋体"/>
          <w:color w:val="000000" w:themeColor="text1"/>
          <w:sz w:val="28"/>
          <w:szCs w:val="28"/>
          <w:highlight w:val="none"/>
        </w:rPr>
        <w:t>清</w:t>
      </w:r>
      <w:r>
        <w:rPr>
          <w:rFonts w:hint="eastAsia" w:ascii="宋体" w:hAnsi="宋体" w:eastAsia="宋体" w:cs="宋体"/>
          <w:color w:val="000000" w:themeColor="text1"/>
          <w:sz w:val="28"/>
          <w:szCs w:val="28"/>
          <w:highlight w:val="none"/>
          <w:lang w:eastAsia="zh-CN"/>
        </w:rPr>
        <w:t>扫</w:t>
      </w:r>
      <w:r>
        <w:rPr>
          <w:rFonts w:hint="eastAsia" w:ascii="宋体" w:hAnsi="宋体" w:eastAsia="宋体" w:cs="宋体"/>
          <w:color w:val="000000" w:themeColor="text1"/>
          <w:sz w:val="28"/>
          <w:szCs w:val="28"/>
          <w:highlight w:val="none"/>
        </w:rPr>
        <w:t>大楼天台，</w:t>
      </w:r>
      <w:r>
        <w:rPr>
          <w:rFonts w:hint="eastAsia" w:ascii="宋体" w:hAnsi="宋体" w:eastAsia="宋体" w:cs="宋体"/>
          <w:color w:val="000000" w:themeColor="text1"/>
          <w:sz w:val="28"/>
          <w:szCs w:val="28"/>
          <w:highlight w:val="none"/>
          <w:lang w:eastAsia="zh-CN"/>
        </w:rPr>
        <w:t>设备机房</w:t>
      </w:r>
      <w:r>
        <w:rPr>
          <w:rFonts w:hint="eastAsia" w:ascii="宋体" w:hAnsi="宋体" w:eastAsia="宋体" w:cs="宋体"/>
          <w:color w:val="000000" w:themeColor="text1"/>
          <w:sz w:val="28"/>
          <w:szCs w:val="28"/>
          <w:highlight w:val="none"/>
        </w:rPr>
        <w:t>等</w:t>
      </w:r>
      <w:r>
        <w:rPr>
          <w:rFonts w:hint="eastAsia" w:ascii="宋体" w:hAnsi="宋体" w:eastAsia="宋体" w:cs="宋体"/>
          <w:color w:val="000000" w:themeColor="text1"/>
          <w:sz w:val="28"/>
          <w:szCs w:val="28"/>
          <w:highlight w:val="none"/>
          <w:lang w:eastAsia="zh-CN"/>
        </w:rPr>
        <w:t>场所</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8、</w:t>
      </w:r>
      <w:r>
        <w:rPr>
          <w:rFonts w:hint="eastAsia" w:ascii="宋体" w:hAnsi="宋体" w:eastAsia="宋体" w:cs="宋体"/>
          <w:color w:val="000000" w:themeColor="text1"/>
          <w:sz w:val="28"/>
          <w:szCs w:val="28"/>
          <w:highlight w:val="none"/>
        </w:rPr>
        <w:t>作业时</w:t>
      </w:r>
      <w:r>
        <w:rPr>
          <w:rFonts w:hint="eastAsia" w:ascii="宋体" w:hAnsi="宋体" w:eastAsia="宋体" w:cs="宋体"/>
          <w:color w:val="000000" w:themeColor="text1"/>
          <w:sz w:val="28"/>
          <w:szCs w:val="28"/>
          <w:highlight w:val="none"/>
          <w:lang w:eastAsia="zh-CN"/>
        </w:rPr>
        <w:t>应小</w:t>
      </w:r>
      <w:r>
        <w:rPr>
          <w:rFonts w:hint="eastAsia" w:ascii="宋体" w:hAnsi="宋体" w:eastAsia="宋体" w:cs="宋体"/>
          <w:color w:val="000000" w:themeColor="text1"/>
          <w:sz w:val="28"/>
          <w:szCs w:val="28"/>
          <w:highlight w:val="none"/>
        </w:rPr>
        <w:t>心执行、控制</w:t>
      </w:r>
      <w:r>
        <w:rPr>
          <w:rFonts w:hint="eastAsia" w:ascii="宋体" w:hAnsi="宋体" w:eastAsia="宋体" w:cs="宋体"/>
          <w:color w:val="000000" w:themeColor="text1"/>
          <w:sz w:val="28"/>
          <w:szCs w:val="28"/>
          <w:highlight w:val="none"/>
          <w:lang w:eastAsia="zh-CN"/>
        </w:rPr>
        <w:t>扬尘</w:t>
      </w:r>
      <w:r>
        <w:rPr>
          <w:rFonts w:hint="eastAsia" w:ascii="宋体" w:hAnsi="宋体" w:eastAsia="宋体" w:cs="宋体"/>
          <w:color w:val="000000" w:themeColor="text1"/>
          <w:sz w:val="28"/>
          <w:szCs w:val="28"/>
          <w:highlight w:val="none"/>
        </w:rPr>
        <w:t>，不</w:t>
      </w:r>
      <w:r>
        <w:rPr>
          <w:rFonts w:hint="eastAsia" w:ascii="宋体" w:hAnsi="宋体" w:eastAsia="宋体" w:cs="宋体"/>
          <w:color w:val="000000" w:themeColor="text1"/>
          <w:sz w:val="28"/>
          <w:szCs w:val="28"/>
          <w:highlight w:val="none"/>
          <w:lang w:eastAsia="zh-CN"/>
        </w:rPr>
        <w:t>扰</w:t>
      </w:r>
      <w:r>
        <w:rPr>
          <w:rFonts w:hint="eastAsia" w:ascii="宋体" w:hAnsi="宋体" w:eastAsia="宋体" w:cs="宋体"/>
          <w:color w:val="000000" w:themeColor="text1"/>
          <w:sz w:val="28"/>
          <w:szCs w:val="28"/>
          <w:highlight w:val="none"/>
        </w:rPr>
        <w:t>民，不</w:t>
      </w:r>
      <w:r>
        <w:rPr>
          <w:rFonts w:hint="eastAsia" w:ascii="宋体" w:hAnsi="宋体" w:eastAsia="宋体" w:cs="宋体"/>
          <w:color w:val="000000" w:themeColor="text1"/>
          <w:sz w:val="28"/>
          <w:szCs w:val="28"/>
          <w:highlight w:val="none"/>
          <w:lang w:eastAsia="zh-CN"/>
        </w:rPr>
        <w:t>溅</w:t>
      </w:r>
      <w:r>
        <w:rPr>
          <w:rFonts w:hint="eastAsia" w:ascii="宋体" w:hAnsi="宋体" w:eastAsia="宋体" w:cs="宋体"/>
          <w:color w:val="000000" w:themeColor="text1"/>
          <w:sz w:val="28"/>
          <w:szCs w:val="28"/>
          <w:highlight w:val="none"/>
        </w:rPr>
        <w:t>污</w:t>
      </w:r>
      <w:r>
        <w:rPr>
          <w:rFonts w:hint="eastAsia" w:ascii="宋体" w:hAnsi="宋体" w:eastAsia="宋体" w:cs="宋体"/>
          <w:color w:val="000000" w:themeColor="text1"/>
          <w:sz w:val="28"/>
          <w:szCs w:val="28"/>
          <w:highlight w:val="none"/>
          <w:lang w:eastAsia="zh-CN"/>
        </w:rPr>
        <w:t>行</w:t>
      </w:r>
      <w:r>
        <w:rPr>
          <w:rFonts w:hint="eastAsia" w:ascii="宋体" w:hAnsi="宋体" w:eastAsia="宋体" w:cs="宋体"/>
          <w:color w:val="000000" w:themeColor="text1"/>
          <w:sz w:val="28"/>
          <w:szCs w:val="28"/>
          <w:highlight w:val="none"/>
        </w:rPr>
        <w:t>人及住户</w:t>
      </w:r>
      <w:r>
        <w:rPr>
          <w:rFonts w:hint="eastAsia" w:ascii="宋体" w:hAnsi="宋体" w:eastAsia="宋体" w:cs="宋体"/>
          <w:color w:val="000000" w:themeColor="text1"/>
          <w:sz w:val="28"/>
          <w:szCs w:val="28"/>
          <w:highlight w:val="none"/>
          <w:lang w:eastAsia="zh-CN"/>
        </w:rPr>
        <w:t>衣</w:t>
      </w:r>
      <w:r>
        <w:rPr>
          <w:rFonts w:hint="eastAsia" w:ascii="宋体" w:hAnsi="宋体" w:eastAsia="宋体" w:cs="宋体"/>
          <w:color w:val="000000" w:themeColor="text1"/>
          <w:sz w:val="28"/>
          <w:szCs w:val="28"/>
          <w:highlight w:val="none"/>
        </w:rPr>
        <w:t>物，避免</w:t>
      </w:r>
      <w:r>
        <w:rPr>
          <w:rFonts w:hint="eastAsia" w:ascii="宋体" w:hAnsi="宋体" w:eastAsia="宋体" w:cs="宋体"/>
          <w:color w:val="000000" w:themeColor="text1"/>
          <w:sz w:val="28"/>
          <w:szCs w:val="28"/>
          <w:highlight w:val="none"/>
          <w:lang w:eastAsia="zh-CN"/>
        </w:rPr>
        <w:t>妨</w:t>
      </w:r>
      <w:r>
        <w:rPr>
          <w:rFonts w:hint="eastAsia" w:ascii="宋体" w:hAnsi="宋体" w:eastAsia="宋体" w:cs="宋体"/>
          <w:color w:val="000000" w:themeColor="text1"/>
          <w:sz w:val="28"/>
          <w:szCs w:val="28"/>
          <w:highlight w:val="none"/>
        </w:rPr>
        <w:t>碍行人和车辆正常</w:t>
      </w:r>
      <w:r>
        <w:rPr>
          <w:rFonts w:hint="eastAsia" w:ascii="宋体" w:hAnsi="宋体" w:eastAsia="宋体" w:cs="宋体"/>
          <w:color w:val="000000" w:themeColor="text1"/>
          <w:sz w:val="28"/>
          <w:szCs w:val="28"/>
          <w:highlight w:val="none"/>
          <w:lang w:eastAsia="zh-CN"/>
        </w:rPr>
        <w:t>行驶</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二</w:t>
      </w:r>
      <w:r>
        <w:rPr>
          <w:rFonts w:hint="eastAsia" w:ascii="宋体" w:hAnsi="宋体" w:eastAsia="宋体" w:cs="宋体"/>
          <w:color w:val="000000" w:themeColor="text1"/>
          <w:sz w:val="28"/>
          <w:szCs w:val="28"/>
          <w:highlight w:val="none"/>
        </w:rPr>
        <w:t>】垃圾清理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垃圾清运</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处理</w:t>
      </w:r>
      <w:r>
        <w:rPr>
          <w:rFonts w:hint="eastAsia" w:ascii="宋体" w:hAnsi="宋体" w:eastAsia="宋体" w:cs="宋体"/>
          <w:color w:val="000000" w:themeColor="text1"/>
          <w:sz w:val="28"/>
          <w:szCs w:val="28"/>
          <w:highlight w:val="none"/>
          <w:lang w:eastAsia="zh-CN"/>
        </w:rPr>
        <w:t>分为：生活垃圾（有机、无机、有害垃圾）清运处理、督促装修垃圾清运处理和废纸及可再生废物的回收。所有垃圾清运</w:t>
      </w:r>
      <w:r>
        <w:rPr>
          <w:rFonts w:hint="eastAsia" w:ascii="宋体" w:hAnsi="宋体" w:eastAsia="宋体" w:cs="宋体"/>
          <w:color w:val="000000" w:themeColor="text1"/>
          <w:sz w:val="28"/>
          <w:szCs w:val="28"/>
          <w:highlight w:val="none"/>
        </w:rPr>
        <w:t>应符合广东省及省内各地有关法律、法规规定。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lang w:eastAsia="zh-CN"/>
        </w:rPr>
        <w:t>垃圾清运、处理的范围分为：日常办公垃圾、日常生活垃圾、日常厨余垃圾、公共部位上通道、园林、道路等综合垃圾。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eastAsia="zh-CN"/>
        </w:rPr>
        <w:t>垃圾清运、处理工作分为：收集区域内垃圾，并更换垃圾袋，每天至少</w:t>
      </w:r>
      <w:r>
        <w:rPr>
          <w:rFonts w:hint="eastAsia" w:ascii="宋体" w:hAnsi="宋体" w:eastAsia="宋体" w:cs="宋体"/>
          <w:color w:val="000000" w:themeColor="text1"/>
          <w:sz w:val="28"/>
          <w:szCs w:val="28"/>
          <w:highlight w:val="none"/>
          <w:lang w:val="en-US" w:eastAsia="zh-CN"/>
        </w:rPr>
        <w:t>1次清洁垃圾筒。每天定时清运、处理不少于2次。将物业</w:t>
      </w:r>
      <w:r>
        <w:rPr>
          <w:rFonts w:hint="eastAsia" w:ascii="宋体" w:hAnsi="宋体" w:eastAsia="宋体" w:cs="宋体"/>
          <w:color w:val="000000" w:themeColor="text1"/>
          <w:sz w:val="28"/>
          <w:szCs w:val="28"/>
          <w:highlight w:val="none"/>
        </w:rPr>
        <w:t>项目内所有桶内垃圾清理于净封好胶袋口。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果皮箱随满随掏。垃圾无爆满落地，周边无散落垃圾，无陈旧垃圾，无垃圾堆积。箱体经常擦拭、清洗、保持干净整法、无异味、无旧污迹，无污水漫溢，箱桶周边地面整洁，无蝇、无臭。垃圾不外溢，周边无垃圾散落，无蝇、无臭、无残留或堆积垃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三</w:t>
      </w:r>
      <w:r>
        <w:rPr>
          <w:rFonts w:hint="eastAsia" w:ascii="宋体" w:hAnsi="宋体" w:eastAsia="宋体" w:cs="宋体"/>
          <w:color w:val="000000" w:themeColor="text1"/>
          <w:sz w:val="28"/>
          <w:szCs w:val="28"/>
          <w:highlight w:val="none"/>
        </w:rPr>
        <w:t>】污水及化粪池管理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区</w:t>
      </w:r>
      <w:r>
        <w:rPr>
          <w:rFonts w:hint="eastAsia" w:ascii="宋体" w:hAnsi="宋体" w:eastAsia="宋体" w:cs="宋体"/>
          <w:color w:val="000000" w:themeColor="text1"/>
          <w:sz w:val="28"/>
          <w:szCs w:val="28"/>
          <w:highlight w:val="none"/>
          <w:lang w:eastAsia="zh-CN"/>
        </w:rPr>
        <w:t>域</w:t>
      </w:r>
      <w:r>
        <w:rPr>
          <w:rFonts w:hint="eastAsia" w:ascii="宋体" w:hAnsi="宋体" w:eastAsia="宋体" w:cs="宋体"/>
          <w:color w:val="000000" w:themeColor="text1"/>
          <w:sz w:val="28"/>
          <w:szCs w:val="28"/>
          <w:highlight w:val="none"/>
        </w:rPr>
        <w:t>内生活污水经污水管道集中排放</w:t>
      </w:r>
      <w:r>
        <w:rPr>
          <w:rFonts w:hint="eastAsia" w:ascii="宋体" w:hAnsi="宋体" w:eastAsia="宋体" w:cs="宋体"/>
          <w:color w:val="000000" w:themeColor="text1"/>
          <w:sz w:val="28"/>
          <w:szCs w:val="28"/>
          <w:highlight w:val="none"/>
          <w:lang w:eastAsia="zh-CN"/>
        </w:rPr>
        <w:t>处</w:t>
      </w:r>
      <w:r>
        <w:rPr>
          <w:rFonts w:hint="eastAsia" w:ascii="宋体" w:hAnsi="宋体" w:eastAsia="宋体" w:cs="宋体"/>
          <w:color w:val="000000" w:themeColor="text1"/>
          <w:sz w:val="28"/>
          <w:szCs w:val="28"/>
          <w:highlight w:val="none"/>
        </w:rPr>
        <w:t>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为保持</w:t>
      </w:r>
      <w:r>
        <w:rPr>
          <w:rFonts w:hint="eastAsia" w:ascii="宋体" w:hAnsi="宋体" w:eastAsia="宋体" w:cs="宋体"/>
          <w:color w:val="000000" w:themeColor="text1"/>
          <w:sz w:val="28"/>
          <w:szCs w:val="28"/>
          <w:highlight w:val="none"/>
          <w:lang w:eastAsia="zh-CN"/>
        </w:rPr>
        <w:t>污</w:t>
      </w:r>
      <w:r>
        <w:rPr>
          <w:rFonts w:hint="eastAsia" w:ascii="宋体" w:hAnsi="宋体" w:eastAsia="宋体" w:cs="宋体"/>
          <w:color w:val="000000" w:themeColor="text1"/>
          <w:sz w:val="28"/>
          <w:szCs w:val="28"/>
          <w:highlight w:val="none"/>
        </w:rPr>
        <w:t>水管通</w:t>
      </w:r>
      <w:r>
        <w:rPr>
          <w:rFonts w:hint="eastAsia" w:ascii="宋体" w:hAnsi="宋体" w:eastAsia="宋体" w:cs="宋体"/>
          <w:color w:val="000000" w:themeColor="text1"/>
          <w:sz w:val="28"/>
          <w:szCs w:val="28"/>
          <w:highlight w:val="none"/>
          <w:lang w:eastAsia="zh-CN"/>
        </w:rPr>
        <w:t>畅</w:t>
      </w:r>
      <w:r>
        <w:rPr>
          <w:rFonts w:hint="eastAsia" w:ascii="宋体" w:hAnsi="宋体" w:eastAsia="宋体" w:cs="宋体"/>
          <w:color w:val="000000" w:themeColor="text1"/>
          <w:sz w:val="28"/>
          <w:szCs w:val="28"/>
          <w:highlight w:val="none"/>
        </w:rPr>
        <w:t>，保</w:t>
      </w:r>
      <w:r>
        <w:rPr>
          <w:rFonts w:hint="eastAsia" w:ascii="宋体" w:hAnsi="宋体" w:eastAsia="宋体" w:cs="宋体"/>
          <w:color w:val="000000" w:themeColor="text1"/>
          <w:sz w:val="28"/>
          <w:szCs w:val="28"/>
          <w:highlight w:val="none"/>
          <w:lang w:eastAsia="zh-CN"/>
        </w:rPr>
        <w:t>洁</w:t>
      </w:r>
      <w:r>
        <w:rPr>
          <w:rFonts w:hint="eastAsia" w:ascii="宋体" w:hAnsi="宋体" w:eastAsia="宋体" w:cs="宋体"/>
          <w:color w:val="000000" w:themeColor="text1"/>
          <w:sz w:val="28"/>
          <w:szCs w:val="28"/>
          <w:highlight w:val="none"/>
        </w:rPr>
        <w:t>员每月</w:t>
      </w:r>
      <w:r>
        <w:rPr>
          <w:rFonts w:hint="eastAsia" w:ascii="宋体" w:hAnsi="宋体" w:eastAsia="宋体" w:cs="宋体"/>
          <w:color w:val="000000" w:themeColor="text1"/>
          <w:sz w:val="28"/>
          <w:szCs w:val="28"/>
          <w:highlight w:val="none"/>
          <w:lang w:eastAsia="zh-CN"/>
        </w:rPr>
        <w:t>按</w:t>
      </w:r>
      <w:r>
        <w:rPr>
          <w:rFonts w:hint="eastAsia" w:ascii="宋体" w:hAnsi="宋体" w:eastAsia="宋体" w:cs="宋体"/>
          <w:color w:val="000000" w:themeColor="text1"/>
          <w:sz w:val="28"/>
          <w:szCs w:val="28"/>
          <w:highlight w:val="none"/>
        </w:rPr>
        <w:t>时排水沟清扫3次</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含明沟、暗沟</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eastAsia="zh-CN"/>
        </w:rPr>
        <w:t>保持化粪池</w:t>
      </w:r>
      <w:r>
        <w:rPr>
          <w:rFonts w:hint="eastAsia" w:ascii="宋体" w:hAnsi="宋体" w:eastAsia="宋体" w:cs="宋体"/>
          <w:color w:val="000000" w:themeColor="text1"/>
          <w:sz w:val="28"/>
          <w:szCs w:val="28"/>
          <w:highlight w:val="none"/>
        </w:rPr>
        <w:t>工作正</w:t>
      </w:r>
      <w:r>
        <w:rPr>
          <w:rFonts w:hint="eastAsia" w:ascii="宋体" w:hAnsi="宋体" w:eastAsia="宋体" w:cs="宋体"/>
          <w:color w:val="000000" w:themeColor="text1"/>
          <w:sz w:val="28"/>
          <w:szCs w:val="28"/>
          <w:highlight w:val="none"/>
          <w:lang w:eastAsia="zh-CN"/>
        </w:rPr>
        <w:t>常，每月检</w:t>
      </w:r>
      <w:r>
        <w:rPr>
          <w:rFonts w:hint="eastAsia" w:ascii="宋体" w:hAnsi="宋体" w:eastAsia="宋体" w:cs="宋体"/>
          <w:color w:val="000000" w:themeColor="text1"/>
          <w:sz w:val="28"/>
          <w:szCs w:val="28"/>
          <w:highlight w:val="none"/>
        </w:rPr>
        <w:t>查1次、每半年</w:t>
      </w:r>
      <w:r>
        <w:rPr>
          <w:rFonts w:hint="eastAsia" w:ascii="宋体" w:hAnsi="宋体" w:eastAsia="宋体" w:cs="宋体"/>
          <w:color w:val="000000" w:themeColor="text1"/>
          <w:sz w:val="28"/>
          <w:szCs w:val="28"/>
          <w:highlight w:val="none"/>
          <w:lang w:eastAsia="zh-CN"/>
        </w:rPr>
        <w:t>联系专门机构</w:t>
      </w:r>
      <w:r>
        <w:rPr>
          <w:rFonts w:hint="eastAsia" w:ascii="宋体" w:hAnsi="宋体" w:eastAsia="宋体" w:cs="宋体"/>
          <w:color w:val="000000" w:themeColor="text1"/>
          <w:sz w:val="28"/>
          <w:szCs w:val="28"/>
          <w:highlight w:val="none"/>
        </w:rPr>
        <w:t>清</w:t>
      </w:r>
      <w:r>
        <w:rPr>
          <w:rFonts w:hint="eastAsia" w:ascii="宋体" w:hAnsi="宋体" w:eastAsia="宋体" w:cs="宋体"/>
          <w:color w:val="000000" w:themeColor="text1"/>
          <w:sz w:val="28"/>
          <w:szCs w:val="28"/>
          <w:highlight w:val="none"/>
          <w:lang w:eastAsia="zh-CN"/>
        </w:rPr>
        <w:t>掏</w:t>
      </w:r>
      <w:r>
        <w:rPr>
          <w:rFonts w:hint="eastAsia" w:ascii="宋体" w:hAnsi="宋体" w:eastAsia="宋体" w:cs="宋体"/>
          <w:color w:val="000000" w:themeColor="text1"/>
          <w:sz w:val="28"/>
          <w:szCs w:val="28"/>
          <w:highlight w:val="none"/>
        </w:rPr>
        <w:t>1次，发现异常及时清</w:t>
      </w:r>
      <w:r>
        <w:rPr>
          <w:rFonts w:hint="eastAsia" w:ascii="宋体" w:hAnsi="宋体" w:eastAsia="宋体" w:cs="宋体"/>
          <w:color w:val="000000" w:themeColor="text1"/>
          <w:sz w:val="28"/>
          <w:szCs w:val="28"/>
          <w:highlight w:val="none"/>
          <w:lang w:eastAsia="zh-CN"/>
        </w:rPr>
        <w:t>掏</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四</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安保及秩序</w:t>
      </w:r>
      <w:r>
        <w:rPr>
          <w:rFonts w:hint="eastAsia" w:ascii="宋体" w:hAnsi="宋体" w:eastAsia="宋体" w:cs="宋体"/>
          <w:color w:val="000000" w:themeColor="text1"/>
          <w:sz w:val="28"/>
          <w:szCs w:val="28"/>
          <w:highlight w:val="none"/>
        </w:rPr>
        <w:t>管理服务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全天</w:t>
      </w:r>
      <w:r>
        <w:rPr>
          <w:rFonts w:hint="eastAsia" w:ascii="宋体" w:hAnsi="宋体" w:eastAsia="宋体" w:cs="宋体"/>
          <w:color w:val="000000" w:themeColor="text1"/>
          <w:sz w:val="28"/>
          <w:szCs w:val="28"/>
          <w:highlight w:val="none"/>
          <w:lang w:eastAsia="zh-CN"/>
        </w:rPr>
        <w:t>候</w:t>
      </w:r>
      <w:r>
        <w:rPr>
          <w:rFonts w:hint="eastAsia" w:ascii="宋体" w:hAnsi="宋体" w:eastAsia="宋体" w:cs="宋体"/>
          <w:color w:val="000000" w:themeColor="text1"/>
          <w:sz w:val="28"/>
          <w:szCs w:val="28"/>
          <w:highlight w:val="none"/>
        </w:rPr>
        <w:t>负</w:t>
      </w:r>
      <w:r>
        <w:rPr>
          <w:rFonts w:hint="eastAsia" w:ascii="宋体" w:hAnsi="宋体" w:eastAsia="宋体" w:cs="宋体"/>
          <w:color w:val="000000" w:themeColor="text1"/>
          <w:sz w:val="28"/>
          <w:szCs w:val="28"/>
          <w:highlight w:val="none"/>
          <w:lang w:eastAsia="zh-CN"/>
        </w:rPr>
        <w:t>责</w:t>
      </w:r>
      <w:r>
        <w:rPr>
          <w:rFonts w:hint="eastAsia" w:ascii="宋体" w:hAnsi="宋体" w:eastAsia="宋体" w:cs="宋体"/>
          <w:color w:val="000000" w:themeColor="text1"/>
          <w:sz w:val="28"/>
          <w:szCs w:val="28"/>
          <w:highlight w:val="none"/>
        </w:rPr>
        <w:t>区域内正门、</w:t>
      </w:r>
      <w:r>
        <w:rPr>
          <w:rFonts w:hint="eastAsia" w:ascii="宋体" w:hAnsi="宋体" w:eastAsia="宋体" w:cs="宋体"/>
          <w:color w:val="000000" w:themeColor="text1"/>
          <w:sz w:val="28"/>
          <w:szCs w:val="28"/>
          <w:highlight w:val="none"/>
          <w:lang w:eastAsia="zh-CN"/>
        </w:rPr>
        <w:t>侧</w:t>
      </w:r>
      <w:r>
        <w:rPr>
          <w:rFonts w:hint="eastAsia" w:ascii="宋体" w:hAnsi="宋体" w:eastAsia="宋体" w:cs="宋体"/>
          <w:color w:val="000000" w:themeColor="text1"/>
          <w:sz w:val="28"/>
          <w:szCs w:val="28"/>
          <w:highlight w:val="none"/>
        </w:rPr>
        <w:t>门、区域通</w:t>
      </w:r>
      <w:r>
        <w:rPr>
          <w:rFonts w:hint="eastAsia" w:ascii="宋体" w:hAnsi="宋体" w:eastAsia="宋体" w:cs="宋体"/>
          <w:color w:val="000000" w:themeColor="text1"/>
          <w:sz w:val="28"/>
          <w:szCs w:val="28"/>
          <w:highlight w:val="none"/>
          <w:lang w:eastAsia="zh-CN"/>
        </w:rPr>
        <w:t>道</w:t>
      </w:r>
      <w:r>
        <w:rPr>
          <w:rFonts w:hint="eastAsia" w:ascii="宋体" w:hAnsi="宋体" w:eastAsia="宋体" w:cs="宋体"/>
          <w:color w:val="000000" w:themeColor="text1"/>
          <w:sz w:val="28"/>
          <w:szCs w:val="28"/>
          <w:highlight w:val="none"/>
        </w:rPr>
        <w:t>、围墙、各楼层/区域内办公室及公</w:t>
      </w:r>
      <w:r>
        <w:rPr>
          <w:rFonts w:hint="eastAsia" w:ascii="宋体" w:hAnsi="宋体" w:eastAsia="宋体" w:cs="宋体"/>
          <w:color w:val="000000" w:themeColor="text1"/>
          <w:sz w:val="28"/>
          <w:szCs w:val="28"/>
          <w:highlight w:val="none"/>
          <w:lang w:eastAsia="zh-CN"/>
        </w:rPr>
        <w:t>共</w:t>
      </w:r>
      <w:r>
        <w:rPr>
          <w:rFonts w:hint="eastAsia" w:ascii="宋体" w:hAnsi="宋体" w:eastAsia="宋体" w:cs="宋体"/>
          <w:color w:val="000000" w:themeColor="text1"/>
          <w:sz w:val="28"/>
          <w:szCs w:val="28"/>
          <w:highlight w:val="none"/>
        </w:rPr>
        <w:t>走道交通及24个时</w:t>
      </w:r>
      <w:r>
        <w:rPr>
          <w:rFonts w:hint="eastAsia" w:ascii="宋体" w:hAnsi="宋体" w:eastAsia="宋体" w:cs="宋体"/>
          <w:color w:val="000000" w:themeColor="text1"/>
          <w:sz w:val="28"/>
          <w:szCs w:val="28"/>
          <w:highlight w:val="none"/>
          <w:lang w:eastAsia="zh-CN"/>
        </w:rPr>
        <w:t>巡逻、值勤。</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办公楼(区域)来访人员通</w:t>
      </w:r>
      <w:r>
        <w:rPr>
          <w:rFonts w:hint="eastAsia" w:ascii="宋体" w:hAnsi="宋体" w:eastAsia="宋体" w:cs="宋体"/>
          <w:color w:val="000000" w:themeColor="text1"/>
          <w:sz w:val="28"/>
          <w:szCs w:val="28"/>
          <w:highlight w:val="none"/>
          <w:lang w:eastAsia="zh-CN"/>
        </w:rPr>
        <w:t>报</w:t>
      </w:r>
      <w:r>
        <w:rPr>
          <w:rFonts w:hint="eastAsia" w:ascii="宋体" w:hAnsi="宋体" w:eastAsia="宋体" w:cs="宋体"/>
          <w:color w:val="000000" w:themeColor="text1"/>
          <w:sz w:val="28"/>
          <w:szCs w:val="28"/>
          <w:highlight w:val="none"/>
        </w:rPr>
        <w:t>、登记、证件检查等。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积极配合公安部门工作，制定或完善监控室管理制度。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执行当地公安部门关于物业区域范围内的安全保卫工作方针、政策和有关条例。认真做好各种应急预案，并报备</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lang w:eastAsia="zh-CN"/>
        </w:rPr>
        <w:t>审查。遇恶劣</w:t>
      </w:r>
      <w:r>
        <w:rPr>
          <w:rFonts w:hint="eastAsia" w:ascii="宋体" w:hAnsi="宋体" w:eastAsia="宋体" w:cs="宋体"/>
          <w:color w:val="000000" w:themeColor="text1"/>
          <w:sz w:val="28"/>
          <w:szCs w:val="28"/>
          <w:highlight w:val="none"/>
        </w:rPr>
        <w:t>天气(如台风、雷雨、</w:t>
      </w:r>
      <w:r>
        <w:rPr>
          <w:rFonts w:hint="eastAsia" w:ascii="宋体" w:hAnsi="宋体" w:eastAsia="宋体" w:cs="宋体"/>
          <w:color w:val="000000" w:themeColor="text1"/>
          <w:sz w:val="28"/>
          <w:szCs w:val="28"/>
          <w:highlight w:val="none"/>
          <w:lang w:eastAsia="zh-CN"/>
        </w:rPr>
        <w:t>槽壁</w:t>
      </w:r>
      <w:r>
        <w:rPr>
          <w:rFonts w:hint="eastAsia" w:ascii="宋体" w:hAnsi="宋体" w:eastAsia="宋体" w:cs="宋体"/>
          <w:color w:val="000000" w:themeColor="text1"/>
          <w:sz w:val="28"/>
          <w:szCs w:val="28"/>
          <w:highlight w:val="none"/>
        </w:rPr>
        <w:t>和极潮湿等)或突发事件须及时出示警告牌，并记录和保护相关资料，尽量降低损失。</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及时制止物业管理区域内的不文明及违法行为。</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每天至少1次对电气设备、开关、线路和照明灯具等进行检查。</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建立防火制度和安全操作等制度。每半年开展防盗、防火宣传。</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8</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eastAsia="zh-CN"/>
        </w:rPr>
        <w:t>巡</w:t>
      </w:r>
      <w:r>
        <w:rPr>
          <w:rFonts w:hint="eastAsia" w:ascii="宋体" w:hAnsi="宋体" w:eastAsia="宋体" w:cs="宋体"/>
          <w:color w:val="000000" w:themeColor="text1"/>
          <w:sz w:val="28"/>
          <w:szCs w:val="28"/>
          <w:highlight w:val="none"/>
        </w:rPr>
        <w:t>逻范围包括区域的公共区城、绿地带、设备用房和各办公楼(区域)及</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指定场所。</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9</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处理各种突发事件，严重事件及时报警。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10</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定期</w:t>
      </w:r>
      <w:r>
        <w:rPr>
          <w:rFonts w:hint="eastAsia" w:ascii="宋体" w:hAnsi="宋体" w:eastAsia="宋体" w:cs="宋体"/>
          <w:color w:val="000000" w:themeColor="text1"/>
          <w:sz w:val="28"/>
          <w:szCs w:val="28"/>
          <w:highlight w:val="none"/>
          <w:lang w:eastAsia="zh-CN"/>
        </w:rPr>
        <w:t>巡</w:t>
      </w:r>
      <w:r>
        <w:rPr>
          <w:rFonts w:hint="eastAsia" w:ascii="宋体" w:hAnsi="宋体" w:eastAsia="宋体" w:cs="宋体"/>
          <w:color w:val="000000" w:themeColor="text1"/>
          <w:sz w:val="28"/>
          <w:szCs w:val="28"/>
          <w:highlight w:val="none"/>
        </w:rPr>
        <w:t>视消防器材和设备。及时通知</w:t>
      </w:r>
      <w:r>
        <w:rPr>
          <w:rFonts w:hint="eastAsia" w:ascii="宋体" w:hAnsi="宋体" w:eastAsia="宋体" w:cs="宋体"/>
          <w:color w:val="000000" w:themeColor="text1"/>
          <w:sz w:val="28"/>
          <w:szCs w:val="28"/>
          <w:highlight w:val="none"/>
          <w:lang w:eastAsia="zh-CN"/>
        </w:rPr>
        <w:t>指</w:t>
      </w:r>
      <w:r>
        <w:rPr>
          <w:rFonts w:hint="eastAsia" w:ascii="宋体" w:hAnsi="宋体" w:eastAsia="宋体" w:cs="宋体"/>
          <w:color w:val="000000" w:themeColor="text1"/>
          <w:sz w:val="28"/>
          <w:szCs w:val="28"/>
          <w:highlight w:val="none"/>
        </w:rPr>
        <w:t>定有关人员负责保养、维修和管理。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五</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停车场</w:t>
      </w:r>
      <w:r>
        <w:rPr>
          <w:rFonts w:hint="eastAsia" w:ascii="宋体" w:hAnsi="宋体" w:eastAsia="宋体" w:cs="宋体"/>
          <w:color w:val="000000" w:themeColor="text1"/>
          <w:sz w:val="28"/>
          <w:szCs w:val="28"/>
          <w:highlight w:val="none"/>
        </w:rPr>
        <w:t>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执行</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rPr>
        <w:t>制定的</w:t>
      </w:r>
      <w:r>
        <w:rPr>
          <w:rFonts w:hint="eastAsia" w:ascii="宋体" w:hAnsi="宋体" w:eastAsia="宋体" w:cs="宋体"/>
          <w:color w:val="000000" w:themeColor="text1"/>
          <w:sz w:val="28"/>
          <w:szCs w:val="28"/>
          <w:highlight w:val="none"/>
          <w:lang w:eastAsia="zh-CN"/>
        </w:rPr>
        <w:t>停车场</w:t>
      </w:r>
      <w:r>
        <w:rPr>
          <w:rFonts w:hint="eastAsia" w:ascii="宋体" w:hAnsi="宋体" w:eastAsia="宋体" w:cs="宋体"/>
          <w:color w:val="000000" w:themeColor="text1"/>
          <w:sz w:val="28"/>
          <w:szCs w:val="28"/>
          <w:highlight w:val="none"/>
        </w:rPr>
        <w:t>管理规定。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外来车辆进出辖区应登记日期、进出时间、车牌号码。建立登记制度，严防盗抢事件发生。</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eastAsia="zh-CN"/>
        </w:rPr>
        <w:t>非</w:t>
      </w:r>
      <w:r>
        <w:rPr>
          <w:rFonts w:hint="eastAsia" w:ascii="宋体" w:hAnsi="宋体" w:eastAsia="宋体" w:cs="宋体"/>
          <w:color w:val="000000" w:themeColor="text1"/>
          <w:sz w:val="28"/>
          <w:szCs w:val="28"/>
          <w:highlight w:val="none"/>
        </w:rPr>
        <w:t>机动车、机动车等各种车辆停放有序，有专人指引按规定停放在划定的露天车位或车棚内，做到车辆停放规范、整齐、分类。制止车辆在行车通道、消防通道及非停车位上停车。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六</w:t>
      </w:r>
      <w:r>
        <w:rPr>
          <w:rFonts w:hint="eastAsia" w:ascii="宋体" w:hAnsi="宋体" w:eastAsia="宋体" w:cs="宋体"/>
          <w:color w:val="000000" w:themeColor="text1"/>
          <w:sz w:val="28"/>
          <w:szCs w:val="28"/>
          <w:highlight w:val="none"/>
        </w:rPr>
        <w:t>】绿化的养护和管理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、对服务区域内的所有绿化植物进行日常管理和养护，包括室内摆设植物、室外绿地、花木等。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eastAsia="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rPr>
        <w:t>根据植物状况定期浇水</w:t>
      </w:r>
      <w:r>
        <w:rPr>
          <w:rFonts w:hint="eastAsia" w:ascii="宋体" w:hAnsi="宋体" w:eastAsia="宋体" w:cs="宋体"/>
          <w:color w:val="000000" w:themeColor="text1"/>
          <w:sz w:val="28"/>
          <w:szCs w:val="28"/>
          <w:highlight w:val="none"/>
          <w:lang w:eastAsia="zh-CN"/>
        </w:rPr>
        <w:t>和施肥</w:t>
      </w:r>
      <w:r>
        <w:rPr>
          <w:rFonts w:hint="eastAsia" w:ascii="宋体" w:hAnsi="宋体" w:eastAsia="宋体" w:cs="宋体"/>
          <w:color w:val="000000" w:themeColor="text1"/>
          <w:sz w:val="28"/>
          <w:szCs w:val="28"/>
          <w:highlight w:val="none"/>
        </w:rPr>
        <w:t>，及时修剪枯枝、残技和养护树木、草坪、花卉、盆栽等，保持无病虫、无黄叶、无脏物、造型优美，绿化植物应叶片茂盛，枝条均匀，花朵鲜艳，无病虫害</w:t>
      </w:r>
      <w:r>
        <w:rPr>
          <w:rFonts w:hint="eastAsia" w:ascii="宋体" w:hAnsi="宋体" w:eastAsia="宋体" w:cs="宋体"/>
          <w:color w:val="000000" w:themeColor="text1"/>
          <w:sz w:val="28"/>
          <w:szCs w:val="28"/>
          <w:highlight w:val="none"/>
          <w:lang w:eastAsia="zh-CN"/>
        </w:rPr>
        <w:t>，并做好抵御如台风、暴雨等自然灾害防护措施，需要时联系专业公司对安全隐患进行消除</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七</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建筑</w:t>
      </w:r>
      <w:r>
        <w:rPr>
          <w:rFonts w:hint="eastAsia" w:ascii="宋体" w:hAnsi="宋体" w:eastAsia="宋体" w:cs="宋体"/>
          <w:color w:val="000000" w:themeColor="text1"/>
          <w:sz w:val="28"/>
          <w:szCs w:val="28"/>
          <w:highlight w:val="none"/>
        </w:rPr>
        <w:t>设备、设施维修、</w:t>
      </w:r>
      <w:r>
        <w:rPr>
          <w:rFonts w:hint="eastAsia" w:ascii="宋体" w:hAnsi="宋体" w:eastAsia="宋体" w:cs="宋体"/>
          <w:color w:val="000000" w:themeColor="text1"/>
          <w:sz w:val="28"/>
          <w:szCs w:val="28"/>
          <w:highlight w:val="none"/>
          <w:lang w:eastAsia="zh-CN"/>
        </w:rPr>
        <w:t>维</w:t>
      </w:r>
      <w:r>
        <w:rPr>
          <w:rFonts w:hint="eastAsia" w:ascii="宋体" w:hAnsi="宋体" w:eastAsia="宋体" w:cs="宋体"/>
          <w:color w:val="000000" w:themeColor="text1"/>
          <w:sz w:val="28"/>
          <w:szCs w:val="28"/>
          <w:highlight w:val="none"/>
        </w:rPr>
        <w:t>护、管理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rPr>
        <w:t>给排水、供水系统</w:t>
      </w:r>
      <w:r>
        <w:rPr>
          <w:rFonts w:hint="eastAsia" w:ascii="宋体" w:hAnsi="宋体" w:eastAsia="宋体" w:cs="宋体"/>
          <w:color w:val="000000" w:themeColor="text1"/>
          <w:sz w:val="28"/>
          <w:szCs w:val="28"/>
          <w:highlight w:val="none"/>
          <w:lang w:eastAsia="zh-CN"/>
        </w:rPr>
        <w:t>维护管理</w:t>
      </w:r>
      <w:r>
        <w:rPr>
          <w:rFonts w:hint="eastAsia" w:ascii="宋体" w:hAnsi="宋体" w:eastAsia="宋体" w:cs="宋体"/>
          <w:color w:val="000000" w:themeColor="text1"/>
          <w:sz w:val="28"/>
          <w:szCs w:val="28"/>
          <w:highlight w:val="none"/>
        </w:rPr>
        <w:t>:建立正常用水、供水、排水管理制度并根据实际使用情况制订年度设备、设施管理、维修保养计划及总体划</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节约用水，防止冒、滴、漏</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或大面积跑水事故的发生。保持供水系统的正常运转</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每周检查水泵运转情况</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保持水池、水箱的清洁卫生，防止二次污染。每周检修维护供水系统管路、水泵、水池、水箱、阀门、水表、保证其正常</w:t>
      </w:r>
      <w:r>
        <w:rPr>
          <w:rFonts w:hint="eastAsia" w:ascii="宋体" w:hAnsi="宋体" w:eastAsia="宋体" w:cs="宋体"/>
          <w:color w:val="000000" w:themeColor="text1"/>
          <w:sz w:val="28"/>
          <w:szCs w:val="28"/>
          <w:highlight w:val="none"/>
          <w:lang w:eastAsia="zh-CN"/>
        </w:rPr>
        <w:t>运</w:t>
      </w:r>
      <w:r>
        <w:rPr>
          <w:rFonts w:hint="eastAsia" w:ascii="宋体" w:hAnsi="宋体" w:eastAsia="宋体" w:cs="宋体"/>
          <w:color w:val="000000" w:themeColor="text1"/>
          <w:sz w:val="28"/>
          <w:szCs w:val="28"/>
          <w:highlight w:val="none"/>
        </w:rPr>
        <w:t>转</w:t>
      </w:r>
      <w:r>
        <w:rPr>
          <w:rFonts w:hint="eastAsia" w:ascii="宋体" w:hAnsi="宋体" w:eastAsia="宋体" w:cs="宋体"/>
          <w:color w:val="000000" w:themeColor="text1"/>
          <w:sz w:val="28"/>
          <w:szCs w:val="28"/>
          <w:highlight w:val="none"/>
          <w:lang w:eastAsia="zh-CN"/>
        </w:rPr>
        <w:t>，发现故障及时排除</w:t>
      </w:r>
      <w:r>
        <w:rPr>
          <w:rFonts w:hint="eastAsia" w:ascii="宋体" w:hAnsi="宋体" w:eastAsia="宋体" w:cs="宋体"/>
          <w:color w:val="000000" w:themeColor="text1"/>
          <w:sz w:val="28"/>
          <w:szCs w:val="28"/>
          <w:highlight w:val="none"/>
        </w:rPr>
        <w:t>。保证排水系统的正常运转，防止阻塞。遇停水应预先通知</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及受影响部门。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机电、照明及自动化系统</w:t>
      </w:r>
      <w:r>
        <w:rPr>
          <w:rFonts w:hint="eastAsia" w:ascii="宋体" w:hAnsi="宋体" w:eastAsia="宋体" w:cs="宋体"/>
          <w:color w:val="000000" w:themeColor="text1"/>
          <w:sz w:val="28"/>
          <w:szCs w:val="28"/>
          <w:highlight w:val="none"/>
          <w:lang w:eastAsia="zh-CN"/>
        </w:rPr>
        <w:t>维护</w:t>
      </w:r>
      <w:r>
        <w:rPr>
          <w:rFonts w:hint="eastAsia" w:ascii="宋体" w:hAnsi="宋体" w:eastAsia="宋体" w:cs="宋体"/>
          <w:color w:val="000000" w:themeColor="text1"/>
          <w:sz w:val="28"/>
          <w:szCs w:val="28"/>
          <w:highlight w:val="none"/>
        </w:rPr>
        <w:t>管理:对办公楼(区域)供电系统高、低压电器设备、</w:t>
      </w:r>
      <w:r>
        <w:rPr>
          <w:rFonts w:hint="eastAsia" w:ascii="宋体" w:hAnsi="宋体" w:eastAsia="宋体" w:cs="宋体"/>
          <w:color w:val="000000" w:themeColor="text1"/>
          <w:sz w:val="28"/>
          <w:szCs w:val="28"/>
          <w:highlight w:val="none"/>
          <w:lang w:eastAsia="zh-CN"/>
        </w:rPr>
        <w:t>照</w:t>
      </w:r>
      <w:r>
        <w:rPr>
          <w:rFonts w:hint="eastAsia" w:ascii="宋体" w:hAnsi="宋体" w:eastAsia="宋体" w:cs="宋体"/>
          <w:color w:val="000000" w:themeColor="text1"/>
          <w:sz w:val="28"/>
          <w:szCs w:val="28"/>
          <w:highlight w:val="none"/>
        </w:rPr>
        <w:t>明装置等设备正常运行使用进行日常管理和养护维修并根据实际使用情况制订年度总体节能计划。建立严格的配送电运行制度和电气维修制度。保证公共使用的照明、指示、显示灯完好;电气线路设计、施工技术要求，线路负荷要满</w:t>
      </w:r>
      <w:r>
        <w:rPr>
          <w:rFonts w:hint="eastAsia" w:ascii="宋体" w:hAnsi="宋体" w:eastAsia="宋体" w:cs="宋体"/>
          <w:color w:val="000000" w:themeColor="text1"/>
          <w:sz w:val="28"/>
          <w:szCs w:val="28"/>
          <w:highlight w:val="none"/>
          <w:lang w:eastAsia="zh-CN"/>
        </w:rPr>
        <w:t>足</w:t>
      </w:r>
      <w:r>
        <w:rPr>
          <w:rFonts w:hint="eastAsia" w:ascii="宋体" w:hAnsi="宋体" w:eastAsia="宋体" w:cs="宋体"/>
          <w:color w:val="000000" w:themeColor="text1"/>
          <w:sz w:val="28"/>
          <w:szCs w:val="28"/>
          <w:highlight w:val="none"/>
        </w:rPr>
        <w:t>用户的要求</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确保发配电设备安全运行。遇停电限电预先通知</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及受影响部门。发生特殊情况</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如火灾、地震、水灾时，及时切断电源。确保办公区域内所有公共及专用照明灯管灯泡完好，发现损坏，及时调换。负责办公楼(区域)楼音源、服务器、喇叭等广播设备的正常使用及维修保养工作。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3、空调系统管理：</w:t>
      </w:r>
      <w:r>
        <w:rPr>
          <w:rFonts w:hint="eastAsia" w:ascii="宋体" w:hAnsi="宋体" w:eastAsia="宋体" w:cs="宋体"/>
          <w:color w:val="000000" w:themeColor="text1"/>
          <w:sz w:val="28"/>
          <w:szCs w:val="28"/>
          <w:highlight w:val="none"/>
        </w:rPr>
        <w:t>制定并严格执行空调运行管理制度、安全操作规程和空调系统设备维修保养制度，监控专业公司定期对空调系统范围内的设备设施进行检查、检修和保养，确保空调系统安全运行、正常使用；做好各项运行和维修保养记录；制定切实可行节能运行制度，有明显节能降耗效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lang w:val="en-US" w:eastAsia="zh-CN"/>
        </w:rPr>
        <w:t>4、消防系统管理：</w:t>
      </w:r>
      <w:r>
        <w:rPr>
          <w:rFonts w:hint="eastAsia" w:ascii="宋体" w:hAnsi="宋体" w:eastAsia="宋体" w:cs="宋体"/>
          <w:color w:val="000000" w:themeColor="text1"/>
          <w:sz w:val="28"/>
          <w:szCs w:val="28"/>
          <w:highlight w:val="none"/>
        </w:rPr>
        <w:t>制订并严格执行消防管理制度，监控消防专业公司</w:t>
      </w:r>
      <w:r>
        <w:rPr>
          <w:rFonts w:hint="eastAsia" w:ascii="宋体" w:hAnsi="宋体" w:eastAsia="宋体" w:cs="宋体"/>
          <w:color w:val="000000" w:themeColor="text1"/>
          <w:sz w:val="28"/>
          <w:szCs w:val="28"/>
          <w:highlight w:val="none"/>
          <w:lang w:eastAsia="zh-CN"/>
        </w:rPr>
        <w:t>定期</w:t>
      </w:r>
      <w:r>
        <w:rPr>
          <w:rFonts w:hint="eastAsia" w:ascii="宋体" w:hAnsi="宋体" w:eastAsia="宋体" w:cs="宋体"/>
          <w:color w:val="000000" w:themeColor="text1"/>
          <w:sz w:val="28"/>
          <w:szCs w:val="28"/>
          <w:highlight w:val="none"/>
        </w:rPr>
        <w:t>对消防系统设备维修保养，加强对消防系统范围内的设备设施包括控制中心、报警系统、应急广播和对讲电话、防排烟风机、气体灭火系统、消防栓及管网、消防泵、喷淋泵、喷淋管网、各类阀门、疏散指示牌等的日常检查、检测</w:t>
      </w:r>
      <w:r>
        <w:rPr>
          <w:rFonts w:hint="eastAsia" w:ascii="宋体" w:hAnsi="宋体" w:eastAsia="宋体" w:cs="宋体"/>
          <w:color w:val="000000" w:themeColor="text1"/>
          <w:sz w:val="28"/>
          <w:szCs w:val="28"/>
          <w:highlight w:val="none"/>
          <w:lang w:eastAsia="zh-CN"/>
        </w:rPr>
        <w:t>等管理，</w:t>
      </w:r>
      <w:r>
        <w:rPr>
          <w:rFonts w:hint="eastAsia" w:ascii="宋体" w:hAnsi="宋体" w:eastAsia="宋体" w:cs="宋体"/>
          <w:color w:val="000000" w:themeColor="text1"/>
          <w:sz w:val="28"/>
          <w:szCs w:val="28"/>
          <w:highlight w:val="none"/>
        </w:rPr>
        <w:t>设立消防疏散示意图，保证紧急疏散通道通畅，确保无消防安全隐患</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及时发现并协助排除设施设备故障，</w:t>
      </w:r>
      <w:r>
        <w:rPr>
          <w:rFonts w:hint="eastAsia" w:ascii="宋体" w:hAnsi="宋体" w:eastAsia="宋体" w:cs="宋体"/>
          <w:color w:val="000000" w:themeColor="text1"/>
          <w:sz w:val="28"/>
          <w:szCs w:val="28"/>
          <w:highlight w:val="none"/>
          <w:lang w:eastAsia="zh-CN"/>
        </w:rPr>
        <w:t>确保</w:t>
      </w:r>
      <w:r>
        <w:rPr>
          <w:rFonts w:hint="eastAsia" w:ascii="宋体" w:hAnsi="宋体" w:eastAsia="宋体" w:cs="宋体"/>
          <w:color w:val="000000" w:themeColor="text1"/>
          <w:sz w:val="28"/>
          <w:szCs w:val="28"/>
          <w:highlight w:val="none"/>
        </w:rPr>
        <w:t>维修合格率100%</w:t>
      </w:r>
      <w:r>
        <w:rPr>
          <w:rFonts w:hint="eastAsia" w:ascii="宋体" w:hAnsi="宋体" w:eastAsia="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5、电梯系统管理：</w:t>
      </w:r>
      <w:r>
        <w:rPr>
          <w:rFonts w:hint="eastAsia" w:ascii="宋体" w:hAnsi="宋体" w:eastAsia="宋体" w:cs="宋体"/>
          <w:color w:val="000000" w:themeColor="text1"/>
          <w:sz w:val="28"/>
          <w:szCs w:val="28"/>
          <w:highlight w:val="none"/>
        </w:rPr>
        <w:t>负责监督电梯维护专业公司定时、定期对电梯系统各项设施设备进行检查、检测、检修和保养；及时配合有效处理电梯事故，维修质量合格率100%；协助对电梯进行年度定期检验，办理安全运行证。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color w:val="000000" w:themeColor="text1"/>
          <w:highlight w:val="none"/>
        </w:rPr>
      </w:pPr>
      <w:r>
        <w:rPr>
          <w:rFonts w:hint="eastAsia" w:ascii="宋体" w:hAnsi="宋体" w:eastAsia="宋体" w:cs="宋体"/>
          <w:color w:val="000000" w:themeColor="text1"/>
          <w:sz w:val="28"/>
          <w:szCs w:val="28"/>
          <w:highlight w:val="none"/>
          <w:lang w:val="en-US" w:eastAsia="zh-CN"/>
        </w:rPr>
        <w:t>6、监控系统管理：</w:t>
      </w:r>
      <w:r>
        <w:rPr>
          <w:rFonts w:hint="eastAsia" w:ascii="宋体" w:hAnsi="宋体" w:eastAsia="宋体" w:cs="宋体"/>
          <w:color w:val="000000" w:themeColor="text1"/>
          <w:sz w:val="28"/>
          <w:szCs w:val="28"/>
          <w:highlight w:val="none"/>
        </w:rPr>
        <w:t>制定并严格执行监控系统运行管理制度、安全操作规程。定时、定期对监控系统各项设施设备进行检查，保证监控设备运作正常，画面清晰。做好录像资料储存设备的安全工作，录像资料至少保留一个月以上。</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第五条</w:t>
      </w:r>
      <w:r>
        <w:rPr>
          <w:rFonts w:hint="eastAsia" w:ascii="宋体" w:hAnsi="宋体" w:cs="宋体"/>
          <w:color w:val="000000" w:themeColor="text1"/>
          <w:sz w:val="28"/>
          <w:szCs w:val="28"/>
          <w:highlight w:val="none"/>
          <w:lang w:val="en-US" w:eastAsia="zh-CN"/>
        </w:rPr>
        <w:t xml:space="preserve">  技术支持服务要求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一</w:t>
      </w:r>
      <w:r>
        <w:rPr>
          <w:rFonts w:hint="eastAsia" w:ascii="宋体" w:hAnsi="宋体" w:eastAsia="宋体" w:cs="宋体"/>
          <w:color w:val="000000" w:themeColor="text1"/>
          <w:sz w:val="28"/>
          <w:szCs w:val="28"/>
          <w:highlight w:val="none"/>
        </w:rPr>
        <w:t>】物业服务范围包括以下内容：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1、建筑体部位（楼盖、屋顶、梁、柱、内外墙体和基础等承重结构部位，外面墙、楼梯间、洗手间、走廊通道、门厅、室内地面或地板、设备机房）的管理。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2、设施设备（高低压配电系统、给排水系统、照明设施、停车场管理系统、会议室</w:t>
      </w:r>
      <w:r>
        <w:rPr>
          <w:rFonts w:hint="eastAsia" w:ascii="宋体" w:hAnsi="宋体" w:eastAsia="宋体" w:cs="宋体"/>
          <w:color w:val="000000" w:themeColor="text1"/>
          <w:sz w:val="28"/>
          <w:szCs w:val="28"/>
          <w:highlight w:val="none"/>
          <w:lang w:eastAsia="zh-CN"/>
        </w:rPr>
        <w:t>及办公场所</w:t>
      </w:r>
      <w:r>
        <w:rPr>
          <w:rFonts w:hint="eastAsia" w:ascii="宋体" w:hAnsi="宋体" w:eastAsia="宋体" w:cs="宋体"/>
          <w:color w:val="000000" w:themeColor="text1"/>
          <w:sz w:val="28"/>
          <w:szCs w:val="28"/>
          <w:highlight w:val="none"/>
        </w:rPr>
        <w:t>内音响影像设备）的</w:t>
      </w:r>
      <w:r>
        <w:rPr>
          <w:rFonts w:hint="eastAsia" w:ascii="宋体" w:hAnsi="宋体" w:eastAsia="宋体" w:cs="宋体"/>
          <w:color w:val="000000" w:themeColor="text1"/>
          <w:sz w:val="28"/>
          <w:szCs w:val="28"/>
          <w:highlight w:val="none"/>
          <w:lang w:eastAsia="zh-CN"/>
        </w:rPr>
        <w:t>日常</w:t>
      </w:r>
      <w:r>
        <w:rPr>
          <w:rFonts w:hint="eastAsia" w:ascii="宋体" w:hAnsi="宋体" w:eastAsia="宋体" w:cs="宋体"/>
          <w:color w:val="000000" w:themeColor="text1"/>
          <w:sz w:val="28"/>
          <w:szCs w:val="28"/>
          <w:highlight w:val="none"/>
        </w:rPr>
        <w:t>维修、养护和管理。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rPr>
        <w:t>、物业安全防范管理，包括公共秩序管理、消防管理、财产管理、安全监控管理、停车场管理等。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、室内外环境卫生管理，包括所有办公室、会议室、卫生间、设备房</w:t>
      </w:r>
      <w:r>
        <w:rPr>
          <w:rFonts w:hint="eastAsia" w:ascii="宋体" w:hAnsi="宋体" w:eastAsia="宋体" w:cs="宋体"/>
          <w:color w:val="000000" w:themeColor="text1"/>
          <w:sz w:val="28"/>
          <w:szCs w:val="28"/>
          <w:highlight w:val="none"/>
          <w:lang w:eastAsia="zh-CN"/>
        </w:rPr>
        <w:t>、院子、走廊通道、停车场</w:t>
      </w:r>
      <w:r>
        <w:rPr>
          <w:rFonts w:hint="eastAsia" w:ascii="宋体" w:hAnsi="宋体" w:eastAsia="宋体" w:cs="宋体"/>
          <w:color w:val="000000" w:themeColor="text1"/>
          <w:sz w:val="28"/>
          <w:szCs w:val="28"/>
          <w:highlight w:val="none"/>
        </w:rPr>
        <w:t>等室内</w:t>
      </w:r>
      <w:r>
        <w:rPr>
          <w:rFonts w:hint="eastAsia" w:ascii="宋体" w:hAnsi="宋体" w:eastAsia="宋体" w:cs="宋体"/>
          <w:color w:val="000000" w:themeColor="text1"/>
          <w:sz w:val="28"/>
          <w:szCs w:val="28"/>
          <w:highlight w:val="none"/>
          <w:lang w:eastAsia="zh-CN"/>
        </w:rPr>
        <w:t>外</w:t>
      </w:r>
      <w:r>
        <w:rPr>
          <w:rFonts w:hint="eastAsia" w:ascii="宋体" w:hAnsi="宋体" w:eastAsia="宋体" w:cs="宋体"/>
          <w:color w:val="000000" w:themeColor="text1"/>
          <w:sz w:val="28"/>
          <w:szCs w:val="28"/>
          <w:highlight w:val="none"/>
        </w:rPr>
        <w:t>卫生管理、垃圾清运。</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5</w:t>
      </w:r>
      <w:r>
        <w:rPr>
          <w:rFonts w:hint="eastAsia" w:ascii="宋体" w:hAnsi="宋体" w:eastAsia="宋体" w:cs="宋体"/>
          <w:color w:val="000000" w:themeColor="text1"/>
          <w:sz w:val="28"/>
          <w:szCs w:val="28"/>
          <w:highlight w:val="none"/>
        </w:rPr>
        <w:t>、协助物品搬运和活动场地布置服务。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6</w:t>
      </w:r>
      <w:r>
        <w:rPr>
          <w:rFonts w:hint="eastAsia" w:ascii="宋体" w:hAnsi="宋体" w:eastAsia="宋体" w:cs="宋体"/>
          <w:color w:val="000000" w:themeColor="text1"/>
          <w:sz w:val="28"/>
          <w:szCs w:val="28"/>
          <w:highlight w:val="none"/>
        </w:rPr>
        <w:t>、绿化服务。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7</w:t>
      </w:r>
      <w:r>
        <w:rPr>
          <w:rFonts w:hint="eastAsia" w:ascii="宋体" w:hAnsi="宋体" w:eastAsia="宋体" w:cs="宋体"/>
          <w:color w:val="000000" w:themeColor="text1"/>
          <w:sz w:val="28"/>
          <w:szCs w:val="28"/>
          <w:highlight w:val="none"/>
        </w:rPr>
        <w:t>、隔油池、化油池、化粪池</w:t>
      </w:r>
      <w:r>
        <w:rPr>
          <w:rFonts w:hint="eastAsia" w:ascii="宋体" w:hAnsi="宋体" w:eastAsia="宋体" w:cs="宋体"/>
          <w:color w:val="000000" w:themeColor="text1"/>
          <w:sz w:val="28"/>
          <w:szCs w:val="28"/>
          <w:highlight w:val="none"/>
          <w:lang w:eastAsia="zh-CN"/>
        </w:rPr>
        <w:t>管理维护</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二</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国家税务总局阳西县税务局</w:t>
      </w:r>
      <w:r>
        <w:rPr>
          <w:rFonts w:hint="eastAsia" w:ascii="宋体" w:hAnsi="宋体" w:eastAsia="宋体" w:cs="宋体"/>
          <w:color w:val="000000" w:themeColor="text1"/>
          <w:sz w:val="28"/>
          <w:szCs w:val="28"/>
          <w:highlight w:val="none"/>
        </w:rPr>
        <w:t>是政府重要的办公及会议场所，对安全性、保密性、规范性要求严格，必须按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规定的要求执行。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三</w:t>
      </w:r>
      <w:r>
        <w:rPr>
          <w:rFonts w:hint="eastAsia" w:ascii="宋体" w:hAnsi="宋体" w:eastAsia="宋体" w:cs="宋体"/>
          <w:color w:val="000000" w:themeColor="text1"/>
          <w:sz w:val="28"/>
          <w:szCs w:val="28"/>
          <w:highlight w:val="none"/>
        </w:rPr>
        <w:t>】在处理特殊事件和紧急、突发事故时，</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对</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的物业管理人员有直接指挥权。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四</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各类管理人员按岗位着装要求统一</w:t>
      </w:r>
      <w:r>
        <w:rPr>
          <w:rFonts w:hint="eastAsia" w:ascii="宋体" w:hAnsi="宋体" w:eastAsia="宋体" w:cs="宋体"/>
          <w:color w:val="000000" w:themeColor="text1"/>
          <w:sz w:val="28"/>
          <w:szCs w:val="28"/>
          <w:highlight w:val="none"/>
          <w:lang w:eastAsia="zh-CN"/>
        </w:rPr>
        <w:t>着装</w:t>
      </w:r>
      <w:r>
        <w:rPr>
          <w:rFonts w:hint="eastAsia" w:ascii="宋体" w:hAnsi="宋体" w:eastAsia="宋体" w:cs="宋体"/>
          <w:color w:val="000000" w:themeColor="text1"/>
          <w:sz w:val="28"/>
          <w:szCs w:val="28"/>
          <w:highlight w:val="none"/>
        </w:rPr>
        <w:t>，言行规范，要注意仪容仪表，公众形象。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五</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必须按照国家有关规定为员工购买社会保险，员工待遇不低于国家规定最低工资标准要求，员工享受国家劳动法规定的福利假期，要求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遵守国家及阳江市有关劳动法律法规等有关规定执行。员工的劳动合同关系、薪酬待遇、保险、工伤、因工作失误导致意外等经济责任、法律责任及相关费用均由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不承担相关责任。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六</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在做好工作的同时，有责任向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提供合理化建议，以提高管理效率和管理质量。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七</w:t>
      </w:r>
      <w:r>
        <w:rPr>
          <w:rFonts w:hint="eastAsia" w:ascii="宋体" w:hAnsi="宋体" w:eastAsia="宋体" w:cs="宋体"/>
          <w:color w:val="000000" w:themeColor="text1"/>
          <w:sz w:val="28"/>
          <w:szCs w:val="28"/>
          <w:highlight w:val="none"/>
        </w:rPr>
        <w:t>】在合同期间</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的所有财产的安全问题由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负责，由于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管理不到位，导致</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财产损坏的，</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赔偿相应的维修费并恢复原样；导致</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财产丢失的，</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按照该财产的原价格赔偿。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八</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全体管理人员的人身安全及健康状况由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九</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提供的管理人员及各项服务费用需经</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审核。（须提供承诺函）</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】合同期满后，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与新接管物业管理企业须绝对服从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的指挥，进行设备清点、登记、移交，并确保完好无损。不得以任何理由、借口缓交或拒交。</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十一</w:t>
      </w:r>
      <w:r>
        <w:rPr>
          <w:rFonts w:hint="eastAsia" w:ascii="宋体" w:hAnsi="宋体" w:eastAsia="宋体" w:cs="宋体"/>
          <w:color w:val="000000" w:themeColor="text1"/>
          <w:sz w:val="28"/>
          <w:szCs w:val="28"/>
          <w:highlight w:val="none"/>
        </w:rPr>
        <w:t>】合同签订后1个月内，</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提供本项目所有人员的人事档案资料，包括身份证复印件、体检证明、专业人员证书等。</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不得伪造人事档案欺骗</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，如有此种情况发生，</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在规定的时间内更换人员，且</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有权立即解除合同。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十二</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必须按本项目要求100%配备人员。在合同执行期内如在岗人员少于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要求总人数时，</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须限期补齐，如特殊情况下，短期内出现招工困难（5天内），不得不延长在职人员工时，必须严格按国家劳动法规支付加班费，否则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有权按缺员数量和天数进行扣减。（须提供承诺书）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十三</w:t>
      </w:r>
      <w:r>
        <w:rPr>
          <w:rFonts w:hint="eastAsia" w:ascii="宋体" w:hAnsi="宋体" w:eastAsia="宋体" w:cs="宋体"/>
          <w:color w:val="000000" w:themeColor="text1"/>
          <w:sz w:val="28"/>
          <w:szCs w:val="28"/>
          <w:highlight w:val="none"/>
        </w:rPr>
        <w:t>】管理用房：</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提供专门的管理办公用房（含</w:t>
      </w:r>
      <w:r>
        <w:rPr>
          <w:rFonts w:hint="eastAsia" w:ascii="宋体" w:hAnsi="宋体" w:eastAsia="宋体" w:cs="宋体"/>
          <w:color w:val="000000" w:themeColor="text1"/>
          <w:sz w:val="28"/>
          <w:szCs w:val="28"/>
          <w:highlight w:val="none"/>
          <w:lang w:eastAsia="zh-CN"/>
        </w:rPr>
        <w:t>办公室、</w:t>
      </w:r>
      <w:r>
        <w:rPr>
          <w:rFonts w:hint="eastAsia" w:ascii="宋体" w:hAnsi="宋体" w:eastAsia="宋体" w:cs="宋体"/>
          <w:color w:val="000000" w:themeColor="text1"/>
          <w:sz w:val="28"/>
          <w:szCs w:val="28"/>
          <w:highlight w:val="none"/>
        </w:rPr>
        <w:t>资料室、仓库及维修场所），不提供任何居住和居住相关用房。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十四</w:t>
      </w:r>
      <w:r>
        <w:rPr>
          <w:rFonts w:hint="eastAsia" w:ascii="宋体" w:hAnsi="宋体" w:eastAsia="宋体" w:cs="宋体"/>
          <w:color w:val="000000" w:themeColor="text1"/>
          <w:sz w:val="28"/>
          <w:szCs w:val="28"/>
          <w:highlight w:val="none"/>
        </w:rPr>
        <w:t>】公用水电费用由</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承担。（包括卫生间、绿化、空调、清洁卫生、生活等各类用水；消防、水泵、照明、电梯、各类机电设备等各类用电）。</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十五</w:t>
      </w:r>
      <w:r>
        <w:rPr>
          <w:rFonts w:hint="eastAsia" w:ascii="宋体" w:hAnsi="宋体" w:eastAsia="宋体" w:cs="宋体"/>
          <w:color w:val="000000" w:themeColor="text1"/>
          <w:sz w:val="28"/>
          <w:szCs w:val="28"/>
          <w:highlight w:val="none"/>
        </w:rPr>
        <w:t>】档案资料管理：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要建立资料的收集、分类整理、归档管理制度。对以下的所有档案资料，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有权随时调阅、查阅、复印。对所有原始档案资料在合同期内，</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必须严格管理。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2、在日常管理中要建立交接班、设施设备故障与维修、保养等登记制度。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3、档案资料包括：与物业相关的工程图纸、档案和竣工验收资料：实施管理和服务工作中的各种制度、规程、流程、记录、图表、函件等。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提供相关外包服务项目合同复印件。</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应做好相关档案资料的保密工作，禁止泄密。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十六</w:t>
      </w:r>
      <w:r>
        <w:rPr>
          <w:rFonts w:hint="eastAsia" w:ascii="宋体" w:hAnsi="宋体" w:eastAsia="宋体" w:cs="宋体"/>
          <w:color w:val="000000" w:themeColor="text1"/>
          <w:sz w:val="28"/>
          <w:szCs w:val="28"/>
          <w:highlight w:val="none"/>
        </w:rPr>
        <w:t>】其它事项要求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管理政府资产。</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办理办公用房交接登记。</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及办公单位临时搬运物资。</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要求完成重要节日张挂工作。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5、其它临时性的事务。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十七</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可随时检查</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人员的工作，并可随时要求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更换工作人员，</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应当及时执行。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十八</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的服务质量应符合招标文件、中标文件、合同等约定的标准，否则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整改，</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应当及时执行，由此产生的一切费用，以及给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造成的损失，均由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十九</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服务期间应落实安全生产措施，如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人员在服务过程中造成自身、</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或第三人的人身和财产损害的，由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承担约定和法定责任。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二</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违反招标文件、中标文件、合同等约定的，</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有权立即聘请第三方提供合同项下的服务，由此产生的一切费用由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承担，同时</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可从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应取得的合同款中予以扣减。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default"/>
          <w:color w:val="000000" w:themeColor="text1"/>
          <w:highlight w:val="none"/>
          <w:lang w:val="en-US" w:eastAsia="zh-CN"/>
        </w:rPr>
      </w:pPr>
      <w:r>
        <w:rPr>
          <w:rFonts w:hint="eastAsia" w:ascii="宋体" w:hAnsi="宋体" w:cs="宋体"/>
          <w:color w:val="000000" w:themeColor="text1"/>
          <w:sz w:val="28"/>
          <w:szCs w:val="28"/>
          <w:highlight w:val="none"/>
          <w:lang w:eastAsia="zh-CN"/>
        </w:rPr>
        <w:t>第六条</w:t>
      </w:r>
      <w:r>
        <w:rPr>
          <w:rFonts w:hint="eastAsia" w:ascii="宋体" w:hAnsi="宋体" w:cs="宋体"/>
          <w:color w:val="000000" w:themeColor="text1"/>
          <w:sz w:val="28"/>
          <w:szCs w:val="28"/>
          <w:highlight w:val="none"/>
          <w:lang w:val="en-US" w:eastAsia="zh-CN"/>
        </w:rPr>
        <w:t xml:space="preserve">  用工程序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如需新增新物业管理服务人员，</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按如下要求新增：</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根据业务需要和岗位设置情况，以书面形式向</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发出需求通知书。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收到</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用工需求通知书后，按照需求提供物业管理服务人员。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对</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推荐的物业管理服务人员进行选用确认。</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有权自行决定是否接受选用</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推荐的物业管理服务人员。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须组织获得选用资格的人员进行体检，审验、收集获得选用资格人员的相关证件等资料，上述资料须备份给</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对获得选用资格并体检合格的人员进行岗位培训，</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对其进行公共职业培训，上述培训均合格后，由</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确定正式选用名单。</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通知选用人员入职，并办理相关入职手续、签订劳动合同等。签订的劳动合同须备份给</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有权要求调换不适合岗位要求的物业管理服务人员，</w:t>
      </w:r>
      <w:r>
        <w:rPr>
          <w:rFonts w:hint="eastAsia" w:ascii="宋体" w:hAnsi="宋体" w:cs="宋体"/>
          <w:color w:val="000000" w:themeColor="text1"/>
          <w:sz w:val="28"/>
          <w:szCs w:val="28"/>
          <w:highlight w:val="none"/>
          <w:lang w:val="en-US" w:eastAsia="zh-CN"/>
        </w:rPr>
        <w:t>乙方</w:t>
      </w:r>
      <w:r>
        <w:rPr>
          <w:rFonts w:hint="eastAsia" w:ascii="宋体" w:hAnsi="宋体" w:cs="宋体"/>
          <w:color w:val="000000" w:themeColor="text1"/>
          <w:sz w:val="28"/>
          <w:szCs w:val="28"/>
          <w:highlight w:val="none"/>
          <w:lang w:eastAsia="zh-CN"/>
        </w:rPr>
        <w:t>调换物业管理服务人员须经过</w:t>
      </w:r>
      <w:r>
        <w:rPr>
          <w:rFonts w:hint="eastAsia" w:ascii="宋体" w:hAnsi="宋体" w:cs="宋体"/>
          <w:color w:val="000000" w:themeColor="text1"/>
          <w:sz w:val="28"/>
          <w:szCs w:val="28"/>
          <w:highlight w:val="none"/>
          <w:lang w:val="en-US" w:eastAsia="zh-CN"/>
        </w:rPr>
        <w:t>甲方</w:t>
      </w:r>
      <w:r>
        <w:rPr>
          <w:rFonts w:hint="eastAsia" w:ascii="宋体" w:hAnsi="宋体" w:cs="宋体"/>
          <w:color w:val="000000" w:themeColor="text1"/>
          <w:sz w:val="28"/>
          <w:szCs w:val="28"/>
          <w:highlight w:val="none"/>
          <w:lang w:eastAsia="zh-CN"/>
        </w:rPr>
        <w:t>同意。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七</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考核及验收</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1、甲方对乙方的物业管理服务情况进行考核及验收，并对造成失误、过错、事故的，当月作出处理并追究相关责任，其考核扣罚费用下月据实结算。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2、招标文件条款明确的责任及罚则所涉及的投诉类型、失误、过错大小、事故性质、有效性的确定由甲方与乙方在合同签订时协商予以明确,分歧异议部分，以甲方后勤主管部门的意见为准。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3、甲方对乙方管理服务期间每月综合考评一次，累计有两个月得分低于</w:t>
      </w:r>
      <w:r>
        <w:rPr>
          <w:rFonts w:hint="eastAsia" w:ascii="宋体" w:hAnsi="宋体" w:cs="宋体"/>
          <w:color w:val="000000" w:themeColor="text1"/>
          <w:sz w:val="28"/>
          <w:szCs w:val="28"/>
          <w:highlight w:val="none"/>
          <w:lang w:val="en-US" w:eastAsia="zh-CN"/>
        </w:rPr>
        <w:t>80</w:t>
      </w:r>
      <w:r>
        <w:rPr>
          <w:rFonts w:hint="eastAsia" w:ascii="宋体" w:hAnsi="宋体" w:cs="宋体"/>
          <w:color w:val="000000" w:themeColor="text1"/>
          <w:sz w:val="28"/>
          <w:szCs w:val="28"/>
          <w:highlight w:val="none"/>
          <w:lang w:eastAsia="zh-CN"/>
        </w:rPr>
        <w:t>分，则视为不合格，甲方有权终止合同。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4、乙方如有违反或未达到招标文件内★号项要求，视为0分考评，甲方有权终止合同，重新组织招标。有分歧异议的，以甲方的意见为准。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甲方和乙方共同参与乙方服务工作人员考勤管理，乙方服务工作人员出勤率应达规定人数的100%，每日全勤奖励加8分。考勤按在岗时间以小时计算，全体员工迟到、早退等不在岗时间累计共（到）有八小时视为1人当天缺勤，按本岗位用工</w:t>
      </w:r>
      <w:r>
        <w:rPr>
          <w:rFonts w:hint="eastAsia" w:ascii="宋体" w:hAnsi="宋体" w:cs="宋体"/>
          <w:color w:val="000000" w:themeColor="text1"/>
          <w:sz w:val="28"/>
          <w:szCs w:val="28"/>
          <w:highlight w:val="none"/>
          <w:lang w:val="en-US" w:eastAsia="zh-CN"/>
        </w:rPr>
        <w:t>3倍工资的标准计算扣减物业管理服务费</w:t>
      </w:r>
      <w:r>
        <w:rPr>
          <w:rFonts w:hint="eastAsia" w:ascii="宋体" w:hAnsi="宋体" w:cs="宋体"/>
          <w:color w:val="000000" w:themeColor="text1"/>
          <w:sz w:val="28"/>
          <w:szCs w:val="28"/>
          <w:highlight w:val="none"/>
          <w:lang w:eastAsia="zh-CN"/>
        </w:rPr>
        <w:t>，累计时间缺勤一小时扣一分；因员工离职和考核考评不合格、违规遭到投诉等换人造成的岗位即时缺人，按本岗位用工3倍工资计算扣减物业管理服务费，每人每天扣8分。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6、在经营活动中存在违反税收法规财务制度及其他违法违规记录，扣20分。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7、在经营中是否履行合同承诺。很好履行合同承诺得3分；基本履行合同承诺不得分；未履行合同承诺每次扣3分。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8、提倡节约能源，不准浪费水、电及消耗品等公共资源（违反则扣0.5分/次）。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9、不准违反工作纪律、违规操作。严格执行和遵守各项管理制度（违反扣1分）。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10、一般过错的有效投诉，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60元/次扣减物业管理服务费。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11、一般过错的重（反）复性有效投诉，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120元/次扣减物业管理服务费。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12、较大过错的有效投诉，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180元/次扣减物业管理服务费。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13、较大过错的的重（反）复性有效投诉，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480元/次扣减物业管理服务费。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14、重大过错的有效投诉，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720元/次扣减物业管理服务费。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15、重大过错的重（反）复性有效投诉，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1800元/次扣减物业管理服务费。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16、一般事故过错的，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1.5-2.4万元/次扣减物业管理服务费。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17、较大事故过错的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3-6万元/次扣减物业管理服务费。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18、重大事故过错的，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6-15万元/次扣减物业管理服务费。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19、违反以下条款每条每个事项扣0.1分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（1）工作或执勤时，乙方的所有服务人员必须身着制服，佩证上岗，制服不准混穿；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（2）乙方的所有服务人员的制服要保持整洁、平整，不得敞胸露怀、卷袖子、挽裤腿；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（3）上班时间须精神振作、精力集中，不得袖手、插手、背手；</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值班在岗时站姿、坐姿姿态端正，保持立正姿势，不得东摇西晃、坐卧、倚靠、躺卧、打盹、吸烟、吃东西、电话聊天、看书报、下棋、玩弄手机、听看音频视频，不得聊天，大声说话，喧闹，嘻哈玩笑，随意走动、乱堆乱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（5）上班人员提前十五分钟达到各执勤工作岗位，办理接班手续、做好交班记录和物品出入登记，没人顶接不准擅自离开岗位；</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（6）值班人员不准在岗就餐，值班时不得会客；</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（7）工作有礼有节，热情受理各种问题，对发现的问题要及时解决，解决不了的及时汇报并做好登记管理；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（8）工作场所保持整洁、不准随意粘贴、悬挂与堆放与工作无关的物品；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（9）有效投诉一次。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20、如有气味、噪音、饮水等影响了甲方正常工作秩序，乙方没能及时处理和制止，每次扣减物业管理费¥</w:t>
      </w:r>
      <w:r>
        <w:rPr>
          <w:rFonts w:hint="eastAsia" w:ascii="宋体" w:hAnsi="宋体" w:cs="宋体"/>
          <w:color w:val="000000" w:themeColor="text1"/>
          <w:sz w:val="28"/>
          <w:szCs w:val="28"/>
          <w:highlight w:val="none"/>
          <w:lang w:val="en-US" w:eastAsia="zh-CN"/>
        </w:rPr>
        <w:t>500</w:t>
      </w:r>
      <w:r>
        <w:rPr>
          <w:rFonts w:hint="eastAsia" w:ascii="宋体" w:hAnsi="宋体" w:cs="宋体"/>
          <w:color w:val="000000" w:themeColor="text1"/>
          <w:sz w:val="28"/>
          <w:szCs w:val="28"/>
          <w:highlight w:val="none"/>
          <w:lang w:eastAsia="zh-CN"/>
        </w:rPr>
        <w:t>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21、按规定准时关闭空调、电脑、照明、抽风及非须使用的电气设备，若造成浪费，每次扣减物业管理费¥100元。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22、招标文件和合同其它约定相关事项。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其它由于乙方责任发生的过错，物业管理费扣罚标准详见附表。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附表1：服务管理综合考评满意度调查表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附表2：物业管理服务综合考评、管理服务奖励处罚分数统计表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附表3：物业管理服务处罚单</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八</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乙方须在中标结果公告期满后20个自然日内按合同签订年度中标金额的5%向甲方提交由合法金融机构出具的连带保证责任的履约保函(保证期限应不少于本合同履行期限加上6个月的总和），担保范围为甲方向乙方索偿的一切违约金和赔偿金。如乙方无法按前述规定提供履约保函的，可向甲方提供年度合同总金额的5%的履约保证金作为替代。合同期限届满前，保函金额或保证金被甲方扣减的，乙方应在收到通知后10天内补足，否则，甲方有权视为乙方未按规定提供履约保函或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2、按承诺完全履行合同的约定，物业管理合同期满3个月，且顺利完成工作交接后的30个工作日内返还履约保证金或终止履约保函有效期。</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3、乙方未按规定提供履约保函或履约保证金的，甲方有权单方解除合同，并有权要求乙方支付合同总金额10%的违约金。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4、乙方派驻人员应严格按照规定认真履行职责，对乙方派驻的工作人员违反服务规定，造成的损失由乙方负责，损失金额超过人民币5万元或者造成不良社会影响的，甲方有权没收履约保证金或按履约保函担保额度索赔保证金并视情况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九</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 xml:space="preserve">服务费及结算方式     </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rPr>
        <w:t>向</w:t>
      </w:r>
      <w:r>
        <w:rPr>
          <w:rFonts w:hint="eastAsia" w:ascii="宋体" w:hAnsi="宋体" w:eastAsia="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rPr>
        <w:t>提供服务</w:t>
      </w:r>
      <w:r>
        <w:rPr>
          <w:rFonts w:hint="eastAsia" w:ascii="宋体" w:hAnsi="宋体" w:eastAsia="宋体" w:cs="宋体"/>
          <w:color w:val="000000" w:themeColor="text1"/>
          <w:sz w:val="28"/>
          <w:szCs w:val="28"/>
          <w:highlight w:val="none"/>
          <w:lang w:val="en-US" w:eastAsia="zh-CN"/>
        </w:rPr>
        <w:t>20</w:t>
      </w:r>
      <w:r>
        <w:rPr>
          <w:rFonts w:hint="eastAsia" w:ascii="宋体" w:hAnsi="宋体" w:eastAsia="宋体" w:cs="宋体"/>
          <w:color w:val="000000" w:themeColor="text1"/>
          <w:sz w:val="28"/>
          <w:szCs w:val="28"/>
          <w:highlight w:val="none"/>
        </w:rPr>
        <w:t>人（保安人员</w:t>
      </w:r>
      <w:r>
        <w:rPr>
          <w:rFonts w:hint="eastAsia" w:ascii="宋体" w:hAnsi="宋体" w:eastAsia="宋体" w:cs="宋体"/>
          <w:color w:val="000000" w:themeColor="text1"/>
          <w:sz w:val="28"/>
          <w:szCs w:val="28"/>
          <w:highlight w:val="none"/>
          <w:lang w:val="en-US" w:eastAsia="zh-CN"/>
        </w:rPr>
        <w:t>16</w:t>
      </w:r>
      <w:r>
        <w:rPr>
          <w:rFonts w:hint="eastAsia" w:ascii="宋体" w:hAnsi="宋体" w:eastAsia="宋体" w:cs="宋体"/>
          <w:color w:val="000000" w:themeColor="text1"/>
          <w:sz w:val="28"/>
          <w:szCs w:val="28"/>
          <w:highlight w:val="none"/>
        </w:rPr>
        <w:t>名，</w:t>
      </w:r>
      <w:r>
        <w:rPr>
          <w:rFonts w:hint="eastAsia" w:ascii="宋体" w:hAnsi="宋体" w:eastAsia="宋体" w:cs="宋体"/>
          <w:color w:val="000000" w:themeColor="text1"/>
          <w:sz w:val="28"/>
          <w:szCs w:val="28"/>
          <w:highlight w:val="none"/>
          <w:lang w:eastAsia="zh-CN"/>
        </w:rPr>
        <w:t>绿化养护员</w:t>
      </w:r>
      <w:r>
        <w:rPr>
          <w:rFonts w:hint="eastAsia" w:ascii="宋体" w:hAnsi="宋体" w:eastAsia="宋体" w:cs="宋体"/>
          <w:color w:val="000000" w:themeColor="text1"/>
          <w:sz w:val="28"/>
          <w:szCs w:val="28"/>
          <w:highlight w:val="none"/>
          <w:lang w:val="en-US" w:eastAsia="zh-CN"/>
        </w:rPr>
        <w:t>1名、</w:t>
      </w:r>
      <w:r>
        <w:rPr>
          <w:rFonts w:hint="eastAsia" w:ascii="宋体" w:hAnsi="宋体" w:eastAsia="宋体" w:cs="宋体"/>
          <w:color w:val="000000" w:themeColor="text1"/>
          <w:sz w:val="28"/>
          <w:szCs w:val="28"/>
          <w:highlight w:val="none"/>
          <w:lang w:eastAsia="zh-CN"/>
        </w:rPr>
        <w:t>保洁员</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名，</w:t>
      </w:r>
      <w:r>
        <w:rPr>
          <w:rFonts w:hint="eastAsia" w:ascii="宋体" w:hAnsi="宋体" w:eastAsia="宋体" w:cs="宋体"/>
          <w:color w:val="000000" w:themeColor="text1"/>
          <w:sz w:val="28"/>
          <w:szCs w:val="28"/>
          <w:highlight w:val="none"/>
          <w:lang w:eastAsia="zh-CN"/>
        </w:rPr>
        <w:t>水电</w:t>
      </w:r>
      <w:r>
        <w:rPr>
          <w:rFonts w:hint="eastAsia" w:ascii="宋体" w:hAnsi="宋体" w:eastAsia="宋体" w:cs="宋体"/>
          <w:color w:val="000000" w:themeColor="text1"/>
          <w:sz w:val="28"/>
          <w:szCs w:val="28"/>
          <w:highlight w:val="none"/>
        </w:rPr>
        <w:t>工1名）。在合同履行期间，</w:t>
      </w:r>
      <w:r>
        <w:rPr>
          <w:rFonts w:hint="eastAsia" w:ascii="宋体" w:hAnsi="宋体" w:eastAsia="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rPr>
        <w:t>有权根据实际需要调整</w:t>
      </w:r>
      <w:r>
        <w:rPr>
          <w:rFonts w:hint="eastAsia" w:ascii="宋体" w:hAnsi="宋体" w:eastAsia="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人员的数量，如因</w:t>
      </w:r>
      <w:r>
        <w:rPr>
          <w:rFonts w:hint="eastAsia" w:ascii="宋体" w:hAnsi="宋体" w:eastAsia="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人员数量变化而致使</w:t>
      </w:r>
      <w:r>
        <w:rPr>
          <w:rFonts w:hint="eastAsia" w:ascii="宋体" w:hAnsi="宋体" w:eastAsia="宋体" w:cs="宋体"/>
          <w:color w:val="000000" w:themeColor="text1"/>
          <w:sz w:val="28"/>
          <w:szCs w:val="28"/>
          <w:highlight w:val="none"/>
          <w:lang w:val="en-US" w:eastAsia="zh-CN"/>
        </w:rPr>
        <w:t>服务</w:t>
      </w:r>
      <w:r>
        <w:rPr>
          <w:rFonts w:hint="eastAsia" w:ascii="宋体" w:hAnsi="宋体" w:eastAsia="宋体" w:cs="宋体"/>
          <w:color w:val="000000" w:themeColor="text1"/>
          <w:sz w:val="28"/>
          <w:szCs w:val="28"/>
          <w:highlight w:val="none"/>
        </w:rPr>
        <w:t>费用金额需要调整或因国家工资政策发生重大变化，使双方仍按合同规定支付服务费对一方显失公平的，双方应本着公平原则另行补充协商调整服务费金额，按调整后的服务费支付合同剩余期限的服务费。</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2、乙方应承担的服务费</w:t>
      </w:r>
      <w:r>
        <w:rPr>
          <w:rFonts w:hint="eastAsia" w:ascii="宋体" w:hAnsi="宋体" w:eastAsia="宋体" w:cs="宋体"/>
          <w:color w:val="000000" w:themeColor="text1"/>
          <w:sz w:val="28"/>
          <w:szCs w:val="28"/>
          <w:highlight w:val="none"/>
        </w:rPr>
        <w:t>包含：</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lang w:val="en-US" w:eastAsia="zh-CN"/>
        </w:rPr>
        <w:t>1</w:t>
      </w:r>
      <w:r>
        <w:rPr>
          <w:rFonts w:hint="eastAsia" w:ascii="宋体" w:hAnsi="宋体" w:eastAsia="宋体" w:cs="宋体"/>
          <w:color w:val="000000" w:themeColor="text1"/>
          <w:sz w:val="28"/>
          <w:szCs w:val="28"/>
          <w:highlight w:val="none"/>
          <w:lang w:eastAsia="zh-CN"/>
        </w:rPr>
        <w:t>）服务人员正常工作时间的工资及</w:t>
      </w:r>
      <w:r>
        <w:rPr>
          <w:rFonts w:hint="eastAsia" w:ascii="宋体" w:hAnsi="宋体" w:eastAsia="宋体" w:cs="宋体"/>
          <w:color w:val="000000" w:themeColor="text1"/>
          <w:sz w:val="28"/>
          <w:szCs w:val="28"/>
          <w:highlight w:val="none"/>
          <w:lang w:val="en-US" w:eastAsia="zh-CN"/>
        </w:rPr>
        <w:t>加班费</w:t>
      </w:r>
      <w:r>
        <w:rPr>
          <w:rFonts w:hint="eastAsia" w:ascii="宋体" w:hAnsi="宋体" w:eastAsia="宋体" w:cs="宋体"/>
          <w:color w:val="000000" w:themeColor="text1"/>
          <w:sz w:val="28"/>
          <w:szCs w:val="28"/>
          <w:highlight w:val="none"/>
          <w:lang w:eastAsia="zh-CN"/>
        </w:rPr>
        <w:t>、福利、应缴纳各项社会保险费（含养老、医疗、工伤、失业、生育险、高额医疗保险）、住房公积金。</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（2）对服务人员开展节日慰问，提供年度体检服务、培训教育、工作制服有关的费用。</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本条上述第（1）（2）项费用，</w:t>
      </w:r>
      <w:r>
        <w:rPr>
          <w:rFonts w:hint="eastAsia" w:ascii="宋体" w:hAnsi="宋体" w:eastAsia="宋体" w:cs="宋体"/>
          <w:color w:val="000000" w:themeColor="text1"/>
          <w:sz w:val="28"/>
          <w:szCs w:val="28"/>
          <w:highlight w:val="none"/>
          <w:lang w:eastAsia="zh-CN"/>
        </w:rPr>
        <w:t>以下</w:t>
      </w:r>
      <w:r>
        <w:rPr>
          <w:rFonts w:hint="eastAsia" w:ascii="宋体" w:hAnsi="宋体" w:eastAsia="宋体" w:cs="宋体"/>
          <w:color w:val="000000" w:themeColor="text1"/>
          <w:sz w:val="28"/>
          <w:szCs w:val="28"/>
          <w:highlight w:val="none"/>
          <w:lang w:val="en-US" w:eastAsia="zh-CN"/>
        </w:rPr>
        <w:t>合</w:t>
      </w:r>
      <w:r>
        <w:rPr>
          <w:rFonts w:hint="eastAsia" w:ascii="宋体" w:hAnsi="宋体" w:eastAsia="宋体" w:cs="宋体"/>
          <w:color w:val="000000" w:themeColor="text1"/>
          <w:sz w:val="28"/>
          <w:szCs w:val="28"/>
          <w:highlight w:val="none"/>
          <w:lang w:eastAsia="zh-CN"/>
        </w:rPr>
        <w:t>称“薪酬”</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bCs w:val="0"/>
          <w:color w:val="000000" w:themeColor="text1"/>
          <w:sz w:val="28"/>
          <w:szCs w:val="28"/>
          <w:highlight w:val="none"/>
          <w:lang w:val="en-US" w:eastAsia="zh-CN"/>
        </w:rPr>
      </w:pPr>
      <w:r>
        <w:rPr>
          <w:rFonts w:hint="eastAsia" w:ascii="宋体" w:hAnsi="宋体" w:eastAsia="宋体" w:cs="宋体"/>
          <w:bCs w:val="0"/>
          <w:color w:val="000000" w:themeColor="text1"/>
          <w:sz w:val="28"/>
          <w:szCs w:val="28"/>
          <w:highlight w:val="none"/>
          <w:lang w:val="en-US" w:eastAsia="zh-CN"/>
        </w:rPr>
        <w:t>（3）合同履行过程中因与员工产生劳动纠纷而产生的经济补偿金或赔偿金、工伤待遇、未及时签订劳动合同的另一倍工资等可能产生的法律责任和费用均由乙方承担，乙方不得要求甲方承担。</w:t>
      </w:r>
    </w:p>
    <w:p>
      <w:pPr>
        <w:pStyle w:val="2"/>
        <w:keepNext w:val="0"/>
        <w:keepLines w:val="0"/>
        <w:pageBreakBefore w:val="0"/>
        <w:widowControl w:val="0"/>
        <w:kinsoku/>
        <w:wordWrap/>
        <w:overflowPunct/>
        <w:topLinePunct w:val="0"/>
        <w:bidi w:val="0"/>
        <w:spacing w:line="560" w:lineRule="atLeast"/>
        <w:textAlignment w:val="auto"/>
        <w:rPr>
          <w:rFonts w:hint="default"/>
          <w:color w:val="000000" w:themeColor="text1"/>
          <w:highlight w:val="none"/>
          <w:lang w:val="en-US"/>
        </w:rPr>
      </w:pPr>
      <w:r>
        <w:rPr>
          <w:rFonts w:hint="eastAsia" w:ascii="宋体" w:hAnsi="宋体" w:eastAsia="宋体" w:cs="宋体"/>
          <w:bCs w:val="0"/>
          <w:color w:val="000000" w:themeColor="text1"/>
          <w:sz w:val="28"/>
          <w:szCs w:val="28"/>
          <w:highlight w:val="none"/>
          <w:lang w:val="en-US" w:eastAsia="zh-CN"/>
        </w:rPr>
        <w:t xml:space="preserve">    （4）乙方的服务</w:t>
      </w:r>
      <w:r>
        <w:rPr>
          <w:rFonts w:hint="eastAsia" w:cs="Times New Roman"/>
          <w:bCs w:val="0"/>
          <w:color w:val="000000" w:themeColor="text1"/>
          <w:sz w:val="28"/>
          <w:szCs w:val="28"/>
          <w:highlight w:val="none"/>
          <w:lang w:val="en-US" w:eastAsia="zh-CN"/>
        </w:rPr>
        <w:t>管理费：每月服务管理费按不得高于该月份服务人员薪酬的10%计算（取小数点后两位）。乙方只对服务管理费的折扣率进行报价。</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rPr>
        <w:t>、结算方式</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本项目据实结算，物业管理</w:t>
      </w:r>
      <w:r>
        <w:rPr>
          <w:rFonts w:hint="eastAsia" w:ascii="宋体" w:hAnsi="宋体" w:eastAsia="宋体" w:cs="宋体"/>
          <w:color w:val="000000" w:themeColor="text1"/>
          <w:sz w:val="28"/>
          <w:szCs w:val="28"/>
          <w:highlight w:val="none"/>
        </w:rPr>
        <w:t>服务费按照“当月支付上月”的方式进行结算，当月实际支付</w:t>
      </w:r>
      <w:r>
        <w:rPr>
          <w:rFonts w:hint="eastAsia" w:ascii="宋体" w:hAnsi="宋体" w:eastAsia="宋体" w:cs="宋体"/>
          <w:color w:val="000000" w:themeColor="text1"/>
          <w:sz w:val="28"/>
          <w:szCs w:val="28"/>
          <w:highlight w:val="none"/>
          <w:lang w:val="en-US" w:eastAsia="zh-CN"/>
        </w:rPr>
        <w:t>物业管理</w:t>
      </w:r>
      <w:r>
        <w:rPr>
          <w:rFonts w:hint="eastAsia" w:ascii="宋体" w:hAnsi="宋体" w:eastAsia="宋体" w:cs="宋体"/>
          <w:color w:val="000000" w:themeColor="text1"/>
          <w:sz w:val="28"/>
          <w:szCs w:val="28"/>
          <w:highlight w:val="none"/>
        </w:rPr>
        <w:t>服务费</w:t>
      </w:r>
      <w:r>
        <w:rPr>
          <w:rFonts w:hint="eastAsia" w:ascii="宋体" w:hAnsi="宋体" w:eastAsia="宋体" w:cs="宋体"/>
          <w:color w:val="000000" w:themeColor="text1"/>
          <w:sz w:val="28"/>
          <w:szCs w:val="28"/>
          <w:highlight w:val="none"/>
          <w:lang w:val="en-US" w:eastAsia="zh-CN"/>
        </w:rPr>
        <w:t>=服务人员的薪酬+（服务人员的薪酬*10%）*中标折扣率</w:t>
      </w:r>
      <w:r>
        <w:rPr>
          <w:rFonts w:hint="eastAsia" w:ascii="宋体" w:hAnsi="宋体" w:eastAsia="宋体" w:cs="宋体"/>
          <w:color w:val="000000" w:themeColor="text1"/>
          <w:sz w:val="28"/>
          <w:szCs w:val="28"/>
          <w:highlight w:val="none"/>
        </w:rPr>
        <w:t>。</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、付款方式</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（1）每次按合同支付款项前，</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先应向</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开具提供与支付金额相符的有效发票作为</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付款的前提，且收款方、出具发票方、合同乙方均必须与</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名称一致。</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收到发票等相关资料并审核无误后在</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0个工作日内办理支付手续。</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（2）如遇财政拨款未到位情况，上述付款期限顺延，</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不得追究</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的相关法律责任。</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b w:val="0"/>
          <w:bCs w:val="0"/>
          <w:color w:val="000000" w:themeColor="text1"/>
          <w:sz w:val="28"/>
          <w:szCs w:val="28"/>
          <w:highlight w:val="none"/>
          <w:lang w:val="en-US" w:eastAsia="zh-CN"/>
        </w:rPr>
        <w:t>5、支付方式采取银行转账付款。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乙方开户行：</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乙方全称 ：</w:t>
      </w:r>
      <w:r>
        <w:rPr>
          <w:rFonts w:hint="eastAsia" w:ascii="宋体" w:hAnsi="宋体" w:cs="宋体"/>
          <w:color w:val="000000" w:themeColor="text1"/>
          <w:sz w:val="28"/>
          <w:szCs w:val="28"/>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账</w:t>
      </w:r>
      <w:r>
        <w:rPr>
          <w:rFonts w:hint="eastAsia" w:ascii="宋体" w:hAnsi="宋体" w:eastAsia="宋体" w:cs="宋体"/>
          <w:color w:val="000000" w:themeColor="text1"/>
          <w:sz w:val="28"/>
          <w:szCs w:val="28"/>
          <w:highlight w:val="none"/>
        </w:rPr>
        <w:t xml:space="preserve">    号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条  违约责任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1、甲方未能按时支付服务费，乙方有权要求甲方及时结清</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2、在甲方办公区域，乙方</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应尊重甲方有关规定，不得影响甲方的正常工作秩序。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color w:val="000000" w:themeColor="text1"/>
          <w:sz w:val="28"/>
          <w:szCs w:val="28"/>
          <w:highlight w:val="none"/>
        </w:rPr>
      </w:pPr>
      <w:r>
        <w:rPr>
          <w:rFonts w:hint="eastAsia" w:ascii="宋体" w:hAnsi="宋体" w:eastAsia="宋体" w:cs="宋体"/>
          <w:color w:val="000000" w:themeColor="text1"/>
          <w:sz w:val="28"/>
          <w:szCs w:val="28"/>
          <w:highlight w:val="none"/>
        </w:rPr>
        <w:t>3、甲方指</w:t>
      </w:r>
      <w:r>
        <w:rPr>
          <w:rFonts w:hint="eastAsia"/>
          <w:color w:val="000000" w:themeColor="text1"/>
          <w:sz w:val="28"/>
          <w:szCs w:val="28"/>
          <w:highlight w:val="none"/>
        </w:rPr>
        <w:t>派</w:t>
      </w:r>
      <w:r>
        <w:rPr>
          <w:rFonts w:hint="eastAsia"/>
          <w:color w:val="000000" w:themeColor="text1"/>
          <w:sz w:val="28"/>
          <w:szCs w:val="28"/>
          <w:highlight w:val="none"/>
          <w:lang w:eastAsia="zh-CN"/>
        </w:rPr>
        <w:t>服务人员</w:t>
      </w:r>
      <w:r>
        <w:rPr>
          <w:rFonts w:hint="eastAsia"/>
          <w:color w:val="000000" w:themeColor="text1"/>
          <w:sz w:val="28"/>
          <w:szCs w:val="28"/>
          <w:highlight w:val="none"/>
        </w:rPr>
        <w:t>从事本合同约定的服务职责范围外的工作，由此造成</w:t>
      </w:r>
      <w:r>
        <w:rPr>
          <w:rFonts w:hint="eastAsia"/>
          <w:color w:val="000000" w:themeColor="text1"/>
          <w:sz w:val="28"/>
          <w:szCs w:val="28"/>
          <w:highlight w:val="none"/>
          <w:lang w:eastAsia="zh-CN"/>
        </w:rPr>
        <w:t>服务人员</w:t>
      </w:r>
      <w:r>
        <w:rPr>
          <w:rFonts w:hint="eastAsia"/>
          <w:color w:val="000000" w:themeColor="text1"/>
          <w:sz w:val="28"/>
          <w:szCs w:val="28"/>
          <w:highlight w:val="none"/>
        </w:rPr>
        <w:t>或对第三方的经济赔偿责任，由甲方负责。</w:t>
      </w:r>
    </w:p>
    <w:p>
      <w:pPr>
        <w:pStyle w:val="2"/>
        <w:keepNext w:val="0"/>
        <w:keepLines w:val="0"/>
        <w:pageBreakBefore w:val="0"/>
        <w:widowControl w:val="0"/>
        <w:kinsoku/>
        <w:wordWrap/>
        <w:overflowPunct/>
        <w:topLinePunct w:val="0"/>
        <w:bidi w:val="0"/>
        <w:spacing w:line="560" w:lineRule="atLeast"/>
        <w:ind w:firstLine="560"/>
        <w:textAlignment w:val="auto"/>
        <w:rPr>
          <w:rFonts w:hint="eastAsia"/>
          <w:color w:val="000000" w:themeColor="text1"/>
          <w:sz w:val="28"/>
          <w:szCs w:val="28"/>
          <w:highlight w:val="none"/>
          <w:lang w:val="en-US" w:eastAsia="zh-CN"/>
        </w:rPr>
      </w:pPr>
      <w:r>
        <w:rPr>
          <w:rFonts w:hint="eastAsia"/>
          <w:color w:val="000000" w:themeColor="text1"/>
          <w:sz w:val="28"/>
          <w:szCs w:val="28"/>
          <w:highlight w:val="none"/>
          <w:lang w:val="en-US" w:eastAsia="zh-CN"/>
        </w:rPr>
        <w:t>4、乙方提供的服务人员或者服务不符合本合同的约定，甲方有权要求乙方纠正并按本合同的约定扣减相应的服务费，因此造成甲方其他损失的，甲方有权直接在乙方缴交的保证金中扣减有关损失费用或者要求保证人承担连带保证责任，扣减保证金或者保证人承担保证责任后，不足以弥补甲方损失的，甲方有权继续向乙方追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十</w:t>
      </w:r>
      <w:r>
        <w:rPr>
          <w:rFonts w:hint="eastAsia" w:ascii="宋体" w:hAnsi="宋体" w:cs="宋体"/>
          <w:color w:val="000000" w:themeColor="text1"/>
          <w:sz w:val="28"/>
          <w:szCs w:val="28"/>
          <w:highlight w:val="none"/>
          <w:lang w:val="en-US" w:eastAsia="zh-CN"/>
        </w:rPr>
        <w:t>一</w:t>
      </w:r>
      <w:r>
        <w:rPr>
          <w:rFonts w:hint="eastAsia" w:ascii="宋体" w:hAnsi="宋体" w:eastAsia="宋体" w:cs="宋体"/>
          <w:color w:val="000000" w:themeColor="text1"/>
          <w:sz w:val="28"/>
          <w:szCs w:val="28"/>
          <w:highlight w:val="none"/>
        </w:rPr>
        <w:t>条  其他</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1、有关本合同的未尽事宜及因本合同发生的一切争议，应由双方友好协商解决，如协商不能解决时，交由甲方所在地人民法院诉讼解决。</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2、凡对本合同进行修改、补充或变更，须以书面形式经双方授权代表签字盖章后，作为本合同的组成部分。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3、合同附件是本合同不可分割的部分，与本合同具有同等效力。</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4、本合同由甲、乙双方授权代表签字并盖章后生效。本合同一式两份，甲、乙双方各执一份，每份具有相同法律效力。</w:t>
      </w:r>
    </w:p>
    <w:p>
      <w:pPr>
        <w:keepNext w:val="0"/>
        <w:keepLines w:val="0"/>
        <w:pageBreakBefore w:val="0"/>
        <w:widowControl w:val="0"/>
        <w:kinsoku/>
        <w:wordWrap/>
        <w:overflowPunct/>
        <w:topLinePunct w:val="0"/>
        <w:bidi w:val="0"/>
        <w:adjustRightInd w:val="0"/>
        <w:snapToGrid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甲方（盖章）：                      乙方（盖章）：</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法定代表人（签名）：                法定代表人（签名）：</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委托代理人（签名）：                委托代理人（签名）：</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地址：      </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地址：</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签订日期：</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 xml:space="preserve">日        </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签订日期</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日</w:t>
      </w: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jc w:val="left"/>
        <w:rPr>
          <w:rFonts w:ascii="宋体" w:hAnsi="宋体" w:cs="宋体"/>
          <w:color w:val="000000" w:themeColor="text1"/>
          <w:szCs w:val="21"/>
          <w:highlight w:val="none"/>
        </w:rPr>
      </w:pPr>
      <w:r>
        <w:rPr>
          <w:rFonts w:ascii="宋体" w:hAnsi="宋体" w:cs="宋体"/>
          <w:color w:val="000000" w:themeColor="text1"/>
          <w:spacing w:val="-10"/>
          <w:szCs w:val="21"/>
          <w:highlight w:val="none"/>
        </w:rPr>
        <w:t>附表1：</w:t>
      </w:r>
      <w:r>
        <w:rPr>
          <w:rFonts w:ascii="宋体" w:hAnsi="宋体" w:cs="宋体"/>
          <w:color w:val="000000" w:themeColor="text1"/>
          <w:spacing w:val="-1"/>
          <w:szCs w:val="21"/>
          <w:highlight w:val="none"/>
        </w:rPr>
        <w:t>物业管理服务综合考评、管理</w:t>
      </w:r>
      <w:r>
        <w:rPr>
          <w:rFonts w:ascii="宋体" w:hAnsi="宋体" w:eastAsia="宋体" w:cs="宋体"/>
          <w:color w:val="000000" w:themeColor="text1"/>
          <w:spacing w:val="-1"/>
          <w:szCs w:val="21"/>
          <w:highlight w:val="none"/>
        </w:rPr>
        <w:t>服务</w:t>
      </w:r>
      <w:r>
        <w:rPr>
          <w:rFonts w:ascii="宋体" w:hAnsi="宋体" w:cs="宋体"/>
          <w:color w:val="000000" w:themeColor="text1"/>
          <w:spacing w:val="-10"/>
          <w:szCs w:val="21"/>
          <w:highlight w:val="none"/>
        </w:rPr>
        <w:t>考评满意度调查表</w:t>
      </w:r>
    </w:p>
    <w:p>
      <w:pPr>
        <w:spacing w:before="196" w:line="276" w:lineRule="auto"/>
        <w:ind w:firstLine="2706"/>
        <w:rPr>
          <w:rFonts w:ascii="宋体" w:hAnsi="宋体" w:cs="宋体"/>
          <w:color w:val="000000" w:themeColor="text1"/>
          <w:szCs w:val="21"/>
          <w:highlight w:val="none"/>
        </w:rPr>
      </w:pPr>
      <w:r>
        <w:rPr>
          <w:rFonts w:ascii="宋体" w:hAnsi="宋体" w:cs="宋体"/>
          <w:color w:val="000000" w:themeColor="text1"/>
          <w:spacing w:val="-1"/>
          <w:szCs w:val="21"/>
          <w:highlight w:val="none"/>
        </w:rPr>
        <w:t>考评单位考核评</w:t>
      </w:r>
      <w:r>
        <w:rPr>
          <w:rFonts w:hint="eastAsia" w:ascii="宋体" w:hAnsi="宋体" w:cs="宋体"/>
          <w:color w:val="000000" w:themeColor="text1"/>
          <w:spacing w:val="-1"/>
          <w:szCs w:val="21"/>
          <w:highlight w:val="none"/>
        </w:rPr>
        <w:t>分</w:t>
      </w:r>
      <w:r>
        <w:rPr>
          <w:rFonts w:ascii="宋体" w:hAnsi="宋体" w:cs="宋体"/>
          <w:color w:val="000000" w:themeColor="text1"/>
          <w:spacing w:val="-1"/>
          <w:szCs w:val="21"/>
          <w:highlight w:val="none"/>
        </w:rPr>
        <w:t>（请打“√”）</w:t>
      </w:r>
    </w:p>
    <w:p>
      <w:pPr>
        <w:spacing w:line="276" w:lineRule="auto"/>
        <w:rPr>
          <w:rFonts w:ascii="宋体" w:hAnsi="宋体"/>
          <w:color w:val="000000" w:themeColor="text1"/>
          <w:szCs w:val="21"/>
          <w:highlight w:val="none"/>
        </w:rPr>
      </w:pPr>
    </w:p>
    <w:tbl>
      <w:tblPr>
        <w:tblStyle w:val="46"/>
        <w:tblW w:w="0" w:type="auto"/>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676"/>
        <w:gridCol w:w="1606"/>
        <w:gridCol w:w="1765"/>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725" w:type="dxa"/>
            <w:vAlign w:val="top"/>
          </w:tcPr>
          <w:p>
            <w:pPr>
              <w:spacing w:before="36" w:line="276" w:lineRule="auto"/>
              <w:ind w:firstLine="664"/>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1676" w:type="dxa"/>
            <w:vAlign w:val="top"/>
          </w:tcPr>
          <w:p>
            <w:pPr>
              <w:spacing w:before="36" w:line="276" w:lineRule="auto"/>
              <w:ind w:firstLine="318"/>
              <w:rPr>
                <w:rFonts w:ascii="宋体" w:hAnsi="宋体" w:cs="宋体"/>
                <w:color w:val="000000" w:themeColor="text1"/>
                <w:szCs w:val="21"/>
                <w:highlight w:val="none"/>
              </w:rPr>
            </w:pPr>
            <w:r>
              <w:rPr>
                <w:rFonts w:ascii="宋体" w:hAnsi="宋体" w:cs="宋体"/>
                <w:color w:val="000000" w:themeColor="text1"/>
                <w:spacing w:val="-5"/>
                <w:szCs w:val="21"/>
                <w:highlight w:val="none"/>
              </w:rPr>
              <w:t>很满意5分</w:t>
            </w:r>
          </w:p>
        </w:tc>
        <w:tc>
          <w:tcPr>
            <w:tcW w:w="1606" w:type="dxa"/>
            <w:vAlign w:val="top"/>
          </w:tcPr>
          <w:p>
            <w:pPr>
              <w:spacing w:before="36" w:line="276" w:lineRule="auto"/>
              <w:ind w:firstLine="389"/>
              <w:rPr>
                <w:rFonts w:ascii="宋体" w:hAnsi="宋体" w:cs="宋体"/>
                <w:color w:val="000000" w:themeColor="text1"/>
                <w:szCs w:val="21"/>
                <w:highlight w:val="none"/>
              </w:rPr>
            </w:pPr>
            <w:r>
              <w:rPr>
                <w:rFonts w:ascii="宋体" w:hAnsi="宋体" w:cs="宋体"/>
                <w:color w:val="000000" w:themeColor="text1"/>
                <w:spacing w:val="-4"/>
                <w:szCs w:val="21"/>
                <w:highlight w:val="none"/>
              </w:rPr>
              <w:t>满意4分</w:t>
            </w:r>
          </w:p>
        </w:tc>
        <w:tc>
          <w:tcPr>
            <w:tcW w:w="1765" w:type="dxa"/>
            <w:vAlign w:val="top"/>
          </w:tcPr>
          <w:p>
            <w:pPr>
              <w:spacing w:before="36" w:line="276" w:lineRule="auto"/>
              <w:ind w:firstLine="258"/>
              <w:rPr>
                <w:rFonts w:ascii="宋体" w:hAnsi="宋体" w:cs="宋体"/>
                <w:color w:val="000000" w:themeColor="text1"/>
                <w:szCs w:val="21"/>
                <w:highlight w:val="none"/>
              </w:rPr>
            </w:pPr>
            <w:r>
              <w:rPr>
                <w:rFonts w:ascii="宋体" w:hAnsi="宋体" w:cs="宋体"/>
                <w:color w:val="000000" w:themeColor="text1"/>
                <w:spacing w:val="-3"/>
                <w:szCs w:val="21"/>
                <w:highlight w:val="none"/>
              </w:rPr>
              <w:t>基本满意3分</w:t>
            </w:r>
          </w:p>
        </w:tc>
        <w:tc>
          <w:tcPr>
            <w:tcW w:w="1592" w:type="dxa"/>
            <w:vAlign w:val="top"/>
          </w:tcPr>
          <w:p>
            <w:pPr>
              <w:spacing w:before="36" w:line="276" w:lineRule="auto"/>
              <w:ind w:firstLine="279"/>
              <w:rPr>
                <w:rFonts w:ascii="宋体" w:hAnsi="宋体" w:cs="宋体"/>
                <w:color w:val="000000" w:themeColor="text1"/>
                <w:szCs w:val="21"/>
                <w:highlight w:val="none"/>
              </w:rPr>
            </w:pPr>
            <w:r>
              <w:rPr>
                <w:rFonts w:ascii="宋体" w:hAnsi="宋体" w:cs="宋体"/>
                <w:color w:val="000000" w:themeColor="text1"/>
                <w:spacing w:val="-4"/>
                <w:szCs w:val="21"/>
                <w:highlight w:val="none"/>
              </w:rPr>
              <w:t>不满意0分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25" w:type="dxa"/>
            <w:vAlign w:val="top"/>
          </w:tcPr>
          <w:p>
            <w:pPr>
              <w:spacing w:before="32" w:line="276" w:lineRule="auto"/>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制度流程</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服务标准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29" w:line="276" w:lineRule="auto"/>
              <w:ind w:firstLine="434"/>
              <w:rPr>
                <w:rFonts w:ascii="宋体" w:hAnsi="宋体" w:cs="宋体"/>
                <w:color w:val="000000" w:themeColor="text1"/>
                <w:szCs w:val="21"/>
                <w:highlight w:val="none"/>
              </w:rPr>
            </w:pPr>
            <w:r>
              <w:rPr>
                <w:rFonts w:ascii="宋体" w:hAnsi="宋体" w:cs="宋体"/>
                <w:color w:val="000000" w:themeColor="text1"/>
                <w:spacing w:val="-1"/>
                <w:szCs w:val="21"/>
                <w:highlight w:val="none"/>
              </w:rPr>
              <w:t>机构设置</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装备配备</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0"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人员配置</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培训演练</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专业水平</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2"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仪容仪表</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服务态度</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执行力度</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3" w:line="276" w:lineRule="auto"/>
              <w:ind w:firstLine="439"/>
              <w:rPr>
                <w:rFonts w:ascii="宋体" w:hAnsi="宋体" w:cs="宋体"/>
                <w:color w:val="000000" w:themeColor="text1"/>
                <w:szCs w:val="21"/>
                <w:highlight w:val="none"/>
              </w:rPr>
            </w:pPr>
            <w:r>
              <w:rPr>
                <w:rFonts w:ascii="宋体" w:hAnsi="宋体" w:cs="宋体"/>
                <w:color w:val="000000" w:themeColor="text1"/>
                <w:spacing w:val="-3"/>
                <w:szCs w:val="21"/>
                <w:highlight w:val="none"/>
              </w:rPr>
              <w:t>安全意识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卫生意识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5"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工作责任</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5" w:line="276" w:lineRule="auto"/>
              <w:ind w:firstLine="445"/>
              <w:rPr>
                <w:rFonts w:ascii="宋体" w:hAnsi="宋体" w:cs="宋体"/>
                <w:color w:val="000000" w:themeColor="text1"/>
                <w:szCs w:val="21"/>
                <w:highlight w:val="none"/>
              </w:rPr>
            </w:pPr>
            <w:r>
              <w:rPr>
                <w:rFonts w:ascii="宋体" w:hAnsi="宋体" w:cs="宋体"/>
                <w:color w:val="000000" w:themeColor="text1"/>
                <w:spacing w:val="-4"/>
                <w:szCs w:val="21"/>
                <w:highlight w:val="none"/>
              </w:rPr>
              <w:t>时间观念</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725" w:type="dxa"/>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协调能力</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服务效率</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服务质量</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节能减排</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25" w:type="dxa"/>
            <w:vAlign w:val="top"/>
          </w:tcPr>
          <w:p>
            <w:pPr>
              <w:spacing w:before="34" w:line="276" w:lineRule="auto"/>
              <w:ind w:left="14" w:right="3" w:firstLine="1"/>
              <w:rPr>
                <w:rFonts w:ascii="宋体" w:hAnsi="宋体" w:cs="宋体"/>
                <w:color w:val="000000" w:themeColor="text1"/>
                <w:szCs w:val="21"/>
                <w:highlight w:val="none"/>
              </w:rPr>
            </w:pPr>
            <w:r>
              <w:rPr>
                <w:rFonts w:ascii="宋体" w:hAnsi="宋体" w:cs="宋体"/>
                <w:color w:val="000000" w:themeColor="text1"/>
                <w:spacing w:val="2"/>
                <w:szCs w:val="21"/>
                <w:highlight w:val="none"/>
              </w:rPr>
              <w:t>整体服务综合考核</w:t>
            </w:r>
            <w:r>
              <w:rPr>
                <w:rFonts w:ascii="宋体" w:hAnsi="宋体" w:cs="宋体"/>
                <w:color w:val="000000" w:themeColor="text1"/>
                <w:spacing w:val="-1"/>
                <w:szCs w:val="21"/>
                <w:highlight w:val="none"/>
              </w:rPr>
              <w:t>评分（合计）</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725" w:type="dxa"/>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3"/>
                <w:szCs w:val="21"/>
                <w:highlight w:val="none"/>
              </w:rPr>
              <w:t>说明</w:t>
            </w:r>
          </w:p>
        </w:tc>
        <w:tc>
          <w:tcPr>
            <w:tcW w:w="6639" w:type="dxa"/>
            <w:gridSpan w:val="4"/>
            <w:vAlign w:val="top"/>
          </w:tcPr>
          <w:p>
            <w:pPr>
              <w:spacing w:before="35" w:line="276" w:lineRule="auto"/>
              <w:ind w:left="8"/>
              <w:rPr>
                <w:rFonts w:ascii="宋体" w:hAnsi="宋体" w:cs="宋体"/>
                <w:color w:val="000000" w:themeColor="text1"/>
                <w:szCs w:val="21"/>
                <w:highlight w:val="none"/>
              </w:rPr>
            </w:pPr>
            <w:r>
              <w:rPr>
                <w:rFonts w:ascii="宋体" w:hAnsi="宋体" w:cs="宋体"/>
                <w:color w:val="000000" w:themeColor="text1"/>
                <w:spacing w:val="-5"/>
                <w:szCs w:val="21"/>
                <w:highlight w:val="none"/>
              </w:rPr>
              <w:t>考核满分为100分，每获得1个分项：很满意得5分；满意得4分；基本满意得3分；不满意得0分。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1725" w:type="dxa"/>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建议意见</w:t>
            </w:r>
          </w:p>
        </w:tc>
        <w:tc>
          <w:tcPr>
            <w:tcW w:w="6639" w:type="dxa"/>
            <w:gridSpan w:val="4"/>
            <w:vAlign w:val="top"/>
          </w:tcPr>
          <w:p>
            <w:pPr>
              <w:spacing w:line="276" w:lineRule="auto"/>
              <w:rPr>
                <w:rFonts w:ascii="宋体" w:hAnsi="宋体"/>
                <w:color w:val="000000" w:themeColor="text1"/>
                <w:szCs w:val="21"/>
                <w:highlight w:val="none"/>
              </w:rPr>
            </w:pPr>
          </w:p>
        </w:tc>
      </w:tr>
    </w:tbl>
    <w:p>
      <w:pPr>
        <w:snapToGrid w:val="0"/>
        <w:spacing w:line="396" w:lineRule="auto"/>
        <w:ind w:firstLine="416" w:firstLineChars="200"/>
        <w:rPr>
          <w:rFonts w:ascii="宋体" w:hAnsi="宋体" w:cs="宋体"/>
          <w:color w:val="000000" w:themeColor="text1"/>
          <w:spacing w:val="-1"/>
          <w:szCs w:val="21"/>
          <w:highlight w:val="none"/>
        </w:rPr>
      </w:pPr>
      <w:r>
        <w:rPr>
          <w:rFonts w:ascii="宋体" w:hAnsi="宋体" w:cs="宋体"/>
          <w:color w:val="000000" w:themeColor="text1"/>
          <w:spacing w:val="-1"/>
          <w:szCs w:val="21"/>
          <w:highlight w:val="none"/>
        </w:rPr>
        <w:t>此表供参考，采购人可根据实际设置考评项目。</w:t>
      </w:r>
    </w:p>
    <w:p>
      <w:pPr>
        <w:jc w:val="left"/>
        <w:rPr>
          <w:rFonts w:ascii="宋体" w:hAnsi="宋体" w:cs="宋体"/>
          <w:color w:val="000000" w:themeColor="text1"/>
          <w:szCs w:val="21"/>
          <w:highlight w:val="none"/>
        </w:rPr>
      </w:pPr>
      <w:r>
        <w:rPr>
          <w:rFonts w:ascii="宋体" w:hAnsi="宋体" w:cs="宋体"/>
          <w:color w:val="000000" w:themeColor="text1"/>
          <w:spacing w:val="-1"/>
          <w:szCs w:val="21"/>
          <w:highlight w:val="none"/>
        </w:rPr>
        <w:br w:type="page"/>
      </w:r>
      <w:r>
        <w:rPr>
          <w:rFonts w:ascii="宋体" w:hAnsi="宋体" w:cs="宋体"/>
          <w:color w:val="000000" w:themeColor="text1"/>
          <w:spacing w:val="-10"/>
          <w:szCs w:val="21"/>
          <w:highlight w:val="none"/>
        </w:rPr>
        <w:t>附表2：</w:t>
      </w:r>
    </w:p>
    <w:p>
      <w:pPr>
        <w:spacing w:before="196" w:line="276" w:lineRule="auto"/>
        <w:ind w:firstLine="2128"/>
        <w:rPr>
          <w:rFonts w:ascii="宋体" w:hAnsi="宋体" w:cs="宋体"/>
          <w:color w:val="000000" w:themeColor="text1"/>
          <w:szCs w:val="21"/>
          <w:highlight w:val="none"/>
        </w:rPr>
      </w:pPr>
      <w:r>
        <w:rPr>
          <w:rFonts w:ascii="宋体" w:hAnsi="宋体" w:cs="宋体"/>
          <w:color w:val="000000" w:themeColor="text1"/>
          <w:spacing w:val="-1"/>
          <w:szCs w:val="21"/>
          <w:highlight w:val="none"/>
        </w:rPr>
        <w:t>物业管理服务综合考评、管理服务分数统计表</w:t>
      </w:r>
    </w:p>
    <w:p>
      <w:pPr>
        <w:spacing w:line="276" w:lineRule="auto"/>
        <w:rPr>
          <w:rFonts w:ascii="宋体" w:hAnsi="宋体"/>
          <w:color w:val="000000" w:themeColor="text1"/>
          <w:szCs w:val="21"/>
          <w:highlight w:val="none"/>
        </w:rPr>
      </w:pPr>
    </w:p>
    <w:tbl>
      <w:tblPr>
        <w:tblStyle w:val="46"/>
        <w:tblW w:w="0" w:type="auto"/>
        <w:tblInd w:w="5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709"/>
        <w:gridCol w:w="707"/>
        <w:gridCol w:w="850"/>
        <w:gridCol w:w="113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vAlign w:val="top"/>
          </w:tcPr>
          <w:p>
            <w:pPr>
              <w:spacing w:before="34" w:line="276" w:lineRule="auto"/>
              <w:ind w:firstLine="1643"/>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709" w:type="dxa"/>
            <w:shd w:val="clear" w:color="auto" w:fill="FFFFFF"/>
            <w:vAlign w:val="top"/>
          </w:tcPr>
          <w:p>
            <w:pPr>
              <w:spacing w:before="34" w:line="276" w:lineRule="auto"/>
              <w:ind w:firstLine="115"/>
              <w:rPr>
                <w:rFonts w:ascii="宋体" w:hAnsi="宋体" w:cs="宋体"/>
                <w:color w:val="000000" w:themeColor="text1"/>
                <w:szCs w:val="21"/>
                <w:highlight w:val="none"/>
              </w:rPr>
            </w:pPr>
            <w:r>
              <w:rPr>
                <w:rFonts w:ascii="宋体" w:hAnsi="宋体" w:cs="宋体"/>
                <w:color w:val="000000" w:themeColor="text1"/>
                <w:spacing w:val="-2"/>
                <w:szCs w:val="21"/>
                <w:highlight w:val="none"/>
              </w:rPr>
              <w:t>加分</w:t>
            </w:r>
          </w:p>
        </w:tc>
        <w:tc>
          <w:tcPr>
            <w:tcW w:w="707" w:type="dxa"/>
            <w:shd w:val="clear" w:color="auto" w:fill="FFFFFF"/>
            <w:vAlign w:val="top"/>
          </w:tcPr>
          <w:p>
            <w:pPr>
              <w:spacing w:before="34" w:line="276" w:lineRule="auto"/>
              <w:ind w:firstLine="140"/>
              <w:rPr>
                <w:rFonts w:ascii="宋体" w:hAnsi="宋体" w:cs="宋体"/>
                <w:color w:val="000000" w:themeColor="text1"/>
                <w:szCs w:val="21"/>
                <w:highlight w:val="none"/>
              </w:rPr>
            </w:pPr>
            <w:r>
              <w:rPr>
                <w:rFonts w:ascii="宋体" w:hAnsi="宋体" w:cs="宋体"/>
                <w:color w:val="000000" w:themeColor="text1"/>
                <w:spacing w:val="-3"/>
                <w:szCs w:val="21"/>
                <w:highlight w:val="none"/>
              </w:rPr>
              <w:t>扣分</w:t>
            </w:r>
          </w:p>
        </w:tc>
        <w:tc>
          <w:tcPr>
            <w:tcW w:w="850" w:type="dxa"/>
            <w:shd w:val="clear" w:color="auto" w:fill="FFFFFF"/>
            <w:vAlign w:val="top"/>
          </w:tcPr>
          <w:p>
            <w:pPr>
              <w:spacing w:before="34" w:line="276" w:lineRule="auto"/>
              <w:ind w:firstLine="252"/>
              <w:rPr>
                <w:rFonts w:ascii="宋体" w:hAnsi="宋体" w:cs="宋体"/>
                <w:color w:val="000000" w:themeColor="text1"/>
                <w:szCs w:val="21"/>
                <w:highlight w:val="none"/>
              </w:rPr>
            </w:pPr>
            <w:r>
              <w:rPr>
                <w:rFonts w:ascii="宋体" w:hAnsi="宋体" w:cs="宋体"/>
                <w:color w:val="000000" w:themeColor="text1"/>
                <w:spacing w:val="-2"/>
                <w:szCs w:val="21"/>
                <w:highlight w:val="none"/>
              </w:rPr>
              <w:t>合计</w:t>
            </w:r>
          </w:p>
        </w:tc>
        <w:tc>
          <w:tcPr>
            <w:tcW w:w="1133" w:type="dxa"/>
            <w:shd w:val="clear" w:color="auto" w:fill="FFFFFF"/>
            <w:vAlign w:val="top"/>
          </w:tcPr>
          <w:p>
            <w:pPr>
              <w:spacing w:before="34" w:line="276" w:lineRule="auto"/>
              <w:ind w:firstLine="135"/>
              <w:rPr>
                <w:rFonts w:ascii="宋体" w:hAnsi="宋体" w:cs="宋体"/>
                <w:color w:val="000000" w:themeColor="text1"/>
                <w:szCs w:val="21"/>
                <w:highlight w:val="none"/>
              </w:rPr>
            </w:pPr>
            <w:r>
              <w:rPr>
                <w:rFonts w:ascii="宋体" w:hAnsi="宋体" w:cs="宋体"/>
                <w:color w:val="000000" w:themeColor="text1"/>
                <w:spacing w:val="-3"/>
                <w:szCs w:val="21"/>
                <w:highlight w:val="none"/>
              </w:rPr>
              <w:t>扣罚金额</w:t>
            </w:r>
          </w:p>
        </w:tc>
        <w:tc>
          <w:tcPr>
            <w:tcW w:w="1149" w:type="dxa"/>
            <w:shd w:val="clear" w:color="auto" w:fill="FFFFFF"/>
            <w:vAlign w:val="top"/>
          </w:tcPr>
          <w:p>
            <w:pPr>
              <w:spacing w:before="34" w:line="276" w:lineRule="auto"/>
              <w:ind w:firstLine="391"/>
              <w:rPr>
                <w:rFonts w:ascii="宋体" w:hAnsi="宋体" w:cs="宋体"/>
                <w:color w:val="000000" w:themeColor="text1"/>
                <w:szCs w:val="21"/>
                <w:highlight w:val="none"/>
              </w:rPr>
            </w:pPr>
            <w:r>
              <w:rPr>
                <w:rFonts w:ascii="宋体" w:hAnsi="宋体" w:cs="宋体"/>
                <w:color w:val="000000" w:themeColor="text1"/>
                <w:spacing w:val="-3"/>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管理服务综合考评</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物业服务管理奖罚</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2"/>
                <w:szCs w:val="21"/>
                <w:highlight w:val="none"/>
              </w:rPr>
              <w:t>全勤奖励</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8" w:line="276" w:lineRule="auto"/>
              <w:ind w:firstLine="17"/>
              <w:rPr>
                <w:rFonts w:hint="eastAsia" w:ascii="宋体" w:hAnsi="宋体" w:eastAsia="宋体" w:cs="宋体"/>
                <w:color w:val="000000" w:themeColor="text1"/>
                <w:szCs w:val="21"/>
                <w:highlight w:val="none"/>
                <w:lang w:val="en-US" w:eastAsia="zh-CN"/>
              </w:rPr>
            </w:pPr>
            <w:r>
              <w:rPr>
                <w:rFonts w:ascii="宋体" w:hAnsi="宋体" w:cs="宋体"/>
                <w:color w:val="000000" w:themeColor="text1"/>
                <w:spacing w:val="-2"/>
                <w:szCs w:val="21"/>
                <w:highlight w:val="none"/>
              </w:rPr>
              <w:t>缺勤</w:t>
            </w:r>
            <w:r>
              <w:rPr>
                <w:rFonts w:hint="eastAsia" w:ascii="宋体" w:hAnsi="宋体" w:cs="宋体"/>
                <w:color w:val="000000" w:themeColor="text1"/>
                <w:spacing w:val="-2"/>
                <w:szCs w:val="21"/>
                <w:highlight w:val="none"/>
                <w:lang w:val="en-US" w:eastAsia="zh-CN"/>
              </w:rPr>
              <w:t>处理</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4" w:type="dxa"/>
            <w:shd w:val="clear" w:color="auto" w:fill="FFFFFF"/>
            <w:vAlign w:val="top"/>
          </w:tcPr>
          <w:p>
            <w:pPr>
              <w:spacing w:before="30" w:line="276" w:lineRule="auto"/>
              <w:ind w:left="17" w:right="25" w:hanging="1"/>
              <w:rPr>
                <w:rFonts w:ascii="宋体" w:hAnsi="宋体" w:cs="宋体"/>
                <w:color w:val="000000" w:themeColor="text1"/>
                <w:szCs w:val="21"/>
                <w:highlight w:val="none"/>
              </w:rPr>
            </w:pPr>
            <w:r>
              <w:rPr>
                <w:rFonts w:ascii="宋体" w:hAnsi="宋体" w:cs="宋体"/>
                <w:color w:val="000000" w:themeColor="text1"/>
                <w:spacing w:val="5"/>
                <w:szCs w:val="21"/>
                <w:highlight w:val="none"/>
              </w:rPr>
              <w:t>在经营活动中违反税收法规财务制度及</w:t>
            </w:r>
            <w:r>
              <w:rPr>
                <w:rFonts w:ascii="宋体" w:hAnsi="宋体" w:cs="宋体"/>
                <w:color w:val="000000" w:themeColor="text1"/>
                <w:spacing w:val="-1"/>
                <w:szCs w:val="21"/>
                <w:highlight w:val="none"/>
              </w:rPr>
              <w:t>其他违法违规记录</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1"/>
                <w:szCs w:val="21"/>
                <w:highlight w:val="none"/>
              </w:rPr>
              <w:t>在经营中未能履行合同承诺</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684" w:type="dxa"/>
            <w:tcBorders>
              <w:bottom w:val="nil"/>
            </w:tcBorders>
            <w:shd w:val="clear" w:color="auto" w:fill="FFFFFF"/>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
                <w:szCs w:val="21"/>
                <w:highlight w:val="none"/>
              </w:rPr>
              <w:t>浪费水、电、消耗品等公共资源</w:t>
            </w:r>
          </w:p>
        </w:tc>
        <w:tc>
          <w:tcPr>
            <w:tcW w:w="709"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707"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850"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1133"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1149" w:type="dxa"/>
            <w:tcBorders>
              <w:bottom w:val="nil"/>
            </w:tcBorders>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84" w:type="dxa"/>
            <w:tcBorders>
              <w:top w:val="single" w:color="auto" w:sz="4" w:space="0"/>
            </w:tcBorders>
            <w:shd w:val="clear" w:color="auto" w:fill="FFFFFF"/>
            <w:vAlign w:val="top"/>
          </w:tcPr>
          <w:p>
            <w:pPr>
              <w:spacing w:before="34"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一般性失误</w:t>
            </w:r>
          </w:p>
        </w:tc>
        <w:tc>
          <w:tcPr>
            <w:tcW w:w="709"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707"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850"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1133"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1149"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一般性重复失误</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0"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较大性重复过错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重大性重复大过错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5"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2"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684" w:type="dxa"/>
            <w:shd w:val="clear" w:color="auto" w:fill="FFFFFF"/>
            <w:vAlign w:val="top"/>
          </w:tcPr>
          <w:p>
            <w:pPr>
              <w:spacing w:before="34" w:line="276" w:lineRule="auto"/>
              <w:ind w:left="20" w:right="25" w:hanging="3"/>
              <w:rPr>
                <w:rFonts w:ascii="宋体" w:hAnsi="宋体" w:cs="宋体"/>
                <w:color w:val="000000" w:themeColor="text1"/>
                <w:szCs w:val="21"/>
                <w:highlight w:val="none"/>
              </w:rPr>
            </w:pPr>
            <w:r>
              <w:rPr>
                <w:rFonts w:ascii="宋体" w:hAnsi="宋体" w:cs="宋体"/>
                <w:color w:val="000000" w:themeColor="text1"/>
                <w:spacing w:val="5"/>
                <w:szCs w:val="21"/>
                <w:highlight w:val="none"/>
              </w:rPr>
              <w:t>违反工作纪律、违返操作规程、违反各</w:t>
            </w:r>
            <w:r>
              <w:rPr>
                <w:rFonts w:ascii="宋体" w:hAnsi="宋体" w:cs="宋体"/>
                <w:color w:val="000000" w:themeColor="text1"/>
                <w:spacing w:val="-2"/>
                <w:szCs w:val="21"/>
                <w:highlight w:val="none"/>
              </w:rPr>
              <w:t>项管理制度</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3" w:line="276" w:lineRule="auto"/>
              <w:ind w:firstLine="27"/>
              <w:rPr>
                <w:rFonts w:ascii="宋体" w:hAnsi="宋体" w:cs="宋体"/>
                <w:color w:val="000000" w:themeColor="text1"/>
                <w:szCs w:val="21"/>
                <w:highlight w:val="none"/>
              </w:rPr>
            </w:pPr>
            <w:r>
              <w:rPr>
                <w:rFonts w:ascii="宋体" w:hAnsi="宋体" w:cs="宋体"/>
                <w:color w:val="000000" w:themeColor="text1"/>
                <w:spacing w:val="-2"/>
                <w:szCs w:val="21"/>
                <w:highlight w:val="none"/>
              </w:rPr>
              <w:t>噪音、气味等干扰工作秩序</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招标文件和合同约定的其它相关事项</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招标文件带星号条款</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总计</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bl>
    <w:p>
      <w:pPr>
        <w:spacing w:before="68" w:line="276" w:lineRule="auto"/>
        <w:ind w:firstLine="474"/>
        <w:rPr>
          <w:rFonts w:ascii="宋体" w:hAnsi="宋体" w:cs="宋体"/>
          <w:color w:val="000000" w:themeColor="text1"/>
          <w:spacing w:val="-9"/>
          <w:szCs w:val="21"/>
          <w:highlight w:val="none"/>
        </w:rPr>
      </w:pPr>
    </w:p>
    <w:p>
      <w:pPr>
        <w:spacing w:before="68" w:line="276" w:lineRule="auto"/>
        <w:ind w:firstLine="474"/>
        <w:rPr>
          <w:rFonts w:ascii="宋体" w:hAnsi="宋体" w:cs="宋体"/>
          <w:color w:val="000000" w:themeColor="text1"/>
          <w:szCs w:val="21"/>
          <w:highlight w:val="none"/>
        </w:rPr>
      </w:pPr>
      <w:r>
        <w:rPr>
          <w:rFonts w:ascii="宋体" w:hAnsi="宋体"/>
          <w:color w:val="000000" w:themeColor="text1"/>
          <w:szCs w:val="21"/>
          <w:highlight w:val="none"/>
        </w:rPr>
        <w:br w:type="page"/>
      </w:r>
      <w:r>
        <w:rPr>
          <w:rFonts w:hint="eastAsia" w:ascii="宋体" w:hAnsi="宋体" w:cs="宋体"/>
          <w:color w:val="000000" w:themeColor="text1"/>
          <w:spacing w:val="-9"/>
          <w:szCs w:val="21"/>
          <w:highlight w:val="none"/>
        </w:rPr>
        <w:t>附表</w:t>
      </w:r>
      <w:r>
        <w:rPr>
          <w:rFonts w:ascii="宋体" w:hAnsi="宋体" w:cs="宋体"/>
          <w:color w:val="000000" w:themeColor="text1"/>
          <w:spacing w:val="-9"/>
          <w:szCs w:val="21"/>
          <w:highlight w:val="none"/>
        </w:rPr>
        <w:t>3：</w:t>
      </w:r>
    </w:p>
    <w:p>
      <w:pPr>
        <w:spacing w:before="196" w:line="276" w:lineRule="auto"/>
        <w:ind w:firstLine="3058"/>
        <w:rPr>
          <w:rFonts w:ascii="宋体" w:hAnsi="宋体" w:cs="宋体"/>
          <w:color w:val="000000" w:themeColor="text1"/>
          <w:szCs w:val="21"/>
          <w:highlight w:val="none"/>
        </w:rPr>
      </w:pPr>
      <w:r>
        <w:rPr>
          <w:rFonts w:ascii="宋体" w:hAnsi="宋体" w:cs="宋体"/>
          <w:color w:val="000000" w:themeColor="text1"/>
          <w:spacing w:val="-4"/>
          <w:szCs w:val="21"/>
          <w:highlight w:val="none"/>
        </w:rPr>
        <w:t>物业管理服务</w:t>
      </w:r>
      <w:r>
        <w:rPr>
          <w:rFonts w:hint="eastAsia" w:ascii="宋体" w:hAnsi="宋体" w:cs="宋体"/>
          <w:color w:val="000000" w:themeColor="text1"/>
          <w:spacing w:val="-4"/>
          <w:szCs w:val="21"/>
          <w:highlight w:val="none"/>
          <w:lang w:val="en-US" w:eastAsia="zh-CN"/>
        </w:rPr>
        <w:t>处理</w:t>
      </w:r>
      <w:r>
        <w:rPr>
          <w:rFonts w:ascii="宋体" w:hAnsi="宋体" w:cs="宋体"/>
          <w:color w:val="000000" w:themeColor="text1"/>
          <w:spacing w:val="-4"/>
          <w:szCs w:val="21"/>
          <w:highlight w:val="none"/>
        </w:rPr>
        <w:t>单（参考表格）</w:t>
      </w:r>
    </w:p>
    <w:p>
      <w:pPr>
        <w:spacing w:line="276" w:lineRule="auto"/>
        <w:rPr>
          <w:rFonts w:ascii="宋体" w:hAnsi="宋体"/>
          <w:color w:val="000000" w:themeColor="text1"/>
          <w:szCs w:val="21"/>
          <w:highlight w:val="none"/>
        </w:rPr>
      </w:pPr>
    </w:p>
    <w:tbl>
      <w:tblPr>
        <w:tblStyle w:val="46"/>
        <w:tblW w:w="0" w:type="auto"/>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1160"/>
        <w:gridCol w:w="360"/>
        <w:gridCol w:w="452"/>
        <w:gridCol w:w="1061"/>
        <w:gridCol w:w="1057"/>
        <w:gridCol w:w="466"/>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81" w:type="dxa"/>
            <w:shd w:val="clear" w:color="auto" w:fill="FFFFFF"/>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投诉单位（部门</w:t>
            </w:r>
            <w:r>
              <w:rPr>
                <w:rFonts w:ascii="宋体" w:hAnsi="宋体" w:cs="宋体"/>
                <w:color w:val="000000" w:themeColor="text1"/>
                <w:spacing w:val="-60"/>
                <w:szCs w:val="21"/>
                <w:highlight w:val="none"/>
              </w:rPr>
              <w:t>）：</w:t>
            </w:r>
          </w:p>
        </w:tc>
        <w:tc>
          <w:tcPr>
            <w:tcW w:w="1520" w:type="dxa"/>
            <w:gridSpan w:val="2"/>
            <w:shd w:val="clear" w:color="auto" w:fill="FFFFFF"/>
            <w:vAlign w:val="top"/>
          </w:tcPr>
          <w:p>
            <w:pPr>
              <w:spacing w:before="34" w:line="276" w:lineRule="auto"/>
              <w:ind w:firstLine="46"/>
              <w:rPr>
                <w:rFonts w:ascii="宋体" w:hAnsi="宋体" w:cs="宋体"/>
                <w:color w:val="000000" w:themeColor="text1"/>
                <w:szCs w:val="21"/>
                <w:highlight w:val="none"/>
              </w:rPr>
            </w:pPr>
            <w:r>
              <w:rPr>
                <w:rFonts w:ascii="宋体" w:hAnsi="宋体" w:cs="宋体"/>
                <w:color w:val="000000" w:themeColor="text1"/>
                <w:spacing w:val="-2"/>
                <w:szCs w:val="21"/>
                <w:highlight w:val="none"/>
              </w:rPr>
              <w:t>投诉人：</w:t>
            </w:r>
          </w:p>
        </w:tc>
        <w:tc>
          <w:tcPr>
            <w:tcW w:w="1513" w:type="dxa"/>
            <w:gridSpan w:val="2"/>
            <w:shd w:val="clear" w:color="auto" w:fill="FFFFFF"/>
            <w:vAlign w:val="top"/>
          </w:tcPr>
          <w:p>
            <w:pPr>
              <w:spacing w:before="34" w:line="276" w:lineRule="auto"/>
              <w:ind w:firstLine="52"/>
              <w:rPr>
                <w:rFonts w:ascii="宋体" w:hAnsi="宋体" w:cs="宋体"/>
                <w:color w:val="000000" w:themeColor="text1"/>
                <w:szCs w:val="21"/>
                <w:highlight w:val="none"/>
              </w:rPr>
            </w:pPr>
            <w:r>
              <w:rPr>
                <w:rFonts w:ascii="宋体" w:hAnsi="宋体" w:cs="宋体"/>
                <w:color w:val="000000" w:themeColor="text1"/>
                <w:spacing w:val="-2"/>
                <w:szCs w:val="21"/>
                <w:highlight w:val="none"/>
              </w:rPr>
              <w:t>证明人：</w:t>
            </w:r>
          </w:p>
        </w:tc>
        <w:tc>
          <w:tcPr>
            <w:tcW w:w="1523" w:type="dxa"/>
            <w:gridSpan w:val="2"/>
            <w:shd w:val="clear" w:color="auto" w:fill="FFFFFF"/>
            <w:vAlign w:val="top"/>
          </w:tcPr>
          <w:p>
            <w:pPr>
              <w:spacing w:before="34" w:line="276" w:lineRule="auto"/>
              <w:ind w:firstLine="61"/>
              <w:rPr>
                <w:rFonts w:ascii="宋体" w:hAnsi="宋体" w:cs="宋体"/>
                <w:color w:val="000000" w:themeColor="text1"/>
                <w:szCs w:val="21"/>
                <w:highlight w:val="none"/>
              </w:rPr>
            </w:pPr>
            <w:r>
              <w:rPr>
                <w:rFonts w:ascii="宋体" w:hAnsi="宋体" w:cs="宋体"/>
                <w:color w:val="000000" w:themeColor="text1"/>
                <w:spacing w:val="-7"/>
                <w:szCs w:val="21"/>
                <w:highlight w:val="none"/>
              </w:rPr>
              <w:t>投诉现场：</w:t>
            </w:r>
          </w:p>
        </w:tc>
        <w:tc>
          <w:tcPr>
            <w:tcW w:w="1597" w:type="dxa"/>
            <w:shd w:val="clear" w:color="auto" w:fill="FFFFFF"/>
            <w:vAlign w:val="top"/>
          </w:tcPr>
          <w:p>
            <w:pPr>
              <w:spacing w:before="34" w:line="276" w:lineRule="auto"/>
              <w:ind w:firstLine="69"/>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434" w:type="dxa"/>
            <w:gridSpan w:val="8"/>
            <w:shd w:val="clear" w:color="auto" w:fill="FFFFFF"/>
            <w:vAlign w:val="top"/>
          </w:tcPr>
          <w:p>
            <w:pPr>
              <w:spacing w:before="29" w:line="276" w:lineRule="auto"/>
              <w:ind w:firstLine="21"/>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434" w:type="dxa"/>
            <w:gridSpan w:val="8"/>
            <w:shd w:val="clear" w:color="auto" w:fill="FFFFFF"/>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6"/>
                <w:szCs w:val="21"/>
                <w:highlight w:val="none"/>
              </w:rPr>
              <w:t>对应条款：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81" w:type="dxa"/>
            <w:shd w:val="clear" w:color="auto" w:fill="FFFFFF"/>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3"/>
                <w:szCs w:val="21"/>
                <w:highlight w:val="none"/>
              </w:rPr>
              <w:t>扣分：</w:t>
            </w:r>
          </w:p>
        </w:tc>
        <w:tc>
          <w:tcPr>
            <w:tcW w:w="1972" w:type="dxa"/>
            <w:gridSpan w:val="3"/>
            <w:shd w:val="clear" w:color="auto" w:fill="FFFFFF"/>
            <w:vAlign w:val="top"/>
          </w:tcPr>
          <w:p>
            <w:pPr>
              <w:spacing w:before="31" w:line="276" w:lineRule="auto"/>
              <w:ind w:firstLine="43"/>
              <w:rPr>
                <w:rFonts w:ascii="宋体" w:hAnsi="宋体" w:cs="宋体"/>
                <w:color w:val="000000" w:themeColor="text1"/>
                <w:szCs w:val="21"/>
                <w:highlight w:val="none"/>
              </w:rPr>
            </w:pPr>
            <w:r>
              <w:rPr>
                <w:rFonts w:ascii="宋体" w:hAnsi="宋体" w:cs="宋体"/>
                <w:color w:val="000000" w:themeColor="text1"/>
                <w:spacing w:val="-2"/>
                <w:position w:val="17"/>
                <w:szCs w:val="21"/>
                <w:highlight w:val="none"/>
              </w:rPr>
              <w:t>损失值：</w:t>
            </w:r>
          </w:p>
          <w:p>
            <w:pPr>
              <w:spacing w:line="276" w:lineRule="auto"/>
              <w:ind w:firstLine="41"/>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118" w:type="dxa"/>
            <w:gridSpan w:val="2"/>
            <w:shd w:val="clear" w:color="auto" w:fill="FFFFFF"/>
            <w:vAlign w:val="top"/>
          </w:tcPr>
          <w:p>
            <w:pPr>
              <w:spacing w:before="31" w:line="276" w:lineRule="auto"/>
              <w:ind w:firstLine="53"/>
              <w:rPr>
                <w:rFonts w:ascii="宋体" w:hAnsi="宋体" w:cs="宋体"/>
                <w:color w:val="000000" w:themeColor="text1"/>
                <w:szCs w:val="21"/>
                <w:highlight w:val="none"/>
              </w:rPr>
            </w:pPr>
            <w:r>
              <w:rPr>
                <w:rFonts w:hint="eastAsia" w:ascii="宋体" w:hAnsi="宋体" w:cs="宋体"/>
                <w:color w:val="000000" w:themeColor="text1"/>
                <w:spacing w:val="-7"/>
                <w:position w:val="17"/>
                <w:szCs w:val="21"/>
                <w:highlight w:val="none"/>
                <w:lang w:val="en-US" w:eastAsia="zh-CN"/>
              </w:rPr>
              <w:t>扣减服务费</w:t>
            </w:r>
            <w:r>
              <w:rPr>
                <w:rFonts w:ascii="宋体" w:hAnsi="宋体" w:cs="宋体"/>
                <w:color w:val="000000" w:themeColor="text1"/>
                <w:spacing w:val="-7"/>
                <w:position w:val="17"/>
                <w:szCs w:val="21"/>
                <w:highlight w:val="none"/>
              </w:rPr>
              <w:t>金额：</w:t>
            </w:r>
          </w:p>
          <w:p>
            <w:pPr>
              <w:spacing w:line="276" w:lineRule="auto"/>
              <w:ind w:firstLine="47"/>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063" w:type="dxa"/>
            <w:gridSpan w:val="2"/>
            <w:shd w:val="clear" w:color="auto" w:fill="FFFFFF"/>
            <w:vAlign w:val="top"/>
          </w:tcPr>
          <w:p>
            <w:pPr>
              <w:spacing w:before="31" w:line="276" w:lineRule="auto"/>
              <w:ind w:firstLine="58"/>
              <w:rPr>
                <w:rFonts w:ascii="宋体" w:hAnsi="宋体" w:cs="宋体"/>
                <w:color w:val="000000" w:themeColor="text1"/>
                <w:szCs w:val="21"/>
                <w:highlight w:val="none"/>
              </w:rPr>
            </w:pPr>
            <w:r>
              <w:rPr>
                <w:rFonts w:ascii="宋体" w:hAnsi="宋体" w:cs="宋体"/>
                <w:color w:val="000000" w:themeColor="text1"/>
                <w:spacing w:val="-7"/>
                <w:position w:val="17"/>
                <w:szCs w:val="21"/>
                <w:highlight w:val="none"/>
              </w:rPr>
              <w:t>合计金额：</w:t>
            </w:r>
          </w:p>
          <w:p>
            <w:pPr>
              <w:spacing w:line="276" w:lineRule="auto"/>
              <w:ind w:firstLine="55"/>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41" w:type="dxa"/>
            <w:gridSpan w:val="2"/>
            <w:shd w:val="clear" w:color="auto" w:fill="FFFFFF"/>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物业公司被投诉人确认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vAlign w:val="top"/>
          </w:tcPr>
          <w:p>
            <w:pPr>
              <w:spacing w:before="31"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物业公司项目负责人确认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物管组管理员确认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41" w:type="dxa"/>
            <w:gridSpan w:val="2"/>
            <w:shd w:val="clear" w:color="auto" w:fill="FFFFFF"/>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物管组负责人确认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281" w:type="dxa"/>
            <w:tcBorders>
              <w:right w:val="single" w:color="auto" w:sz="4" w:space="0"/>
            </w:tcBorders>
            <w:vAlign w:val="top"/>
          </w:tcPr>
          <w:p>
            <w:pPr>
              <w:spacing w:before="33" w:line="276" w:lineRule="auto"/>
              <w:ind w:firstLine="20"/>
              <w:rPr>
                <w:rFonts w:ascii="宋体" w:hAnsi="宋体" w:cs="宋体"/>
                <w:color w:val="000000" w:themeColor="text1"/>
                <w:szCs w:val="21"/>
                <w:highlight w:val="none"/>
              </w:rPr>
            </w:pPr>
            <w:r>
              <w:rPr>
                <w:rFonts w:ascii="宋体" w:hAnsi="宋体" w:cs="宋体"/>
                <w:color w:val="000000" w:themeColor="text1"/>
                <w:spacing w:val="-13"/>
                <w:szCs w:val="21"/>
                <w:highlight w:val="none"/>
              </w:rPr>
              <w:t>备注：</w:t>
            </w:r>
          </w:p>
        </w:tc>
        <w:tc>
          <w:tcPr>
            <w:tcW w:w="6153" w:type="dxa"/>
            <w:gridSpan w:val="7"/>
            <w:tcBorders>
              <w:left w:val="single" w:color="auto" w:sz="4" w:space="0"/>
            </w:tcBorders>
            <w:vAlign w:val="top"/>
          </w:tcPr>
          <w:p>
            <w:pPr>
              <w:spacing w:line="276" w:lineRule="auto"/>
              <w:rPr>
                <w:rFonts w:ascii="宋体" w:hAnsi="宋体"/>
                <w:color w:val="000000" w:themeColor="text1"/>
                <w:szCs w:val="21"/>
                <w:highlight w:val="none"/>
              </w:rPr>
            </w:pPr>
          </w:p>
          <w:p>
            <w:pPr>
              <w:spacing w:before="69" w:line="276" w:lineRule="auto"/>
              <w:ind w:left="3697" w:right="1023" w:hanging="457"/>
              <w:rPr>
                <w:rFonts w:hint="eastAsia" w:ascii="宋体" w:hAnsi="宋体" w:cs="宋体"/>
                <w:color w:val="000000" w:themeColor="text1"/>
                <w:spacing w:val="-1"/>
                <w:szCs w:val="21"/>
                <w:highlight w:val="none"/>
                <w:lang w:eastAsia="zh-CN"/>
              </w:rPr>
            </w:pPr>
            <w:r>
              <w:rPr>
                <w:rFonts w:hint="eastAsia" w:ascii="宋体" w:hAnsi="宋体" w:cs="宋体"/>
                <w:color w:val="000000" w:themeColor="text1"/>
                <w:spacing w:val="-1"/>
                <w:szCs w:val="21"/>
                <w:highlight w:val="none"/>
                <w:lang w:eastAsia="zh-CN"/>
              </w:rPr>
              <w:t>办公室</w:t>
            </w:r>
          </w:p>
          <w:p>
            <w:pPr>
              <w:spacing w:before="69" w:line="276" w:lineRule="auto"/>
              <w:ind w:left="3697" w:right="1023" w:hanging="457"/>
              <w:rPr>
                <w:rFonts w:ascii="宋体" w:hAnsi="宋体" w:cs="宋体"/>
                <w:color w:val="000000" w:themeColor="text1"/>
                <w:szCs w:val="21"/>
                <w:highlight w:val="none"/>
              </w:rPr>
            </w:pPr>
            <w:r>
              <w:rPr>
                <w:rFonts w:ascii="宋体" w:hAnsi="宋体" w:cs="宋体"/>
                <w:color w:val="000000" w:themeColor="text1"/>
                <w:spacing w:val="-7"/>
                <w:szCs w:val="21"/>
                <w:highlight w:val="none"/>
              </w:rPr>
              <w:t>年</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月</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日</w:t>
            </w:r>
          </w:p>
        </w:tc>
      </w:tr>
    </w:tbl>
    <w:p>
      <w:pPr>
        <w:rPr>
          <w:color w:val="000000" w:themeColor="text1"/>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rPr>
          <w:color w:val="000000" w:themeColor="text1"/>
          <w:highlight w:val="none"/>
        </w:rPr>
      </w:pPr>
    </w:p>
    <w:p>
      <w:pPr>
        <w:pStyle w:val="2"/>
        <w:rPr>
          <w:color w:val="000000" w:themeColor="text1"/>
          <w:highlight w:val="none"/>
        </w:rPr>
      </w:pPr>
    </w:p>
    <w:p>
      <w:pPr>
        <w:pStyle w:val="53"/>
        <w:numPr>
          <w:ilvl w:val="0"/>
          <w:numId w:val="0"/>
        </w:numPr>
        <w:tabs>
          <w:tab w:val="clear" w:pos="360"/>
        </w:tabs>
        <w:ind w:leftChars="0"/>
        <w:rPr>
          <w:color w:val="000000" w:themeColor="text1"/>
          <w:highlight w:val="none"/>
        </w:rPr>
      </w:pP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54" w:name="_Toc340507452"/>
      <w:bookmarkStart w:id="1655" w:name="_Toc332206718"/>
      <w:bookmarkStart w:id="1656" w:name="_Toc333237798"/>
      <w:bookmarkStart w:id="1657" w:name="_Toc333935356"/>
      <w:bookmarkStart w:id="1658" w:name="_Toc339441097"/>
      <w:bookmarkStart w:id="1659" w:name="_Toc345513911"/>
      <w:bookmarkStart w:id="1660" w:name="_Toc339020105"/>
      <w:bookmarkStart w:id="1661" w:name="_Toc339020243"/>
      <w:bookmarkStart w:id="1662" w:name="_Toc333237687"/>
      <w:bookmarkStart w:id="1663" w:name="_Toc339020025"/>
      <w:bookmarkStart w:id="1664" w:name="_Toc333238643"/>
      <w:bookmarkStart w:id="1665" w:name="_Toc330459995"/>
      <w:bookmarkStart w:id="1666" w:name="_Toc349143599"/>
      <w:bookmarkStart w:id="1667" w:name="_Toc366072539"/>
      <w:bookmarkStart w:id="1668" w:name="_Toc365985188"/>
      <w:bookmarkStart w:id="1669" w:name="_Toc336681590"/>
      <w:bookmarkStart w:id="1670" w:name="_Toc337632368"/>
      <w:bookmarkStart w:id="1671" w:name="_Toc339019899"/>
      <w:bookmarkStart w:id="1672" w:name="_Toc340677080"/>
      <w:bookmarkStart w:id="1673" w:name="_Toc342296770"/>
      <w:bookmarkStart w:id="1674" w:name="_Toc333935697"/>
      <w:bookmarkStart w:id="1675" w:name="_Toc336681945"/>
      <w:bookmarkStart w:id="1676" w:name="_Toc491658678"/>
      <w:bookmarkStart w:id="1677" w:name="_Toc350756460"/>
      <w:bookmarkStart w:id="1678" w:name="_Toc342060384"/>
      <w:bookmarkStart w:id="1679" w:name="_Toc331512908"/>
      <w:bookmarkStart w:id="1680" w:name="_Toc350438759"/>
      <w:bookmarkStart w:id="1681" w:name="_Toc365967082"/>
      <w:bookmarkStart w:id="1682" w:name="_Toc340672879"/>
      <w:bookmarkStart w:id="1683" w:name="_Toc332270356"/>
      <w:bookmarkStart w:id="1684" w:name="_Toc331684048"/>
      <w:bookmarkStart w:id="1685" w:name="_Toc500861025"/>
      <w:bookmarkStart w:id="1686" w:name="_Toc349127636"/>
      <w:bookmarkStart w:id="1687" w:name="_Toc9438"/>
      <w:bookmarkStart w:id="1688" w:name="_Toc339362310"/>
      <w:bookmarkStart w:id="1689" w:name="_Toc341348348"/>
      <w:r>
        <w:rPr>
          <w:rFonts w:hint="eastAsia"/>
          <w:color w:val="000000" w:themeColor="text1"/>
          <w:highlight w:val="none"/>
        </w:rPr>
        <w:t>第五部分</w:t>
      </w:r>
      <w:bookmarkStart w:id="1690" w:name="_Hlt97188172"/>
      <w:bookmarkEnd w:id="1690"/>
      <w:r>
        <w:rPr>
          <w:rFonts w:hint="eastAsia"/>
          <w:color w:val="000000" w:themeColor="text1"/>
          <w:highlight w:val="none"/>
        </w:rPr>
        <w:t>投标文件格式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Start w:id="1691" w:name="_Hlt21938933"/>
      <w:bookmarkEnd w:id="1691"/>
    </w:p>
    <w:p>
      <w:pPr>
        <w:pStyle w:val="4"/>
        <w:numPr>
          <w:ilvl w:val="1"/>
          <w:numId w:val="0"/>
        </w:numPr>
        <w:rPr>
          <w:color w:val="000000" w:themeColor="text1"/>
          <w:sz w:val="24"/>
          <w:highlight w:val="none"/>
        </w:rPr>
      </w:pPr>
      <w:bookmarkStart w:id="1692" w:name="_Toc19027"/>
      <w:bookmarkStart w:id="1693" w:name="_Toc18699"/>
      <w:r>
        <w:rPr>
          <w:rFonts w:hint="eastAsia"/>
          <w:color w:val="000000" w:themeColor="text1"/>
          <w:sz w:val="24"/>
          <w:highlight w:val="none"/>
        </w:rPr>
        <w:t>资格审查封面格式</w:t>
      </w:r>
      <w:bookmarkEnd w:id="1692"/>
      <w:bookmarkEnd w:id="169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7"/>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4" w:name="_Toc1634"/>
      <w:bookmarkStart w:id="1695" w:name="_Toc31809"/>
      <w:r>
        <w:rPr>
          <w:rFonts w:hint="eastAsia"/>
          <w:color w:val="000000" w:themeColor="text1"/>
          <w:sz w:val="24"/>
          <w:highlight w:val="none"/>
        </w:rPr>
        <w:t>自查表</w:t>
      </w:r>
      <w:bookmarkEnd w:id="1694"/>
      <w:bookmarkEnd w:id="1695"/>
    </w:p>
    <w:p>
      <w:pPr>
        <w:pStyle w:val="4"/>
        <w:numPr>
          <w:ilvl w:val="1"/>
          <w:numId w:val="0"/>
        </w:numPr>
        <w:tabs>
          <w:tab w:val="left" w:pos="4320"/>
        </w:tabs>
        <w:spacing w:before="240" w:after="60" w:line="360" w:lineRule="exact"/>
        <w:rPr>
          <w:rFonts w:ascii="宋体"/>
          <w:b/>
          <w:bCs w:val="0"/>
          <w:color w:val="000000" w:themeColor="text1"/>
          <w:szCs w:val="21"/>
          <w:highlight w:val="none"/>
        </w:rPr>
      </w:pPr>
      <w:bookmarkStart w:id="1696" w:name="_Toc15898"/>
      <w:r>
        <w:rPr>
          <w:rFonts w:hint="eastAsia" w:ascii="宋体"/>
          <w:b/>
          <w:bCs w:val="0"/>
          <w:color w:val="000000" w:themeColor="text1"/>
          <w:szCs w:val="21"/>
          <w:highlight w:val="none"/>
        </w:rPr>
        <w:t xml:space="preserve"> </w:t>
      </w:r>
      <w:bookmarkStart w:id="1697" w:name="_Toc29341"/>
      <w:r>
        <w:rPr>
          <w:rFonts w:hint="eastAsia" w:ascii="宋体"/>
          <w:b/>
          <w:bCs w:val="0"/>
          <w:color w:val="000000" w:themeColor="text1"/>
          <w:szCs w:val="21"/>
          <w:highlight w:val="none"/>
        </w:rPr>
        <w:t>资格性自查表</w:t>
      </w:r>
      <w:bookmarkEnd w:id="1696"/>
      <w:bookmarkEnd w:id="1697"/>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66"/>
        <w:gridCol w:w="3659"/>
        <w:gridCol w:w="1980"/>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3"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65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8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jc w:val="both"/>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597" w:type="dxa"/>
            <w:vMerge w:val="restart"/>
            <w:vAlign w:val="center"/>
          </w:tcPr>
          <w:p>
            <w:pPr>
              <w:rPr>
                <w:color w:val="000000" w:themeColor="text1"/>
                <w:highlight w:val="none"/>
              </w:rPr>
            </w:pPr>
            <w:r>
              <w:rPr>
                <w:rFonts w:hint="eastAsia"/>
                <w:color w:val="000000" w:themeColor="text1"/>
                <w:highlight w:val="none"/>
              </w:rPr>
              <w:t>资格性检查</w:t>
            </w:r>
          </w:p>
        </w:tc>
        <w:tc>
          <w:tcPr>
            <w:tcW w:w="1366" w:type="dxa"/>
            <w:vMerge w:val="restart"/>
            <w:vAlign w:val="center"/>
          </w:tcPr>
          <w:p>
            <w:pPr>
              <w:rPr>
                <w:color w:val="000000" w:themeColor="text1"/>
                <w:highlight w:val="none"/>
              </w:rPr>
            </w:pPr>
            <w:r>
              <w:rPr>
                <w:rFonts w:hint="eastAsia"/>
                <w:color w:val="000000" w:themeColor="text1"/>
                <w:highlight w:val="none"/>
              </w:rPr>
              <w:t>投标人资格要求</w:t>
            </w:r>
          </w:p>
        </w:tc>
        <w:tc>
          <w:tcPr>
            <w:tcW w:w="3659"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80" w:type="dxa"/>
            <w:vAlign w:val="center"/>
          </w:tcPr>
          <w:p>
            <w:pPr>
              <w:tabs>
                <w:tab w:val="left" w:pos="480"/>
              </w:tabs>
              <w:ind w:left="480" w:hanging="480"/>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97"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6" w:type="dxa"/>
            <w:vMerge w:val="continue"/>
            <w:vAlign w:val="center"/>
          </w:tcPr>
          <w:p>
            <w:pPr>
              <w:tabs>
                <w:tab w:val="left" w:pos="146"/>
              </w:tabs>
              <w:ind w:left="146"/>
              <w:rPr>
                <w:rFonts w:hint="eastAsia" w:ascii="宋体" w:hAnsi="宋体"/>
                <w:color w:val="000000" w:themeColor="text1"/>
                <w:szCs w:val="21"/>
                <w:highlight w:val="none"/>
              </w:rPr>
            </w:pPr>
          </w:p>
        </w:tc>
        <w:tc>
          <w:tcPr>
            <w:tcW w:w="3659" w:type="dxa"/>
            <w:vAlign w:val="center"/>
          </w:tcPr>
          <w:p>
            <w:pPr>
              <w:tabs>
                <w:tab w:val="left" w:pos="0"/>
              </w:tabs>
              <w:rPr>
                <w:rFonts w:hint="eastAsia" w:ascii="宋体" w:hAnsi="宋体" w:eastAsia="宋体"/>
                <w:b/>
                <w:bCs/>
                <w:color w:val="000000" w:themeColor="text1"/>
                <w:szCs w:val="21"/>
                <w:highlight w:val="none"/>
                <w:lang w:eastAsia="zh-CN"/>
              </w:rPr>
            </w:pPr>
            <w:r>
              <w:rPr>
                <w:rFonts w:ascii="宋体" w:hAnsi="宋体" w:cs="Futura-Heavy"/>
                <w:color w:val="000000" w:themeColor="text1"/>
                <w:szCs w:val="21"/>
                <w:highlight w:val="none"/>
                <w:shd w:val="clear" w:color="auto" w:fill="FFFFFF"/>
              </w:rPr>
              <w:t>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val="en-US" w:eastAsia="zh-CN"/>
              </w:rPr>
              <w:t>提供《投标函》</w:t>
            </w:r>
            <w:r>
              <w:rPr>
                <w:rFonts w:ascii="宋体" w:hAnsi="宋体" w:cs="Futura-Heavy"/>
                <w:color w:val="000000" w:themeColor="text1"/>
                <w:szCs w:val="21"/>
                <w:highlight w:val="none"/>
                <w:shd w:val="clear" w:color="auto" w:fill="FFFFFF"/>
              </w:rPr>
              <w:t>）</w:t>
            </w:r>
          </w:p>
        </w:tc>
        <w:tc>
          <w:tcPr>
            <w:tcW w:w="1980" w:type="dxa"/>
            <w:vAlign w:val="center"/>
          </w:tcPr>
          <w:p>
            <w:pPr>
              <w:tabs>
                <w:tab w:val="left" w:pos="480"/>
              </w:tabs>
              <w:ind w:left="480" w:hanging="480"/>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Merge w:val="continue"/>
            <w:vAlign w:val="center"/>
          </w:tcPr>
          <w:p>
            <w:pPr>
              <w:tabs>
                <w:tab w:val="left" w:pos="146"/>
              </w:tabs>
              <w:ind w:left="146"/>
              <w:rPr>
                <w:rFonts w:ascii="宋体" w:hAnsi="宋体"/>
                <w:color w:val="000000" w:themeColor="text1"/>
                <w:szCs w:val="21"/>
                <w:highlight w:val="none"/>
              </w:rPr>
            </w:pPr>
          </w:p>
        </w:tc>
        <w:tc>
          <w:tcPr>
            <w:tcW w:w="3659" w:type="dxa"/>
            <w:vAlign w:val="center"/>
          </w:tcPr>
          <w:p>
            <w:pPr>
              <w:tabs>
                <w:tab w:val="left" w:pos="0"/>
              </w:tabs>
              <w:rPr>
                <w:rFonts w:ascii="宋体" w:hAnsi="宋体"/>
                <w:color w:val="000000" w:themeColor="text1"/>
                <w:szCs w:val="21"/>
                <w:highlight w:val="none"/>
              </w:rPr>
            </w:pPr>
            <w:r>
              <w:rPr>
                <w:rFonts w:ascii="宋体" w:hAnsi="宋体" w:cs="Futura-Heavy"/>
                <w:color w:val="000000" w:themeColor="text1"/>
                <w:szCs w:val="21"/>
                <w:highlight w:val="none"/>
                <w:shd w:val="clear" w:color="auto" w:fill="FFFFFF"/>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w:t>
            </w:r>
            <w:r>
              <w:rPr>
                <w:rFonts w:ascii="宋体" w:hAnsi="宋体" w:cs="Futura-Heavy"/>
                <w:color w:val="000000" w:themeColor="text1"/>
                <w:szCs w:val="21"/>
                <w:highlight w:val="none"/>
                <w:shd w:val="clear" w:color="auto" w:fill="FFFFFF"/>
              </w:rPr>
              <w:t>）</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Merge w:val="continue"/>
            <w:vAlign w:val="center"/>
          </w:tcPr>
          <w:p>
            <w:pPr>
              <w:tabs>
                <w:tab w:val="left" w:pos="146"/>
              </w:tabs>
              <w:ind w:left="146"/>
              <w:rPr>
                <w:rFonts w:ascii="宋体" w:hAnsi="宋体"/>
                <w:color w:val="000000" w:themeColor="text1"/>
                <w:szCs w:val="21"/>
                <w:highlight w:val="none"/>
              </w:rPr>
            </w:pPr>
          </w:p>
        </w:tc>
        <w:tc>
          <w:tcPr>
            <w:tcW w:w="3659" w:type="dxa"/>
            <w:vAlign w:val="center"/>
          </w:tcPr>
          <w:p>
            <w:pPr>
              <w:widowControl w:val="0"/>
              <w:shd w:val="clear" w:color="auto" w:fill="FFFFFF"/>
              <w:wordWrap/>
              <w:adjustRightInd/>
              <w:spacing w:line="240" w:lineRule="auto"/>
              <w:jc w:val="left"/>
              <w:textAlignment w:val="auto"/>
              <w:rPr>
                <w:rFonts w:ascii="宋体" w:hAnsi="宋体" w:cs="Futura-Heavy"/>
                <w:color w:val="000000" w:themeColor="text1"/>
                <w:szCs w:val="21"/>
                <w:highlight w:val="none"/>
                <w:shd w:val="clear" w:color="auto" w:fill="FFFFFF"/>
              </w:rPr>
            </w:pPr>
            <w:r>
              <w:rPr>
                <w:rFonts w:ascii="宋体" w:hAnsi="宋体" w:cs="Futura-Heavy"/>
                <w:color w:val="000000" w:themeColor="text1"/>
                <w:szCs w:val="21"/>
                <w:highlight w:val="none"/>
                <w:shd w:val="clear" w:color="auto" w:fill="FFFFFF"/>
              </w:rPr>
              <w:t>投标人未被列入“信用中国”网站(</w:t>
            </w:r>
            <w:r>
              <w:rPr>
                <w:rFonts w:eastAsia="等线"/>
                <w:color w:val="000000" w:themeColor="text1"/>
                <w:szCs w:val="20"/>
                <w:highlight w:val="none"/>
              </w:rPr>
              <w:fldChar w:fldCharType="begin"/>
            </w:r>
            <w:r>
              <w:rPr>
                <w:color w:val="000000" w:themeColor="text1"/>
                <w:highlight w:val="none"/>
              </w:rPr>
              <w:instrText xml:space="preserve"> HYPERLINK "http://www.creditchina.gov.cn" </w:instrText>
            </w:r>
            <w:r>
              <w:rPr>
                <w:rFonts w:eastAsia="等线"/>
                <w:color w:val="000000" w:themeColor="text1"/>
                <w:szCs w:val="20"/>
                <w:highlight w:val="none"/>
              </w:rPr>
              <w:fldChar w:fldCharType="separate"/>
            </w:r>
            <w:r>
              <w:rPr>
                <w:rStyle w:val="51"/>
                <w:rFonts w:ascii="宋体" w:hAnsi="宋体" w:cs="Futura-Heavy"/>
                <w:color w:val="000000" w:themeColor="text1"/>
                <w:szCs w:val="21"/>
                <w:highlight w:val="none"/>
                <w:shd w:val="clear" w:color="auto" w:fill="FFFFFF"/>
              </w:rPr>
              <w:t>www.creditchina.gov.cn</w:t>
            </w:r>
            <w:r>
              <w:rPr>
                <w:rFonts w:ascii="宋体" w:hAnsi="宋体" w:cs="Futura-Heavy"/>
                <w:color w:val="000000" w:themeColor="text1"/>
                <w:szCs w:val="21"/>
                <w:highlight w:val="none"/>
                <w:shd w:val="clear" w:color="auto" w:fill="FFFFFF"/>
              </w:rPr>
              <w:fldChar w:fldCharType="end"/>
            </w:r>
            <w:r>
              <w:rPr>
                <w:rFonts w:ascii="宋体" w:hAnsi="宋体" w:cs="Futura-Heavy"/>
                <w:color w:val="000000" w:themeColor="text1"/>
                <w:szCs w:val="21"/>
                <w:highlight w:val="none"/>
                <w:shd w:val="clear" w:color="auto" w:fill="FFFFFF"/>
              </w:rPr>
              <w:t xml:space="preserve">)以下任意名单之一：①失信被执行人名单；②重大税收违法案件当事人名单；③政府采购严重违法失信名单。同时，不处于中国政府采购网（www.ccgp.gov.cn </w:t>
            </w:r>
            <w:r>
              <w:rPr>
                <w:rFonts w:hint="eastAsia" w:ascii="宋体" w:hAnsi="宋体" w:cs="Futura-Heavy"/>
                <w:color w:val="000000" w:themeColor="text1"/>
                <w:szCs w:val="21"/>
                <w:highlight w:val="none"/>
                <w:shd w:val="clear" w:color="auto" w:fill="FFFFFF"/>
              </w:rPr>
              <w:t>）“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Align w:val="center"/>
          </w:tcPr>
          <w:p>
            <w:pPr>
              <w:tabs>
                <w:tab w:val="left" w:pos="146"/>
              </w:tabs>
              <w:rPr>
                <w:rFonts w:ascii="宋体" w:hAnsi="宋体"/>
                <w:color w:val="000000" w:themeColor="text1"/>
                <w:szCs w:val="21"/>
                <w:highlight w:val="none"/>
              </w:rPr>
            </w:pPr>
            <w:r>
              <w:rPr>
                <w:rFonts w:hint="eastAsia" w:ascii="宋体" w:hAnsi="宋体" w:cs="Futura-Heavy"/>
                <w:color w:val="000000" w:themeColor="text1"/>
                <w:szCs w:val="21"/>
                <w:highlight w:val="none"/>
                <w:shd w:val="clear" w:color="auto" w:fill="FFFFFF"/>
              </w:rPr>
              <w:t>本项目属于专门面向中小企业采购</w:t>
            </w:r>
          </w:p>
        </w:tc>
        <w:tc>
          <w:tcPr>
            <w:tcW w:w="3659" w:type="dxa"/>
            <w:vAlign w:val="center"/>
          </w:tcPr>
          <w:p>
            <w:pPr>
              <w:tabs>
                <w:tab w:val="left" w:pos="0"/>
              </w:tabs>
              <w:jc w:val="both"/>
              <w:rPr>
                <w:rFonts w:hint="eastAsia" w:ascii="宋体" w:hAnsi="宋体" w:eastAsia="宋体" w:cs="Futura-Heavy"/>
                <w:color w:val="000000" w:themeColor="text1"/>
                <w:szCs w:val="21"/>
                <w:highlight w:val="none"/>
                <w:shd w:val="clear" w:color="auto" w:fill="FFFFFF"/>
                <w:lang w:val="en-US" w:eastAsia="zh-CN"/>
              </w:rPr>
            </w:pPr>
            <w:r>
              <w:rPr>
                <w:rFonts w:hint="eastAsia"/>
                <w:color w:val="000000" w:themeColor="text1"/>
                <w:highlight w:val="none"/>
                <w:lang w:eastAsia="zh-CN"/>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r>
              <w:rPr>
                <w:rFonts w:hint="eastAsia"/>
                <w:color w:val="000000" w:themeColor="text1"/>
                <w:highlight w:val="none"/>
              </w:rPr>
              <w:t>（所属行业为：物业管理）</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659"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80" w:type="dxa"/>
            <w:vAlign w:val="center"/>
          </w:tcPr>
          <w:p>
            <w:pPr>
              <w:tabs>
                <w:tab w:val="left" w:pos="480"/>
              </w:tabs>
              <w:ind w:left="-107" w:leftChars="-51" w:firstLine="106"/>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1"/>
          <w:numId w:val="0"/>
        </w:numPr>
        <w:rPr>
          <w:color w:val="000000" w:themeColor="text1"/>
          <w:highlight w:val="none"/>
        </w:rPr>
      </w:pPr>
      <w:bookmarkStart w:id="1698" w:name="_Toc7079"/>
      <w:bookmarkStart w:id="1699" w:name="_Toc21470"/>
      <w:r>
        <w:rPr>
          <w:rFonts w:hint="eastAsia"/>
          <w:color w:val="000000" w:themeColor="text1"/>
          <w:highlight w:val="none"/>
        </w:rPr>
        <w:t>（一）资格审查文件要求提交的有效证明文件</w:t>
      </w:r>
      <w:bookmarkEnd w:id="1698"/>
      <w:bookmarkEnd w:id="1699"/>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1"/>
          <w:numId w:val="0"/>
        </w:numPr>
        <w:rPr>
          <w:rFonts w:hAnsi="黑体"/>
          <w:color w:val="000000" w:themeColor="text1"/>
          <w:szCs w:val="21"/>
          <w:highlight w:val="none"/>
        </w:rPr>
      </w:pPr>
      <w:bookmarkStart w:id="1700" w:name="_Toc26194"/>
      <w:bookmarkStart w:id="1701" w:name="_Toc10889"/>
      <w:r>
        <w:rPr>
          <w:rFonts w:hint="eastAsia" w:hAnsi="黑体"/>
          <w:color w:val="000000" w:themeColor="text1"/>
          <w:szCs w:val="21"/>
          <w:highlight w:val="none"/>
        </w:rPr>
        <w:t>（二）无重大违法记录声明函</w:t>
      </w:r>
      <w:bookmarkEnd w:id="1700"/>
      <w:bookmarkEnd w:id="1701"/>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7"/>
        </w:numPr>
        <w:tabs>
          <w:tab w:val="clear" w:pos="720"/>
        </w:tabs>
        <w:ind w:left="720"/>
        <w:rPr>
          <w:color w:val="000000" w:themeColor="text1"/>
          <w:highlight w:val="none"/>
        </w:rPr>
      </w:pPr>
      <w:bookmarkStart w:id="1702" w:name="_Toc9812"/>
      <w:bookmarkStart w:id="1703" w:name="_Toc5256"/>
      <w:r>
        <w:rPr>
          <w:rFonts w:hint="eastAsia"/>
          <w:color w:val="000000" w:themeColor="text1"/>
          <w:highlight w:val="none"/>
        </w:rPr>
        <w:t>投标文件商务及技术部分</w:t>
      </w:r>
      <w:bookmarkEnd w:id="1702"/>
      <w:bookmarkEnd w:id="1703"/>
    </w:p>
    <w:p>
      <w:pPr>
        <w:pStyle w:val="4"/>
        <w:numPr>
          <w:ilvl w:val="1"/>
          <w:numId w:val="0"/>
        </w:numPr>
        <w:rPr>
          <w:color w:val="000000" w:themeColor="text1"/>
          <w:sz w:val="24"/>
          <w:highlight w:val="none"/>
        </w:rPr>
      </w:pPr>
      <w:bookmarkStart w:id="1704" w:name="_Toc9801"/>
      <w:r>
        <w:rPr>
          <w:rFonts w:hint="eastAsia"/>
          <w:color w:val="000000" w:themeColor="text1"/>
          <w:sz w:val="24"/>
          <w:highlight w:val="none"/>
        </w:rPr>
        <w:t>商务及技术封面格式</w:t>
      </w:r>
      <w:bookmarkEnd w:id="1704"/>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numPr>
          <w:ilvl w:val="1"/>
          <w:numId w:val="0"/>
        </w:numPr>
        <w:tabs>
          <w:tab w:val="left" w:pos="4320"/>
        </w:tabs>
        <w:spacing w:before="240" w:after="60" w:line="360" w:lineRule="exact"/>
        <w:rPr>
          <w:rFonts w:ascii="宋体"/>
          <w:b/>
          <w:bCs w:val="0"/>
          <w:color w:val="000000" w:themeColor="text1"/>
          <w:szCs w:val="21"/>
          <w:highlight w:val="none"/>
        </w:rPr>
      </w:pPr>
      <w:bookmarkStart w:id="1705" w:name="_Toc18010"/>
      <w:r>
        <w:rPr>
          <w:rFonts w:hint="eastAsia" w:ascii="宋体"/>
          <w:b/>
          <w:bCs w:val="0"/>
          <w:color w:val="000000" w:themeColor="text1"/>
          <w:szCs w:val="21"/>
          <w:highlight w:val="none"/>
        </w:rPr>
        <w:t>符合性自查表</w:t>
      </w:r>
      <w:bookmarkEnd w:id="1705"/>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numPr>
          <w:ilvl w:val="1"/>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706" w:name="_Toc26704"/>
      <w:r>
        <w:rPr>
          <w:rFonts w:hint="eastAsia" w:ascii="宋体"/>
          <w:b/>
          <w:color w:val="000000" w:themeColor="text1"/>
          <w:szCs w:val="21"/>
          <w:highlight w:val="none"/>
        </w:rPr>
        <w:t xml:space="preserve"> </w:t>
      </w:r>
      <w:bookmarkStart w:id="1707" w:name="_Toc22667"/>
      <w:r>
        <w:rPr>
          <w:rFonts w:hint="eastAsia" w:ascii="宋体"/>
          <w:b/>
          <w:color w:val="000000" w:themeColor="text1"/>
          <w:szCs w:val="21"/>
          <w:highlight w:val="none"/>
        </w:rPr>
        <w:t>评审项目投标资料表</w:t>
      </w:r>
      <w:bookmarkEnd w:id="1706"/>
      <w:bookmarkEnd w:id="1707"/>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评审分项</w:t>
            </w:r>
          </w:p>
        </w:tc>
        <w:tc>
          <w:tcPr>
            <w:tcW w:w="5202"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评审细则</w:t>
            </w:r>
          </w:p>
        </w:tc>
        <w:tc>
          <w:tcPr>
            <w:tcW w:w="2300"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3"/>
              <w:tabs>
                <w:tab w:val="clear" w:pos="360"/>
              </w:tabs>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73"/>
    <w:bookmarkEnd w:id="1374"/>
    <w:bookmarkEnd w:id="1375"/>
    <w:bookmarkEnd w:id="1376"/>
    <w:bookmarkEnd w:id="1377"/>
    <w:p>
      <w:pPr>
        <w:tabs>
          <w:tab w:val="center" w:pos="4483"/>
        </w:tabs>
        <w:rPr>
          <w:rFonts w:ascii="宋体" w:hAnsi="宋体"/>
          <w:bCs/>
          <w:color w:val="000000" w:themeColor="text1"/>
          <w:szCs w:val="21"/>
          <w:highlight w:val="none"/>
        </w:rPr>
      </w:pPr>
      <w:bookmarkStart w:id="1708" w:name="_Toc467236768"/>
      <w:bookmarkStart w:id="1709" w:name="_Toc6397150"/>
      <w:bookmarkStart w:id="1710" w:name="_Toc6727971"/>
      <w:bookmarkStart w:id="1711" w:name="_Toc458262638"/>
      <w:bookmarkStart w:id="1712" w:name="_Toc454701405"/>
      <w:bookmarkStart w:id="1713" w:name="_Toc480020285"/>
      <w:bookmarkStart w:id="1714" w:name="_Toc480021081"/>
      <w:bookmarkStart w:id="1715" w:name="_Toc500861026"/>
      <w:bookmarkStart w:id="1716" w:name="_Toc479991610"/>
      <w:bookmarkStart w:id="1717" w:name="_Toc468157564"/>
      <w:bookmarkStart w:id="1718" w:name="_Toc467987851"/>
      <w:bookmarkStart w:id="1719" w:name="_Toc480010736"/>
      <w:bookmarkStart w:id="1720" w:name="_Toc468606057"/>
      <w:bookmarkStart w:id="1721" w:name="_Toc491658679"/>
    </w:p>
    <w:p>
      <w:pPr>
        <w:pStyle w:val="4"/>
        <w:numPr>
          <w:ilvl w:val="1"/>
          <w:numId w:val="0"/>
        </w:numPr>
        <w:rPr>
          <w:color w:val="000000" w:themeColor="text1"/>
          <w:highlight w:val="none"/>
        </w:rPr>
      </w:pPr>
      <w:bookmarkStart w:id="1722" w:name="_Toc5180"/>
      <w:bookmarkStart w:id="1723" w:name="_Toc13455"/>
      <w:r>
        <w:rPr>
          <w:rFonts w:hint="eastAsia"/>
          <w:color w:val="000000" w:themeColor="text1"/>
          <w:highlight w:val="none"/>
        </w:rPr>
        <w:t>（一）法定代表人（负责人）证明书</w:t>
      </w:r>
      <w:bookmarkEnd w:id="1722"/>
      <w:bookmarkEnd w:id="1723"/>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rFonts w:ascii="宋体" w:hAnsi="Times New Roman" w:eastAsia="宋体" w:cs="Times New Roman"/>
          <w:color w:val="000000" w:themeColor="text1"/>
          <w:kern w:val="0"/>
          <w:sz w:val="34"/>
          <w:szCs w:val="20"/>
          <w:highlight w:val="none"/>
          <w:lang w:val="en-US" w:eastAsia="zh-CN" w:bidi="ar-SA"/>
        </w:rPr>
        <w:pict>
          <v:shape id="自选图形 2" o:spid="_x0000_s1027" o:spt="176" type="#_x0000_t176" style="position:absolute;left:0pt;margin-left:68.25pt;margin-top:27.3pt;height:135.65pt;width:273.55pt;z-index:251660288;mso-width-relative:page;mso-height-relative:page;" fillcolor="#FFFFFF" filled="t" o:preferrelative="t" stroked="t" coordsize="21600,21600" adj="2700">
            <v:path/>
            <v:fill on="t" focussize="0,0"/>
            <v:stroke color="#000000" color2="#FFFFFF" miterlimit="2"/>
            <v:imagedata gain="65536f" blacklevel="0f" gamma="0" o:title=""/>
            <o:lock v:ext="edit" position="f" selection="f" grouping="f" rotation="f" cropping="f" text="f" aspectratio="f"/>
            <v:textbox>
              <w:txbxContent>
                <w:p/>
                <w:p/>
                <w:p>
                  <w:pPr>
                    <w:jc w:val="center"/>
                  </w:pPr>
                  <w:r>
                    <w:rPr>
                      <w:rFonts w:hint="eastAsia"/>
                    </w:rPr>
                    <w:t>身份证正反面复印件</w:t>
                  </w:r>
                </w:p>
              </w:txbxContent>
            </v:textbox>
          </v:shape>
        </w:pict>
      </w:r>
    </w:p>
    <w:p>
      <w:pPr>
        <w:pStyle w:val="4"/>
        <w:numPr>
          <w:ilvl w:val="1"/>
          <w:numId w:val="0"/>
        </w:numPr>
        <w:rPr>
          <w:color w:val="000000" w:themeColor="text1"/>
          <w:highlight w:val="none"/>
        </w:rPr>
      </w:pPr>
      <w:bookmarkStart w:id="1724" w:name="_Toc28171"/>
      <w:bookmarkStart w:id="1725" w:name="_Toc27194"/>
      <w:r>
        <w:rPr>
          <w:rFonts w:hint="eastAsia"/>
          <w:color w:val="000000" w:themeColor="text1"/>
          <w:highlight w:val="none"/>
        </w:rPr>
        <w:t>（二）法定代表人（负责人）授权书</w:t>
      </w:r>
      <w:bookmarkEnd w:id="1724"/>
      <w:bookmarkEnd w:id="1725"/>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rFonts w:ascii="Times New Roman" w:hAnsi="Times New Roman" w:eastAsia="宋体" w:cs="Times New Roman"/>
          <w:color w:val="000000" w:themeColor="text1"/>
          <w:kern w:val="2"/>
          <w:sz w:val="21"/>
          <w:szCs w:val="24"/>
          <w:highlight w:val="none"/>
          <w:lang w:val="en-US" w:eastAsia="zh-CN" w:bidi="ar-SA"/>
        </w:rPr>
        <w:pict>
          <v:shape id="自选图形 3" o:spid="_x0000_s1028" o:spt="176" type="#_x0000_t176" style="position:absolute;left:0pt;margin-left:99.75pt;margin-top:-0.05pt;height:137.65pt;width:275.8pt;z-index:251659264;mso-width-relative:page;mso-height-relative:page;" fillcolor="#FFFFFF" filled="t" o:preferrelative="t" stroked="t" coordsize="21600,21600" adj="2700">
            <v:path/>
            <v:fill on="t" focussize="0,0"/>
            <v:stroke color="#000000" color2="#FFFFFF" miterlimit="2"/>
            <v:imagedata gain="65536f" blacklevel="0f" gamma="0" o:title=""/>
            <o:lock v:ext="edit" position="f" selection="f" grouping="f" rotation="f" cropping="f" text="f" aspectratio="f"/>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1"/>
          <w:numId w:val="0"/>
        </w:numPr>
        <w:rPr>
          <w:color w:val="000000" w:themeColor="text1"/>
          <w:highlight w:val="none"/>
        </w:rPr>
      </w:pPr>
      <w:bookmarkStart w:id="1726" w:name="_Toc333238655"/>
      <w:bookmarkStart w:id="1727" w:name="_Toc331684063"/>
      <w:bookmarkStart w:id="1728" w:name="_Toc340677091"/>
      <w:bookmarkStart w:id="1729" w:name="_Toc332270368"/>
      <w:bookmarkStart w:id="1730" w:name="_Toc340507463"/>
      <w:bookmarkStart w:id="1731" w:name="_Toc342312464"/>
      <w:bookmarkStart w:id="1732" w:name="_Toc340672890"/>
      <w:bookmarkStart w:id="1733" w:name="_Toc366072550"/>
      <w:bookmarkStart w:id="1734" w:name="_Toc330460007"/>
      <w:bookmarkStart w:id="1735" w:name="_Toc350756471"/>
      <w:bookmarkStart w:id="1736" w:name="_Toc20204"/>
      <w:bookmarkStart w:id="1737" w:name="_Toc333935367"/>
      <w:bookmarkStart w:id="1738" w:name="_Toc350438770"/>
      <w:bookmarkStart w:id="1739" w:name="_Toc339362321"/>
      <w:bookmarkStart w:id="1740" w:name="_Toc339441108"/>
      <w:bookmarkStart w:id="1741" w:name="_Toc333935708"/>
      <w:bookmarkStart w:id="1742" w:name="_Toc337632379"/>
      <w:bookmarkStart w:id="1743" w:name="_Toc342060396"/>
      <w:bookmarkStart w:id="1744" w:name="_Toc365985199"/>
      <w:bookmarkStart w:id="1745" w:name="_Toc333237699"/>
      <w:bookmarkStart w:id="1746" w:name="_Toc333237810"/>
      <w:bookmarkStart w:id="1747" w:name="_Toc342296782"/>
      <w:bookmarkStart w:id="1748" w:name="_Toc342398151"/>
      <w:bookmarkStart w:id="1749" w:name="_Toc343247121"/>
      <w:bookmarkStart w:id="1750" w:name="_Toc332206730"/>
      <w:bookmarkStart w:id="1751" w:name="_Toc339020254"/>
      <w:bookmarkStart w:id="1752" w:name="_Toc341348361"/>
      <w:bookmarkStart w:id="1753" w:name="_Toc336681956"/>
      <w:bookmarkStart w:id="1754" w:name="_Toc339020116"/>
      <w:bookmarkStart w:id="1755" w:name="_Toc343248439"/>
      <w:bookmarkStart w:id="1756" w:name="_Toc336681601"/>
      <w:bookmarkStart w:id="1757" w:name="_Toc339019910"/>
      <w:bookmarkStart w:id="1758" w:name="_Toc343612941"/>
      <w:bookmarkStart w:id="1759" w:name="_Toc331512922"/>
      <w:bookmarkStart w:id="1760" w:name="_Toc365967093"/>
      <w:bookmarkStart w:id="1761" w:name="_Toc345312618"/>
      <w:bookmarkStart w:id="1762" w:name="_Toc339020036"/>
      <w:r>
        <w:rPr>
          <w:rFonts w:hint="eastAsia"/>
          <w:color w:val="000000" w:themeColor="text1"/>
          <w:highlight w:val="none"/>
        </w:rPr>
        <w:t>附件一：投标</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Pr>
          <w:rFonts w:hint="eastAsia"/>
          <w:color w:val="000000" w:themeColor="text1"/>
          <w:highlight w:val="none"/>
        </w:rPr>
        <w:t>函</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具有独立承担民事责任的能力</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具有良好的商业信誉和健全的财务会计制度</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具有履行合同所必需的设备和专业技术能力</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有依法缴纳税收和社会保障资金的良好记录</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参加政府采购活动前三年内，在经营活动中没有重大违法记录</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法律、行政法规规定的其他条件</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bCs/>
          <w:color w:val="000000" w:themeColor="text1"/>
          <w:highlight w:val="none"/>
        </w:rPr>
        <w:t>为采购项目提供整体设计、规范编制或者项目管理、监理、检测等服务的供应商，不再参加该采购项目的其他采购活动。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bCs/>
          <w:color w:val="000000" w:themeColor="text1"/>
          <w:highlight w:val="none"/>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pStyle w:val="2"/>
        <w:ind w:firstLine="420" w:firstLineChars="200"/>
        <w:rPr>
          <w:rFonts w:ascii="宋体" w:hAnsi="宋体"/>
          <w:bCs/>
          <w:color w:val="000000" w:themeColor="text1"/>
          <w:highlight w:val="none"/>
        </w:rPr>
      </w:pPr>
      <w:r>
        <w:rPr>
          <w:rFonts w:hint="eastAsia"/>
          <w:color w:val="000000" w:themeColor="text1"/>
          <w:highlight w:val="none"/>
          <w:lang w:val="en-US" w:eastAsia="zh-CN"/>
        </w:rPr>
        <w:t>15、</w:t>
      </w: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4"/>
        <w:numPr>
          <w:ilvl w:val="1"/>
          <w:numId w:val="0"/>
        </w:numPr>
        <w:spacing w:line="400" w:lineRule="exact"/>
        <w:rPr>
          <w:color w:val="000000" w:themeColor="text1"/>
          <w:highlight w:val="none"/>
        </w:rPr>
      </w:pPr>
      <w:bookmarkStart w:id="1763" w:name="_Hlt16935467"/>
      <w:bookmarkEnd w:id="1763"/>
      <w:bookmarkStart w:id="1764" w:name="_Toc342296783"/>
      <w:bookmarkStart w:id="1765" w:name="_Toc340677092"/>
      <w:bookmarkStart w:id="1766" w:name="_Toc333935368"/>
      <w:bookmarkStart w:id="1767" w:name="_Toc333238656"/>
      <w:bookmarkStart w:id="1768" w:name="_Toc333237700"/>
      <w:bookmarkStart w:id="1769" w:name="_Toc331684064"/>
      <w:bookmarkStart w:id="1770" w:name="_Toc366072551"/>
      <w:bookmarkStart w:id="1771" w:name="_Toc350756472"/>
      <w:bookmarkStart w:id="1772" w:name="_Toc339020037"/>
      <w:bookmarkStart w:id="1773" w:name="_Toc342398152"/>
      <w:bookmarkStart w:id="1774" w:name="_Toc330460008"/>
      <w:bookmarkStart w:id="1775" w:name="_Toc365967094"/>
      <w:bookmarkStart w:id="1776" w:name="_Toc339019911"/>
      <w:bookmarkStart w:id="1777" w:name="_Toc332206731"/>
      <w:bookmarkStart w:id="1778" w:name="_Toc331512923"/>
      <w:bookmarkStart w:id="1779" w:name="_Toc332270369"/>
      <w:bookmarkStart w:id="1780" w:name="_Toc336681602"/>
      <w:bookmarkStart w:id="1781" w:name="_Toc343248440"/>
      <w:bookmarkStart w:id="1782" w:name="_Toc339362322"/>
      <w:bookmarkStart w:id="1783" w:name="_Toc365985200"/>
      <w:bookmarkStart w:id="1784" w:name="_Toc342312465"/>
      <w:bookmarkStart w:id="1785" w:name="_Toc78816017"/>
      <w:bookmarkStart w:id="1786" w:name="_Toc333935709"/>
      <w:bookmarkStart w:id="1787" w:name="_Toc350438771"/>
      <w:bookmarkStart w:id="1788" w:name="_Toc339020117"/>
      <w:bookmarkStart w:id="1789" w:name="_Toc341348362"/>
      <w:bookmarkStart w:id="1790" w:name="_Toc339020255"/>
      <w:bookmarkStart w:id="1791" w:name="_Toc345312619"/>
      <w:bookmarkStart w:id="1792" w:name="_Toc333237811"/>
      <w:bookmarkStart w:id="1793" w:name="_Toc340507464"/>
      <w:bookmarkStart w:id="1794" w:name="_Toc336681957"/>
      <w:bookmarkStart w:id="1795" w:name="_Toc343247122"/>
      <w:bookmarkStart w:id="1796" w:name="_Toc339441109"/>
      <w:bookmarkStart w:id="1797" w:name="_Toc25230"/>
      <w:bookmarkStart w:id="1798" w:name="_Toc343612942"/>
      <w:bookmarkStart w:id="1799" w:name="_Toc340672891"/>
      <w:bookmarkStart w:id="1800" w:name="_Toc337632380"/>
      <w:bookmarkStart w:id="1801" w:name="_Toc342060397"/>
      <w:r>
        <w:rPr>
          <w:rFonts w:hint="eastAsia"/>
          <w:color w:val="000000" w:themeColor="text1"/>
          <w:highlight w:val="none"/>
        </w:rPr>
        <w:t>附件二：开标一览表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891"/>
        <w:gridCol w:w="1501"/>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91" w:type="dxa"/>
            <w:vAlign w:val="center"/>
          </w:tcPr>
          <w:p>
            <w:pPr>
              <w:jc w:val="center"/>
              <w:rPr>
                <w:rFonts w:hint="default" w:ascii="宋体" w:hAnsi="宋体" w:eastAsia="宋体"/>
                <w:bCs/>
                <w:color w:val="000000" w:themeColor="text1"/>
                <w:highlight w:val="none"/>
                <w:lang w:val="en-US" w:eastAsia="zh-CN"/>
              </w:rPr>
            </w:pPr>
            <w:r>
              <w:rPr>
                <w:rFonts w:hint="eastAsia" w:ascii="宋体" w:hAnsi="宋体"/>
                <w:bCs/>
                <w:color w:val="000000" w:themeColor="text1"/>
                <w:highlight w:val="none"/>
              </w:rPr>
              <w:t>服务管理费（%）</w:t>
            </w:r>
          </w:p>
        </w:tc>
        <w:tc>
          <w:tcPr>
            <w:tcW w:w="1501"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891" w:type="dxa"/>
            <w:vAlign w:val="center"/>
          </w:tcPr>
          <w:p>
            <w:pPr>
              <w:spacing w:line="260" w:lineRule="exact"/>
              <w:rPr>
                <w:rFonts w:ascii="宋体" w:hAnsi="宋体"/>
                <w:bCs/>
                <w:color w:val="000000" w:themeColor="text1"/>
                <w:highlight w:val="none"/>
              </w:rPr>
            </w:pPr>
          </w:p>
        </w:tc>
        <w:tc>
          <w:tcPr>
            <w:tcW w:w="1501"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pStyle w:val="53"/>
        <w:numPr>
          <w:ilvl w:val="0"/>
          <w:numId w:val="0"/>
        </w:numPr>
        <w:tabs>
          <w:tab w:val="clear" w:pos="360"/>
        </w:tabs>
        <w:ind w:leftChars="0"/>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hint="eastAsia"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u w:val="single"/>
        </w:rPr>
      </w:pPr>
    </w:p>
    <w:p>
      <w:pPr>
        <w:pStyle w:val="4"/>
        <w:numPr>
          <w:ilvl w:val="1"/>
          <w:numId w:val="0"/>
        </w:numPr>
        <w:spacing w:line="400" w:lineRule="exact"/>
        <w:rPr>
          <w:color w:val="000000" w:themeColor="text1"/>
          <w:highlight w:val="none"/>
        </w:rPr>
      </w:pPr>
      <w:bookmarkStart w:id="1802" w:name="_Toc337632382"/>
      <w:bookmarkStart w:id="1803" w:name="_Toc365985202"/>
      <w:bookmarkStart w:id="1804" w:name="_Toc342398154"/>
      <w:bookmarkStart w:id="1805" w:name="_Toc339019913"/>
      <w:bookmarkStart w:id="1806" w:name="_Toc336681604"/>
      <w:bookmarkStart w:id="1807" w:name="_Toc339020039"/>
      <w:bookmarkStart w:id="1808" w:name="_Toc333237702"/>
      <w:bookmarkStart w:id="1809" w:name="_Toc339020257"/>
      <w:bookmarkStart w:id="1810" w:name="_Toc333237813"/>
      <w:bookmarkStart w:id="1811" w:name="_Toc333238658"/>
      <w:bookmarkStart w:id="1812" w:name="_Toc340677094"/>
      <w:bookmarkStart w:id="1813" w:name="_Toc342060399"/>
      <w:bookmarkStart w:id="1814" w:name="_Toc343248442"/>
      <w:bookmarkStart w:id="1815" w:name="_Toc342296785"/>
      <w:bookmarkStart w:id="1816" w:name="_Toc331512925"/>
      <w:bookmarkStart w:id="1817" w:name="_Toc366072553"/>
      <w:bookmarkStart w:id="1818" w:name="_Toc341348364"/>
      <w:bookmarkStart w:id="1819" w:name="_Toc340672893"/>
      <w:bookmarkStart w:id="1820" w:name="_Toc332206733"/>
      <w:bookmarkStart w:id="1821" w:name="_Toc350756474"/>
      <w:bookmarkStart w:id="1822" w:name="_Toc350438773"/>
      <w:bookmarkStart w:id="1823" w:name="_Toc343612944"/>
      <w:bookmarkStart w:id="1824" w:name="_Toc339020119"/>
      <w:bookmarkStart w:id="1825" w:name="_Toc345312621"/>
      <w:bookmarkStart w:id="1826" w:name="_Toc333935711"/>
      <w:bookmarkStart w:id="1827" w:name="_Toc342312467"/>
      <w:bookmarkStart w:id="1828" w:name="_Toc16714"/>
      <w:bookmarkStart w:id="1829" w:name="_Toc332270371"/>
      <w:bookmarkStart w:id="1830" w:name="_Toc330460010"/>
      <w:bookmarkStart w:id="1831" w:name="_Toc331684066"/>
      <w:bookmarkStart w:id="1832" w:name="_Toc339362324"/>
      <w:bookmarkStart w:id="1833" w:name="_Toc339441111"/>
      <w:bookmarkStart w:id="1834" w:name="_Toc365967096"/>
      <w:bookmarkStart w:id="1835" w:name="_Toc336681959"/>
      <w:bookmarkStart w:id="1836" w:name="_Toc340507466"/>
      <w:bookmarkStart w:id="1837" w:name="_Toc343247124"/>
      <w:bookmarkStart w:id="1838" w:name="_Toc333935370"/>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w:t>
      </w:r>
      <w:r>
        <w:rPr>
          <w:rFonts w:hint="eastAsia"/>
          <w:color w:val="000000" w:themeColor="text1"/>
          <w:highlight w:val="none"/>
          <w:lang w:val="en-US" w:eastAsia="zh-CN"/>
        </w:rPr>
        <w:t>用户需求</w:t>
      </w:r>
      <w:r>
        <w:rPr>
          <w:rFonts w:hint="eastAsia"/>
          <w:color w:val="000000" w:themeColor="text1"/>
          <w:highlight w:val="none"/>
        </w:rPr>
        <w:t>偏离一览表</w:t>
      </w:r>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4" w:type="dxa"/>
          <w:bottom w:w="0" w:type="dxa"/>
          <w:right w:w="54" w:type="dxa"/>
        </w:tblCellMar>
      </w:tblPr>
      <w:tblGrid>
        <w:gridCol w:w="441"/>
        <w:gridCol w:w="992"/>
        <w:gridCol w:w="3189"/>
        <w:gridCol w:w="3190"/>
        <w:gridCol w:w="85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w:t>
      </w:r>
      <w:r>
        <w:rPr>
          <w:rFonts w:hint="eastAsia" w:ascii="宋体" w:hAnsi="宋体"/>
          <w:bCs/>
          <w:color w:val="000000" w:themeColor="text1"/>
          <w:highlight w:val="none"/>
          <w:lang w:val="en-US" w:eastAsia="zh-CN"/>
        </w:rPr>
        <w:t>用户需求书</w:t>
      </w:r>
      <w:r>
        <w:rPr>
          <w:rFonts w:hint="eastAsia" w:ascii="宋体" w:hAnsi="宋体"/>
          <w:bCs/>
          <w:color w:val="000000" w:themeColor="text1"/>
          <w:highlight w:val="none"/>
        </w:rPr>
        <w:t>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投标人声明：表中未列全的条款，我方均表示完全响应招标文件</w:t>
      </w:r>
      <w:r>
        <w:rPr>
          <w:rFonts w:hint="eastAsia" w:ascii="宋体" w:hAnsi="宋体"/>
          <w:b/>
          <w:bCs/>
          <w:color w:val="000000" w:themeColor="text1"/>
          <w:highlight w:val="none"/>
          <w:lang w:val="en-US" w:eastAsia="zh-CN"/>
        </w:rPr>
        <w:t>用户需求书</w:t>
      </w:r>
      <w:r>
        <w:rPr>
          <w:rFonts w:hint="eastAsia" w:ascii="宋体" w:hAnsi="宋体"/>
          <w:b/>
          <w:bCs/>
          <w:color w:val="000000" w:themeColor="text1"/>
          <w:highlight w:val="none"/>
        </w:rPr>
        <w:t>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839" w:name="_Toc25309"/>
      <w:bookmarkStart w:id="1840" w:name="_Toc342398159"/>
      <w:bookmarkStart w:id="1841" w:name="_Toc336681964"/>
      <w:bookmarkStart w:id="1842" w:name="_Toc350756479"/>
      <w:bookmarkStart w:id="1843" w:name="_Toc366072561"/>
      <w:bookmarkStart w:id="1844" w:name="_Toc340677099"/>
      <w:bookmarkStart w:id="1845" w:name="_Toc339020044"/>
      <w:bookmarkStart w:id="1846" w:name="_Toc340672898"/>
      <w:bookmarkStart w:id="1847" w:name="_Toc343248447"/>
      <w:bookmarkStart w:id="1848" w:name="_Toc345312626"/>
      <w:bookmarkStart w:id="1849" w:name="_Toc365985210"/>
      <w:bookmarkStart w:id="1850" w:name="_Toc336681609"/>
      <w:bookmarkStart w:id="1851" w:name="_Toc340507471"/>
      <w:bookmarkStart w:id="1852" w:name="_Toc331684071"/>
      <w:bookmarkStart w:id="1853" w:name="_Toc342312472"/>
      <w:bookmarkStart w:id="1854" w:name="_Toc333935375"/>
      <w:bookmarkStart w:id="1855" w:name="_Toc333238663"/>
      <w:bookmarkStart w:id="1856" w:name="_Toc339441116"/>
      <w:bookmarkStart w:id="1857" w:name="_Toc330460015"/>
      <w:bookmarkStart w:id="1858" w:name="_Toc339020124"/>
      <w:bookmarkStart w:id="1859" w:name="_Toc343612949"/>
      <w:bookmarkStart w:id="1860" w:name="_Toc337632387"/>
      <w:bookmarkStart w:id="1861" w:name="_Toc342060404"/>
      <w:bookmarkStart w:id="1862" w:name="_Toc350438778"/>
      <w:bookmarkStart w:id="1863" w:name="_Toc343247129"/>
      <w:bookmarkStart w:id="1864" w:name="_Toc332270376"/>
      <w:bookmarkStart w:id="1865" w:name="_Toc339362329"/>
      <w:bookmarkStart w:id="1866" w:name="_Toc432695228"/>
      <w:bookmarkStart w:id="1867" w:name="_Toc339019918"/>
      <w:bookmarkStart w:id="1868" w:name="_Toc333237818"/>
      <w:bookmarkStart w:id="1869" w:name="_Toc339020262"/>
      <w:bookmarkStart w:id="1870" w:name="_Toc342296790"/>
      <w:bookmarkStart w:id="1871" w:name="_Toc331512930"/>
      <w:bookmarkStart w:id="1872" w:name="_Toc341348369"/>
      <w:bookmarkStart w:id="1873" w:name="_Toc332206738"/>
      <w:bookmarkStart w:id="1874" w:name="_Toc365967104"/>
      <w:bookmarkStart w:id="1875" w:name="_Toc333935716"/>
      <w:bookmarkStart w:id="1876" w:name="_Toc333237707"/>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rFonts w:hint="eastAsia"/>
          <w:color w:val="000000" w:themeColor="text1"/>
          <w:highlight w:val="none"/>
          <w:lang w:val="en-US" w:eastAsia="zh-CN"/>
        </w:rPr>
        <w:t>合同条款</w:t>
      </w:r>
      <w:r>
        <w:rPr>
          <w:rFonts w:hint="eastAsia"/>
          <w:color w:val="000000" w:themeColor="text1"/>
          <w:highlight w:val="none"/>
        </w:rPr>
        <w:t>偏离一览表</w:t>
      </w:r>
      <w:bookmarkEnd w:id="183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4" w:type="dxa"/>
          <w:bottom w:w="0" w:type="dxa"/>
          <w:right w:w="54" w:type="dxa"/>
        </w:tblCellMar>
      </w:tblPr>
      <w:tblGrid>
        <w:gridCol w:w="441"/>
        <w:gridCol w:w="992"/>
        <w:gridCol w:w="3189"/>
        <w:gridCol w:w="3190"/>
        <w:gridCol w:w="85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lang w:val="en-US" w:eastAsia="zh-CN"/>
              </w:rPr>
              <w:t>合同</w:t>
            </w:r>
            <w:r>
              <w:rPr>
                <w:rFonts w:hint="eastAsia" w:ascii="宋体" w:hAnsi="宋体"/>
                <w:bCs/>
                <w:color w:val="000000" w:themeColor="text1"/>
                <w:highlight w:val="none"/>
              </w:rPr>
              <w:t>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lang w:val="en-US" w:eastAsia="zh-CN"/>
              </w:rPr>
              <w:t>响应</w:t>
            </w:r>
            <w:r>
              <w:rPr>
                <w:rFonts w:hint="eastAsia" w:ascii="宋体" w:hAnsi="宋体"/>
                <w:bCs/>
                <w:color w:val="000000" w:themeColor="text1"/>
                <w:highlight w:val="none"/>
              </w:rPr>
              <w:t>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w:t>
      </w:r>
      <w:r>
        <w:rPr>
          <w:rFonts w:hint="eastAsia" w:ascii="宋体" w:hAnsi="宋体"/>
          <w:bCs/>
          <w:color w:val="000000" w:themeColor="text1"/>
          <w:highlight w:val="none"/>
          <w:lang w:val="en-US" w:eastAsia="zh-CN"/>
        </w:rPr>
        <w:t>合同</w:t>
      </w:r>
      <w:r>
        <w:rPr>
          <w:rFonts w:hint="eastAsia" w:ascii="宋体" w:hAnsi="宋体"/>
          <w:bCs/>
          <w:color w:val="000000" w:themeColor="text1"/>
          <w:highlight w:val="none"/>
        </w:rPr>
        <w:t>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w:t>
      </w:r>
      <w:r>
        <w:rPr>
          <w:rFonts w:hint="eastAsia" w:ascii="宋体" w:hAnsi="宋体"/>
          <w:b/>
          <w:bCs/>
          <w:color w:val="000000" w:themeColor="text1"/>
          <w:highlight w:val="none"/>
          <w:lang w:val="en-US" w:eastAsia="zh-CN"/>
        </w:rPr>
        <w:t>合同</w:t>
      </w:r>
      <w:r>
        <w:rPr>
          <w:rFonts w:hint="eastAsia" w:ascii="宋体" w:hAnsi="宋体"/>
          <w:b/>
          <w:bCs/>
          <w:color w:val="000000" w:themeColor="text1"/>
          <w:highlight w:val="none"/>
        </w:rPr>
        <w:t>条款，我方均表示完全响应招标文件</w:t>
      </w:r>
      <w:r>
        <w:rPr>
          <w:rFonts w:hint="eastAsia" w:ascii="宋体" w:hAnsi="宋体"/>
          <w:b/>
          <w:bCs/>
          <w:color w:val="000000" w:themeColor="text1"/>
          <w:highlight w:val="none"/>
          <w:lang w:val="en-US" w:eastAsia="zh-CN"/>
        </w:rPr>
        <w:t>合同</w:t>
      </w:r>
      <w:r>
        <w:rPr>
          <w:rFonts w:hint="eastAsia" w:ascii="宋体" w:hAnsi="宋体"/>
          <w:b/>
          <w:bCs/>
          <w:color w:val="000000" w:themeColor="text1"/>
          <w:highlight w:val="none"/>
        </w:rPr>
        <w:t>条款的所有要求。</w:t>
      </w:r>
    </w:p>
    <w:p>
      <w:pPr>
        <w:adjustRightInd w:val="0"/>
        <w:snapToGrid w:val="0"/>
        <w:spacing w:line="360" w:lineRule="auto"/>
        <w:rPr>
          <w:rFonts w:hint="eastAsia" w:ascii="宋体" w:hAnsi="宋体"/>
          <w:b/>
          <w:bCs w:val="0"/>
          <w:color w:val="000000" w:themeColor="text1"/>
          <w:highlight w:val="none"/>
          <w:lang w:val="en-US" w:eastAsia="zh-CN"/>
        </w:rPr>
      </w:pPr>
    </w:p>
    <w:p>
      <w:pPr>
        <w:adjustRightInd w:val="0"/>
        <w:snapToGrid w:val="0"/>
        <w:spacing w:line="360" w:lineRule="auto"/>
        <w:rPr>
          <w:rFonts w:hint="default" w:ascii="宋体" w:hAnsi="宋体" w:eastAsia="宋体"/>
          <w:b/>
          <w:bCs w:val="0"/>
          <w:color w:val="000000" w:themeColor="text1"/>
          <w:highlight w:val="none"/>
          <w:lang w:val="en-US" w:eastAsia="zh-CN"/>
        </w:rPr>
      </w:pPr>
      <w:r>
        <w:rPr>
          <w:rFonts w:hint="eastAsia" w:ascii="宋体" w:hAnsi="宋体"/>
          <w:b/>
          <w:bCs w:val="0"/>
          <w:color w:val="000000" w:themeColor="text1"/>
          <w:highlight w:val="none"/>
          <w:lang w:val="en-US" w:eastAsia="zh-CN"/>
        </w:rPr>
        <w:t>投标人投标表示认可合同载明的全部事项，中标人应在中标（成交）通知书发出之日起10日内将签字盖章的合同文本提交采购人。</w:t>
      </w:r>
    </w:p>
    <w:p>
      <w:pPr>
        <w:adjustRightInd w:val="0"/>
        <w:snapToGrid w:val="0"/>
        <w:spacing w:line="360" w:lineRule="auto"/>
        <w:rPr>
          <w:rFonts w:hint="eastAsia"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hint="eastAsia"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hint="eastAsia"/>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spacing w:line="400" w:lineRule="exact"/>
        <w:rPr>
          <w:color w:val="000000" w:themeColor="text1"/>
          <w:highlight w:val="none"/>
        </w:rPr>
      </w:pPr>
      <w:bookmarkStart w:id="1877" w:name="_Toc2578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rFonts w:hAnsi="黑体" w:cs="黑体"/>
          <w:color w:val="000000" w:themeColor="text1"/>
          <w:highlight w:val="none"/>
        </w:rPr>
      </w:pPr>
      <w:bookmarkStart w:id="1878" w:name="_Toc432695229"/>
      <w:bookmarkStart w:id="1879" w:name="_Toc430771089"/>
      <w:bookmarkStart w:id="1880" w:name="_Toc2942"/>
      <w:bookmarkStart w:id="1881" w:name="_Toc432682754"/>
      <w:bookmarkStart w:id="1882" w:name="_Toc343248448"/>
      <w:bookmarkStart w:id="1883" w:name="_Toc339020263"/>
      <w:bookmarkStart w:id="1884" w:name="_Toc340507472"/>
      <w:bookmarkStart w:id="1885" w:name="_Toc336681965"/>
      <w:bookmarkStart w:id="1886" w:name="_Toc331684072"/>
      <w:bookmarkStart w:id="1887" w:name="_Toc343247130"/>
      <w:bookmarkStart w:id="1888" w:name="_Toc332270377"/>
      <w:bookmarkStart w:id="1889" w:name="_Toc333935717"/>
      <w:bookmarkStart w:id="1890" w:name="_Toc339441117"/>
      <w:bookmarkStart w:id="1891" w:name="_Toc342398160"/>
      <w:bookmarkStart w:id="1892" w:name="_Toc350438779"/>
      <w:bookmarkStart w:id="1893" w:name="_Toc102451601"/>
      <w:bookmarkStart w:id="1894" w:name="_Toc330460016"/>
      <w:bookmarkStart w:id="1895" w:name="_Toc339020125"/>
      <w:bookmarkStart w:id="1896" w:name="_Toc342296791"/>
      <w:bookmarkStart w:id="1897" w:name="_Toc339019919"/>
      <w:bookmarkStart w:id="1898" w:name="_Toc341348370"/>
      <w:bookmarkStart w:id="1899" w:name="_Toc339020045"/>
      <w:bookmarkStart w:id="1900" w:name="_Toc350756480"/>
      <w:bookmarkStart w:id="1901" w:name="_Toc340672899"/>
      <w:bookmarkStart w:id="1902" w:name="_Toc365967105"/>
      <w:bookmarkStart w:id="1903" w:name="_Toc342312473"/>
      <w:bookmarkStart w:id="1904" w:name="_Toc332206739"/>
      <w:bookmarkStart w:id="1905" w:name="_Toc331512931"/>
      <w:bookmarkStart w:id="1906" w:name="_Toc345312627"/>
      <w:bookmarkStart w:id="1907" w:name="_Toc333238664"/>
      <w:bookmarkStart w:id="1908" w:name="_Toc337632388"/>
      <w:bookmarkStart w:id="1909" w:name="_Toc333237819"/>
      <w:bookmarkStart w:id="1910" w:name="_Toc342060405"/>
      <w:bookmarkStart w:id="1911" w:name="_Toc343612950"/>
      <w:bookmarkStart w:id="1912" w:name="_Toc336681610"/>
      <w:bookmarkStart w:id="1913" w:name="_Toc333935376"/>
      <w:bookmarkStart w:id="1914" w:name="_Toc339362330"/>
      <w:bookmarkStart w:id="1915" w:name="_Toc333237708"/>
      <w:bookmarkStart w:id="1916" w:name="_Toc340677100"/>
      <w:bookmarkStart w:id="1917" w:name="_Toc365985211"/>
      <w:bookmarkStart w:id="1918" w:name="_Toc366072562"/>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中小企业声明函</w:t>
      </w:r>
      <w:bookmarkEnd w:id="1878"/>
      <w:bookmarkEnd w:id="1879"/>
      <w:bookmarkEnd w:id="1880"/>
      <w:bookmarkEnd w:id="1881"/>
    </w:p>
    <w:p>
      <w:pPr>
        <w:adjustRightInd w:val="0"/>
        <w:snapToGrid w:val="0"/>
        <w:spacing w:line="440" w:lineRule="exact"/>
        <w:rPr>
          <w:rFonts w:hint="eastAsia" w:ascii="宋体" w:hAnsi="宋体"/>
          <w:bCs/>
          <w:color w:val="000000" w:themeColor="text1"/>
          <w:highlight w:val="none"/>
        </w:rPr>
      </w:pPr>
    </w:p>
    <w:p>
      <w:pPr>
        <w:adjustRightInd w:val="0"/>
        <w:snapToGrid w:val="0"/>
        <w:spacing w:line="440" w:lineRule="exact"/>
        <w:ind w:firstLine="420" w:firstLineChars="200"/>
        <w:rPr>
          <w:rFonts w:hint="eastAsia" w:ascii="宋体" w:hAnsi="宋体"/>
          <w:bCs/>
          <w:color w:val="000000" w:themeColor="text1"/>
          <w:highlight w:val="none"/>
          <w:lang w:eastAsia="zh-CN"/>
        </w:rPr>
      </w:pPr>
      <w:r>
        <w:rPr>
          <w:rFonts w:hint="eastAsia" w:ascii="宋体" w:hAnsi="宋体"/>
          <w:bCs/>
          <w:color w:val="000000" w:themeColor="text1"/>
          <w:highlight w:val="none"/>
        </w:rPr>
        <w:t>本公司郑重声明，根据《政府采购促进中小企业发展管理办法》（财库﹝2020﹞46 号）的规定，本公司</w:t>
      </w:r>
      <w:r>
        <w:rPr>
          <w:rFonts w:hint="eastAsia" w:ascii="宋体" w:hAnsi="宋体"/>
          <w:bCs/>
          <w:color w:val="000000" w:themeColor="text1"/>
          <w:highlight w:val="none"/>
          <w:lang w:eastAsia="zh-CN"/>
        </w:rPr>
        <w:t>参加</w:t>
      </w:r>
      <w:r>
        <w:rPr>
          <w:rFonts w:hint="eastAsia" w:ascii="宋体" w:hAnsi="宋体"/>
          <w:bCs/>
          <w:color w:val="000000" w:themeColor="text1"/>
          <w:highlight w:val="none"/>
          <w:u w:val="single"/>
          <w:lang w:eastAsia="zh-CN"/>
        </w:rPr>
        <w:t>（单位名称）</w:t>
      </w:r>
      <w:r>
        <w:rPr>
          <w:rFonts w:hint="eastAsia" w:ascii="宋体" w:hAnsi="宋体"/>
          <w:bCs/>
          <w:color w:val="000000" w:themeColor="text1"/>
          <w:highlight w:val="none"/>
          <w:lang w:eastAsia="zh-CN"/>
        </w:rPr>
        <w:t>的</w:t>
      </w:r>
      <w:r>
        <w:rPr>
          <w:rFonts w:hint="eastAsia" w:ascii="宋体" w:hAnsi="宋体"/>
          <w:bCs/>
          <w:color w:val="000000" w:themeColor="text1"/>
          <w:highlight w:val="none"/>
          <w:u w:val="single"/>
          <w:lang w:eastAsia="zh-CN"/>
        </w:rPr>
        <w:t>（项目名称）</w:t>
      </w:r>
      <w:r>
        <w:rPr>
          <w:rFonts w:hint="eastAsia" w:ascii="宋体" w:hAnsi="宋体"/>
          <w:bCs/>
          <w:color w:val="000000" w:themeColor="text1"/>
          <w:highlight w:val="none"/>
          <w:lang w:eastAsia="zh-CN"/>
        </w:rPr>
        <w:t>采购活动，服务全部由符合政策要求的中小企业承接。相关企业的具体情况如下：</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u w:val="single"/>
          <w:lang w:val="en-US" w:eastAsia="zh-CN"/>
        </w:rPr>
        <w:t>（标的名称）</w:t>
      </w:r>
      <w:r>
        <w:rPr>
          <w:rFonts w:hint="eastAsia" w:ascii="宋体" w:hAnsi="宋体"/>
          <w:bCs/>
          <w:color w:val="000000" w:themeColor="text1"/>
          <w:highlight w:val="none"/>
          <w:lang w:val="en-US" w:eastAsia="zh-CN"/>
        </w:rPr>
        <w:t>，属于</w:t>
      </w:r>
      <w:r>
        <w:rPr>
          <w:rFonts w:hint="eastAsia" w:ascii="宋体" w:hAnsi="宋体"/>
          <w:bCs/>
          <w:color w:val="000000" w:themeColor="text1"/>
          <w:highlight w:val="none"/>
          <w:u w:val="single"/>
          <w:lang w:val="en-US" w:eastAsia="zh-CN"/>
        </w:rPr>
        <w:t>（采购文件中明确的所属行业）</w:t>
      </w:r>
      <w:r>
        <w:rPr>
          <w:rFonts w:hint="eastAsia" w:ascii="宋体" w:hAnsi="宋体"/>
          <w:bCs/>
          <w:color w:val="000000" w:themeColor="text1"/>
          <w:highlight w:val="none"/>
          <w:lang w:val="en-US" w:eastAsia="zh-CN"/>
        </w:rPr>
        <w:t>；承接企业为</w:t>
      </w:r>
      <w:r>
        <w:rPr>
          <w:rFonts w:hint="eastAsia" w:ascii="宋体" w:hAnsi="宋体"/>
          <w:bCs/>
          <w:color w:val="000000" w:themeColor="text1"/>
          <w:highlight w:val="none"/>
          <w:u w:val="single"/>
          <w:lang w:val="en-US" w:eastAsia="zh-CN"/>
        </w:rPr>
        <w:t>（企业名称）</w:t>
      </w:r>
      <w:r>
        <w:rPr>
          <w:rFonts w:hint="eastAsia" w:ascii="宋体" w:hAnsi="宋体"/>
          <w:bCs/>
          <w:color w:val="000000" w:themeColor="text1"/>
          <w:highlight w:val="none"/>
          <w:lang w:val="en-US" w:eastAsia="zh-CN"/>
        </w:rPr>
        <w:t>，从业人员</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人，营业收入为</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万元，资产总额为</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万元，属于</w:t>
      </w:r>
      <w:r>
        <w:rPr>
          <w:rFonts w:hint="eastAsia" w:ascii="宋体" w:hAnsi="宋体"/>
          <w:bCs/>
          <w:color w:val="000000" w:themeColor="text1"/>
          <w:highlight w:val="none"/>
          <w:u w:val="single"/>
          <w:lang w:val="en-US" w:eastAsia="zh-CN"/>
        </w:rPr>
        <w:t>（中型企业、小型企业、微型企业）</w:t>
      </w:r>
      <w:r>
        <w:rPr>
          <w:rFonts w:hint="eastAsia" w:ascii="宋体" w:hAnsi="宋体"/>
          <w:bCs/>
          <w:color w:val="000000" w:themeColor="text1"/>
          <w:highlight w:val="none"/>
          <w:lang w:val="en-US" w:eastAsia="zh-CN"/>
        </w:rPr>
        <w:t>。</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本企业，不属于大企业的分支机构，不存在控股股东为大企业的情形，也不存在与大企业的负责人为同一人的情形。</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本企业对上述声明内容的真实性负责。如有虚假，将依法承担相应责任。</w:t>
      </w:r>
    </w:p>
    <w:p>
      <w:pPr>
        <w:adjustRightInd w:val="0"/>
        <w:snapToGrid w:val="0"/>
        <w:spacing w:line="440" w:lineRule="exact"/>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 xml:space="preserve"> </w:t>
      </w:r>
    </w:p>
    <w:p>
      <w:pPr>
        <w:adjustRightInd w:val="0"/>
        <w:snapToGrid w:val="0"/>
        <w:spacing w:line="440" w:lineRule="exact"/>
        <w:rPr>
          <w:rFonts w:hint="eastAsia" w:ascii="宋体" w:hAnsi="宋体"/>
          <w:bCs/>
          <w:color w:val="000000" w:themeColor="text1"/>
          <w:highlight w:val="none"/>
          <w:lang w:val="en-US" w:eastAsia="zh-CN"/>
        </w:rPr>
      </w:pPr>
    </w:p>
    <w:p>
      <w:pPr>
        <w:adjustRightInd w:val="0"/>
        <w:snapToGrid w:val="0"/>
        <w:spacing w:line="440" w:lineRule="exact"/>
        <w:rPr>
          <w:rFonts w:hint="eastAsia" w:ascii="宋体" w:hAnsi="宋体"/>
          <w:bCs/>
          <w:color w:val="000000" w:themeColor="text1"/>
          <w:highlight w:val="none"/>
        </w:rPr>
      </w:pP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lang w:eastAsia="zh-CN"/>
        </w:rPr>
        <w:t>企业</w:t>
      </w:r>
      <w:r>
        <w:rPr>
          <w:rFonts w:hint="eastAsia" w:ascii="宋体" w:hAnsi="宋体"/>
          <w:bCs/>
          <w:color w:val="000000" w:themeColor="text1"/>
          <w:highlight w:val="none"/>
        </w:rPr>
        <w:t>名称（</w:t>
      </w:r>
      <w:r>
        <w:rPr>
          <w:rFonts w:hint="eastAsia" w:ascii="宋体" w:hAnsi="宋体"/>
          <w:bCs/>
          <w:color w:val="000000" w:themeColor="text1"/>
          <w:highlight w:val="none"/>
          <w:lang w:eastAsia="zh-CN"/>
        </w:rPr>
        <w:t>盖章</w:t>
      </w:r>
      <w:r>
        <w:rPr>
          <w:rFonts w:hint="eastAsia" w:ascii="宋体" w:hAnsi="宋体"/>
          <w:bCs/>
          <w:color w:val="000000" w:themeColor="text1"/>
          <w:highlight w:val="none"/>
        </w:rPr>
        <w:t>）：</w:t>
      </w:r>
    </w:p>
    <w:p>
      <w:pPr>
        <w:adjustRightInd w:val="0"/>
        <w:snapToGrid w:val="0"/>
        <w:spacing w:line="440" w:lineRule="exact"/>
        <w:ind w:firstLine="6300" w:firstLineChars="3000"/>
        <w:rPr>
          <w:rFonts w:hint="eastAsia" w:ascii="宋体" w:hAnsi="宋体"/>
          <w:bCs/>
          <w:color w:val="000000" w:themeColor="text1"/>
          <w:highlight w:val="none"/>
        </w:rPr>
      </w:pPr>
      <w:r>
        <w:rPr>
          <w:rFonts w:hint="eastAsia" w:ascii="宋体" w:hAnsi="宋体"/>
          <w:bCs/>
          <w:color w:val="000000" w:themeColor="text1"/>
          <w:highlight w:val="none"/>
        </w:rPr>
        <w:t>日期：</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说明：从业人员</w:t>
      </w:r>
      <w:r>
        <w:rPr>
          <w:rFonts w:hint="eastAsia" w:ascii="宋体" w:hAnsi="宋体"/>
          <w:bCs/>
          <w:color w:val="000000" w:themeColor="text1"/>
          <w:highlight w:val="none"/>
          <w:lang w:eastAsia="zh-CN"/>
        </w:rPr>
        <w:t>、营业收入、资产总额填报上一年的数据，无上一年的数据的新成立企业可不填报。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p>
      <w:pPr>
        <w:pStyle w:val="4"/>
        <w:numPr>
          <w:ilvl w:val="1"/>
          <w:numId w:val="0"/>
        </w:numPr>
        <w:tabs>
          <w:tab w:val="left" w:pos="851"/>
        </w:tabs>
        <w:spacing w:before="0" w:after="0" w:line="360" w:lineRule="auto"/>
        <w:rPr>
          <w:rFonts w:ascii="宋体" w:eastAsia="宋体"/>
          <w:color w:val="000000" w:themeColor="text1"/>
          <w:szCs w:val="21"/>
          <w:highlight w:val="none"/>
        </w:rPr>
      </w:pPr>
      <w:bookmarkStart w:id="1919" w:name="_Toc32373"/>
      <w:bookmarkStart w:id="1920" w:name="_Toc12680"/>
      <w:bookmarkStart w:id="1921"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9"/>
      <w:bookmarkEnd w:id="1920"/>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22" w:name="_Toc9858"/>
      <w:bookmarkStart w:id="1923" w:name="_Toc432695230"/>
      <w:bookmarkStart w:id="1924" w:name="_Toc21045"/>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22"/>
      <w:bookmarkEnd w:id="1923"/>
      <w:bookmarkEnd w:id="1924"/>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25" w:name="_Toc326065622"/>
      <w:bookmarkStart w:id="1926" w:name="_Toc333935718"/>
      <w:bookmarkStart w:id="1927" w:name="_Toc339020264"/>
      <w:bookmarkStart w:id="1928" w:name="_Toc345312628"/>
      <w:bookmarkStart w:id="1929" w:name="_Toc350756481"/>
      <w:bookmarkStart w:id="1930" w:name="_Toc342296792"/>
      <w:bookmarkStart w:id="1931" w:name="_Toc341348371"/>
      <w:bookmarkStart w:id="1932" w:name="_Toc333237709"/>
      <w:bookmarkStart w:id="1933" w:name="_Toc331512932"/>
      <w:bookmarkStart w:id="1934" w:name="_Toc339441118"/>
      <w:bookmarkStart w:id="1935" w:name="_Toc342060406"/>
      <w:bookmarkStart w:id="1936" w:name="_Toc432695231"/>
      <w:bookmarkStart w:id="1937" w:name="_Toc21185"/>
      <w:bookmarkStart w:id="1938" w:name="_Toc339019920"/>
      <w:bookmarkStart w:id="1939" w:name="_Toc350438780"/>
      <w:bookmarkStart w:id="1940" w:name="_Toc343612951"/>
      <w:bookmarkStart w:id="1941" w:name="_Toc330460017"/>
      <w:bookmarkStart w:id="1942" w:name="_Toc333237820"/>
      <w:bookmarkStart w:id="1943" w:name="_Toc340677101"/>
      <w:bookmarkStart w:id="1944" w:name="_Toc342312474"/>
      <w:bookmarkStart w:id="1945" w:name="_Toc340507473"/>
      <w:bookmarkStart w:id="1946" w:name="_Toc343248449"/>
      <w:bookmarkStart w:id="1947" w:name="_Toc340672900"/>
      <w:bookmarkStart w:id="1948" w:name="_Toc331684073"/>
      <w:bookmarkStart w:id="1949" w:name="_Toc366072563"/>
      <w:bookmarkStart w:id="1950" w:name="_Toc365985212"/>
      <w:bookmarkStart w:id="1951" w:name="_Toc339020126"/>
      <w:bookmarkStart w:id="1952" w:name="_Toc336681611"/>
      <w:bookmarkStart w:id="1953" w:name="_Toc339362331"/>
      <w:bookmarkStart w:id="1954" w:name="_Toc10463"/>
      <w:bookmarkStart w:id="1955" w:name="_Toc332270378"/>
      <w:bookmarkStart w:id="1956" w:name="_Toc332206740"/>
      <w:bookmarkStart w:id="1957" w:name="_Toc337632389"/>
      <w:bookmarkStart w:id="1958" w:name="_Toc342398161"/>
      <w:bookmarkStart w:id="1959" w:name="_Toc333935377"/>
      <w:bookmarkStart w:id="1960" w:name="_Toc336681966"/>
      <w:bookmarkStart w:id="1961" w:name="_Toc333238665"/>
      <w:bookmarkStart w:id="1962" w:name="_Toc343247131"/>
      <w:bookmarkStart w:id="1963" w:name="_Toc339020046"/>
      <w:bookmarkStart w:id="1964" w:name="_Toc36596710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5"/>
      <w:r>
        <w:rPr>
          <w:rFonts w:hint="eastAsia"/>
          <w:color w:val="000000" w:themeColor="text1"/>
          <w:highlight w:val="none"/>
        </w:rPr>
        <w:t>投标人提交的其它商务和技术资料</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rPr>
          <w:color w:val="000000" w:themeColor="text1"/>
          <w:sz w:val="52"/>
          <w:highlight w:val="none"/>
        </w:rPr>
      </w:pPr>
      <w:bookmarkStart w:id="1965" w:name="_Toc456888293"/>
      <w:bookmarkStart w:id="1966" w:name="_Toc6294"/>
      <w:bookmarkStart w:id="1967" w:name="_Toc456887842"/>
      <w:r>
        <w:rPr>
          <w:rFonts w:hint="eastAsia"/>
          <w:color w:val="000000" w:themeColor="text1"/>
          <w:sz w:val="52"/>
          <w:highlight w:val="none"/>
        </w:rPr>
        <w:t>其 他 格 式</w:t>
      </w:r>
      <w:bookmarkEnd w:id="1921"/>
      <w:bookmarkEnd w:id="1965"/>
      <w:bookmarkEnd w:id="1966"/>
      <w:bookmarkEnd w:id="1967"/>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2"/>
          <w:numId w:val="0"/>
        </w:numPr>
        <w:spacing w:afterLines="50"/>
        <w:jc w:val="center"/>
        <w:rPr>
          <w:rFonts w:ascii="宋体" w:hAnsi="宋体" w:eastAsia="宋体"/>
          <w:b/>
          <w:color w:val="000000" w:themeColor="text1"/>
          <w:sz w:val="28"/>
          <w:highlight w:val="none"/>
        </w:rPr>
      </w:pPr>
      <w:bookmarkStart w:id="1968" w:name="_Toc456887843"/>
      <w:bookmarkStart w:id="1969" w:name="_Toc25371"/>
      <w:bookmarkStart w:id="1970" w:name="_Toc456888294"/>
      <w:r>
        <w:rPr>
          <w:rFonts w:hint="eastAsia" w:ascii="宋体" w:hAnsi="宋体" w:eastAsia="宋体"/>
          <w:b/>
          <w:color w:val="000000" w:themeColor="text1"/>
          <w:sz w:val="28"/>
          <w:highlight w:val="none"/>
        </w:rPr>
        <w:t>投标保证金退付书</w:t>
      </w:r>
      <w:bookmarkEnd w:id="1968"/>
      <w:bookmarkEnd w:id="1969"/>
      <w:bookmarkEnd w:id="1970"/>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项目名称</w:t>
            </w:r>
          </w:p>
        </w:tc>
        <w:tc>
          <w:tcPr>
            <w:tcW w:w="6095" w:type="dxa"/>
            <w:gridSpan w:val="3"/>
            <w:vAlign w:val="top"/>
          </w:tcPr>
          <w:p>
            <w:pPr>
              <w:ind w:right="206" w:rightChars="98"/>
              <w:rPr>
                <w:rStyle w:val="307"/>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项目编号</w:t>
            </w:r>
          </w:p>
        </w:tc>
        <w:tc>
          <w:tcPr>
            <w:tcW w:w="6095" w:type="dxa"/>
            <w:gridSpan w:val="3"/>
            <w:vAlign w:val="top"/>
          </w:tcPr>
          <w:p>
            <w:pPr>
              <w:ind w:right="206" w:rightChars="98"/>
              <w:rPr>
                <w:rStyle w:val="307"/>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w:t>
            </w:r>
          </w:p>
        </w:tc>
        <w:tc>
          <w:tcPr>
            <w:tcW w:w="2836" w:type="dxa"/>
            <w:vAlign w:val="top"/>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收款单位名称</w:t>
            </w:r>
          </w:p>
        </w:tc>
        <w:tc>
          <w:tcPr>
            <w:tcW w:w="6095" w:type="dxa"/>
            <w:gridSpan w:val="3"/>
            <w:vAlign w:val="top"/>
          </w:tcPr>
          <w:p>
            <w:pPr>
              <w:ind w:right="206" w:rightChars="98"/>
              <w:jc w:val="center"/>
              <w:rPr>
                <w:rStyle w:val="307"/>
                <w:color w:val="000000" w:themeColor="text1"/>
                <w:spacing w:val="10"/>
                <w:sz w:val="21"/>
                <w:szCs w:val="21"/>
                <w:highlight w:val="none"/>
                <w:u w:val="single"/>
                <w:lang w:val="zh-CN"/>
              </w:rPr>
            </w:pPr>
            <w:r>
              <w:rPr>
                <w:rStyle w:val="307"/>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top"/>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收款单位地址</w:t>
            </w:r>
          </w:p>
        </w:tc>
        <w:tc>
          <w:tcPr>
            <w:tcW w:w="6095" w:type="dxa"/>
            <w:gridSpan w:val="3"/>
            <w:vAlign w:val="top"/>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开户银行</w:t>
            </w:r>
            <w:r>
              <w:rPr>
                <w:rStyle w:val="307"/>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银行账号</w:t>
            </w:r>
          </w:p>
        </w:tc>
        <w:tc>
          <w:tcPr>
            <w:tcW w:w="6095" w:type="dxa"/>
            <w:gridSpan w:val="3"/>
            <w:vAlign w:val="top"/>
          </w:tcPr>
          <w:p>
            <w:pPr>
              <w:ind w:right="206" w:rightChars="98"/>
              <w:jc w:val="center"/>
              <w:rPr>
                <w:rStyle w:val="307"/>
                <w:color w:val="000000" w:themeColor="text1"/>
                <w:spacing w:val="10"/>
                <w:sz w:val="21"/>
                <w:szCs w:val="21"/>
                <w:highlight w:val="none"/>
                <w:u w:val="single"/>
                <w:lang w:val="zh-CN"/>
              </w:rPr>
            </w:pPr>
            <w:r>
              <w:rPr>
                <w:rStyle w:val="307"/>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7"/>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Merge w:val="restart"/>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7"/>
                <w:color w:val="000000" w:themeColor="text1"/>
                <w:spacing w:val="10"/>
                <w:sz w:val="21"/>
                <w:szCs w:val="21"/>
                <w:highlight w:val="none"/>
                <w:lang w:val="zh-CN"/>
              </w:rPr>
            </w:pPr>
          </w:p>
        </w:tc>
        <w:tc>
          <w:tcPr>
            <w:tcW w:w="1481" w:type="dxa"/>
            <w:vAlign w:val="center"/>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联系电话</w:t>
            </w:r>
          </w:p>
        </w:tc>
        <w:tc>
          <w:tcPr>
            <w:tcW w:w="3116" w:type="dxa"/>
            <w:vAlign w:val="center"/>
          </w:tcPr>
          <w:p>
            <w:pPr>
              <w:ind w:right="206" w:rightChars="98"/>
              <w:rPr>
                <w:rStyle w:val="307"/>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Merge w:val="continue"/>
            <w:vAlign w:val="top"/>
          </w:tcPr>
          <w:p>
            <w:pPr>
              <w:ind w:right="206" w:rightChars="98"/>
              <w:jc w:val="center"/>
              <w:rPr>
                <w:rStyle w:val="307"/>
                <w:b/>
                <w:color w:val="000000" w:themeColor="text1"/>
                <w:spacing w:val="10"/>
                <w:sz w:val="21"/>
                <w:szCs w:val="21"/>
                <w:highlight w:val="none"/>
                <w:lang w:val="zh-CN"/>
              </w:rPr>
            </w:pPr>
          </w:p>
        </w:tc>
        <w:tc>
          <w:tcPr>
            <w:tcW w:w="1498" w:type="dxa"/>
            <w:vMerge w:val="continue"/>
            <w:vAlign w:val="center"/>
          </w:tcPr>
          <w:p>
            <w:pPr>
              <w:ind w:right="206" w:rightChars="98"/>
              <w:rPr>
                <w:rStyle w:val="307"/>
                <w:color w:val="000000" w:themeColor="text1"/>
                <w:spacing w:val="10"/>
                <w:sz w:val="21"/>
                <w:szCs w:val="21"/>
                <w:highlight w:val="none"/>
                <w:lang w:val="zh-CN"/>
              </w:rPr>
            </w:pPr>
          </w:p>
        </w:tc>
        <w:tc>
          <w:tcPr>
            <w:tcW w:w="1481" w:type="dxa"/>
            <w:vAlign w:val="center"/>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传真</w:t>
            </w:r>
          </w:p>
        </w:tc>
        <w:tc>
          <w:tcPr>
            <w:tcW w:w="3116" w:type="dxa"/>
            <w:vAlign w:val="center"/>
          </w:tcPr>
          <w:p>
            <w:pPr>
              <w:ind w:right="206" w:rightChars="98"/>
              <w:rPr>
                <w:rStyle w:val="307"/>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ì.">
    <w:altName w:val="宋体"/>
    <w:panose1 w:val="00000000000000000000"/>
    <w:charset w:val="86"/>
    <w:family w:val="auto"/>
    <w:pitch w:val="default"/>
    <w:sig w:usb0="00000000" w:usb1="00000000" w:usb2="00000000"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OMBFXO+Univers-Light">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Futura-Heavy">
    <w:altName w:val="Courier New"/>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20"/>
      <w:lvlText w:val="%1. "/>
      <w:lvlJc w:val="left"/>
      <w:pPr>
        <w:tabs>
          <w:tab w:val="left" w:pos="981"/>
        </w:tabs>
        <w:ind w:left="981" w:hanging="419"/>
      </w:pPr>
    </w:lvl>
    <w:lvl w:ilvl="1" w:tentative="0">
      <w:start w:val="1"/>
      <w:numFmt w:val="upperLetter"/>
      <w:pStyle w:val="209"/>
      <w:lvlText w:val="%2. "/>
      <w:lvlJc w:val="left"/>
      <w:pPr>
        <w:tabs>
          <w:tab w:val="left" w:pos="1191"/>
        </w:tabs>
        <w:ind w:left="1191" w:hanging="420"/>
      </w:pPr>
    </w:lvl>
    <w:lvl w:ilvl="2" w:tentative="0">
      <w:start w:val="1"/>
      <w:numFmt w:val="lowerLetter"/>
      <w:pStyle w:val="218"/>
      <w:lvlText w:val="%3. "/>
      <w:lvlJc w:val="left"/>
      <w:pPr>
        <w:tabs>
          <w:tab w:val="left" w:pos="1401"/>
        </w:tabs>
        <w:ind w:left="1401" w:hanging="420"/>
      </w:pPr>
    </w:lvl>
    <w:lvl w:ilvl="3" w:tentative="0">
      <w:start w:val="1"/>
      <w:numFmt w:val="lowerLetter"/>
      <w:pStyle w:val="7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1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8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19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13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17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pStyle w:val="200"/>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217"/>
      <w:suff w:val="space"/>
      <w:lvlText w:val="%1.%2.%3.%4"/>
      <w:lvlJc w:val="left"/>
      <w:pPr>
        <w:tabs>
          <w:tab w:val="left" w:pos="1984"/>
        </w:tabs>
        <w:ind w:left="0" w:firstLine="0"/>
      </w:pPr>
    </w:lvl>
    <w:lvl w:ilvl="4" w:tentative="0">
      <w:start w:val="1"/>
      <w:numFmt w:val="decimal"/>
      <w:pStyle w:val="213"/>
      <w:suff w:val="space"/>
      <w:lvlText w:val="%1.%2.%3.%4.%5"/>
      <w:lvlJc w:val="left"/>
      <w:pPr>
        <w:tabs>
          <w:tab w:val="left" w:pos="2551"/>
        </w:tabs>
        <w:ind w:left="0" w:firstLine="0"/>
      </w:pPr>
    </w:lvl>
    <w:lvl w:ilvl="5" w:tentative="0">
      <w:start w:val="1"/>
      <w:numFmt w:val="decimal"/>
      <w:pStyle w:val="11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20"/>
      <w:lvlText w:val="%1)"/>
      <w:lvlJc w:val="left"/>
      <w:pPr>
        <w:tabs>
          <w:tab w:val="left" w:pos="420"/>
        </w:tabs>
        <w:ind w:left="420" w:hanging="420"/>
      </w:pPr>
    </w:lvl>
    <w:lvl w:ilvl="1" w:tentative="0">
      <w:start w:val="1"/>
      <w:numFmt w:val="lowerLetter"/>
      <w:pStyle w:val="62"/>
      <w:lvlText w:val="%2)"/>
      <w:lvlJc w:val="left"/>
      <w:pPr>
        <w:tabs>
          <w:tab w:val="left" w:pos="840"/>
        </w:tabs>
        <w:ind w:left="840" w:hanging="420"/>
      </w:pPr>
    </w:lvl>
    <w:lvl w:ilvl="2" w:tentative="0">
      <w:start w:val="1"/>
      <w:numFmt w:val="lowerRoman"/>
      <w:pStyle w:val="61"/>
      <w:lvlText w:val="%3."/>
      <w:lvlJc w:val="right"/>
      <w:pPr>
        <w:tabs>
          <w:tab w:val="left" w:pos="1260"/>
        </w:tabs>
        <w:ind w:left="1260" w:hanging="420"/>
      </w:pPr>
    </w:lvl>
    <w:lvl w:ilvl="3" w:tentative="0">
      <w:start w:val="1"/>
      <w:numFmt w:val="decimal"/>
      <w:pStyle w:val="10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18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1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17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15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63"/>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E2Zjc5NzZhNWNmMDhhN2NiYjQ5NjNiNzUyYWQ2ZTQifQ=="/>
  </w:docVars>
  <w:rsids>
    <w:rsidRoot w:val="00000000"/>
    <w:rsid w:val="05BE78F1"/>
    <w:rsid w:val="0CEA6406"/>
    <w:rsid w:val="0EC653E5"/>
    <w:rsid w:val="132300DE"/>
    <w:rsid w:val="19D1526D"/>
    <w:rsid w:val="1ABC699E"/>
    <w:rsid w:val="2115669B"/>
    <w:rsid w:val="27A110F5"/>
    <w:rsid w:val="2F210CB4"/>
    <w:rsid w:val="3043588E"/>
    <w:rsid w:val="358F6BDA"/>
    <w:rsid w:val="359A5C54"/>
    <w:rsid w:val="4EC94BD0"/>
    <w:rsid w:val="55C23E61"/>
    <w:rsid w:val="5D1C02FB"/>
    <w:rsid w:val="5DE33DE0"/>
    <w:rsid w:val="60047A60"/>
    <w:rsid w:val="60B67442"/>
    <w:rsid w:val="618B5A4F"/>
    <w:rsid w:val="627D58C5"/>
    <w:rsid w:val="6DB60126"/>
    <w:rsid w:val="6F7044D6"/>
    <w:rsid w:val="726F5390"/>
    <w:rsid w:val="739B51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272"/>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287"/>
    <w:qFormat/>
    <w:uiPriority w:val="0"/>
    <w:pPr>
      <w:keepNext/>
      <w:keepLines/>
      <w:widowControl/>
      <w:numPr>
        <w:ilvl w:val="2"/>
        <w:numId w:val="1"/>
      </w:numPr>
      <w:tabs>
        <w:tab w:val="left" w:pos="753"/>
        <w:tab w:val="left" w:pos="1440"/>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26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276"/>
    <w:qFormat/>
    <w:uiPriority w:val="0"/>
    <w:pPr>
      <w:keepNext/>
      <w:keepLines/>
      <w:spacing w:before="280" w:after="290" w:line="376" w:lineRule="auto"/>
      <w:outlineLvl w:val="4"/>
    </w:pPr>
    <w:rPr>
      <w:b/>
      <w:sz w:val="28"/>
      <w:szCs w:val="20"/>
    </w:rPr>
  </w:style>
  <w:style w:type="paragraph" w:styleId="9">
    <w:name w:val="heading 6"/>
    <w:basedOn w:val="1"/>
    <w:next w:val="5"/>
    <w:link w:val="26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280"/>
    <w:qFormat/>
    <w:uiPriority w:val="0"/>
    <w:pPr>
      <w:keepNext/>
      <w:keepLines/>
      <w:spacing w:before="240" w:after="64" w:line="320" w:lineRule="auto"/>
      <w:outlineLvl w:val="6"/>
    </w:pPr>
    <w:rPr>
      <w:b/>
      <w:sz w:val="24"/>
      <w:szCs w:val="20"/>
    </w:rPr>
  </w:style>
  <w:style w:type="paragraph" w:styleId="11">
    <w:name w:val="heading 8"/>
    <w:basedOn w:val="1"/>
    <w:next w:val="5"/>
    <w:link w:val="26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261"/>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8"/>
    <w:qFormat/>
    <w:uiPriority w:val="0"/>
    <w:pPr>
      <w:spacing w:after="120"/>
    </w:pPr>
  </w:style>
  <w:style w:type="paragraph" w:styleId="5">
    <w:name w:val="Normal Indent"/>
    <w:basedOn w:val="1"/>
    <w:link w:val="28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297"/>
    <w:qFormat/>
    <w:uiPriority w:val="0"/>
    <w:pPr>
      <w:spacing w:line="360" w:lineRule="auto"/>
      <w:jc w:val="left"/>
    </w:pPr>
    <w:rPr>
      <w:sz w:val="24"/>
    </w:rPr>
  </w:style>
  <w:style w:type="paragraph" w:styleId="18">
    <w:name w:val="Body Text Indent"/>
    <w:basedOn w:val="1"/>
    <w:link w:val="289"/>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295"/>
    <w:qFormat/>
    <w:uiPriority w:val="0"/>
    <w:pPr>
      <w:numPr>
        <w:ilvl w:val="0"/>
        <w:numId w:val="3"/>
      </w:numPr>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24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237"/>
    <w:qFormat/>
    <w:uiPriority w:val="0"/>
    <w:pPr>
      <w:numPr>
        <w:ilvl w:val="0"/>
        <w:numId w:val="4"/>
      </w:numPr>
      <w:ind w:left="100" w:leftChars="2500"/>
    </w:pPr>
  </w:style>
  <w:style w:type="paragraph" w:styleId="26">
    <w:name w:val="Body Text Indent 2"/>
    <w:basedOn w:val="1"/>
    <w:link w:val="243"/>
    <w:qFormat/>
    <w:uiPriority w:val="0"/>
    <w:pPr>
      <w:spacing w:line="480" w:lineRule="exact"/>
      <w:ind w:left="810" w:firstLine="675"/>
    </w:pPr>
    <w:rPr>
      <w:rFonts w:eastAsia="仿宋_GB2312"/>
      <w:sz w:val="30"/>
      <w:szCs w:val="20"/>
    </w:rPr>
  </w:style>
  <w:style w:type="paragraph" w:styleId="27">
    <w:name w:val="Balloon Text"/>
    <w:basedOn w:val="1"/>
    <w:link w:val="257"/>
    <w:qFormat/>
    <w:uiPriority w:val="0"/>
    <w:rPr>
      <w:sz w:val="18"/>
      <w:szCs w:val="18"/>
    </w:rPr>
  </w:style>
  <w:style w:type="paragraph" w:styleId="28">
    <w:name w:val="footer"/>
    <w:basedOn w:val="1"/>
    <w:link w:val="298"/>
    <w:qFormat/>
    <w:uiPriority w:val="0"/>
    <w:pPr>
      <w:tabs>
        <w:tab w:val="center" w:pos="4153"/>
        <w:tab w:val="right" w:pos="8306"/>
      </w:tabs>
      <w:snapToGrid w:val="0"/>
      <w:jc w:val="left"/>
    </w:pPr>
    <w:rPr>
      <w:sz w:val="18"/>
      <w:szCs w:val="20"/>
    </w:rPr>
  </w:style>
  <w:style w:type="paragraph" w:styleId="29">
    <w:name w:val="header"/>
    <w:basedOn w:val="1"/>
    <w:link w:val="290"/>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244"/>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271"/>
    <w:qFormat/>
    <w:uiPriority w:val="0"/>
    <w:pPr>
      <w:spacing w:line="360" w:lineRule="auto"/>
    </w:pPr>
    <w:rPr>
      <w:rFonts w:ascii="仿宋_GB2312" w:eastAsia="仿宋_GB2312"/>
      <w:sz w:val="32"/>
    </w:rPr>
  </w:style>
  <w:style w:type="paragraph" w:styleId="40">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291"/>
    <w:qFormat/>
    <w:uiPriority w:val="0"/>
    <w:pPr>
      <w:spacing w:before="240" w:after="60"/>
      <w:jc w:val="center"/>
      <w:outlineLvl w:val="0"/>
    </w:pPr>
    <w:rPr>
      <w:rFonts w:ascii="Cambria" w:hAnsi="Cambria"/>
      <w:b/>
      <w:bCs/>
      <w:sz w:val="32"/>
      <w:szCs w:val="32"/>
    </w:rPr>
  </w:style>
  <w:style w:type="paragraph" w:styleId="44">
    <w:name w:val="Body Text First Indent"/>
    <w:basedOn w:val="2"/>
    <w:link w:val="299"/>
    <w:qFormat/>
    <w:uiPriority w:val="0"/>
    <w:pPr>
      <w:ind w:firstLine="100" w:firstLineChars="100"/>
    </w:pPr>
    <w:rPr>
      <w:rFonts w:ascii="Calibri" w:hAnsi="Calibri"/>
      <w:szCs w:val="22"/>
    </w:rPr>
  </w:style>
  <w:style w:type="paragraph" w:styleId="45">
    <w:name w:val="Body Text First Indent 2"/>
    <w:basedOn w:val="18"/>
    <w:link w:val="234"/>
    <w:qFormat/>
    <w:uiPriority w:val="0"/>
    <w:pPr>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表格文字"/>
    <w:basedOn w:val="1"/>
    <w:qFormat/>
    <w:uiPriority w:val="0"/>
    <w:pPr>
      <w:numPr>
        <w:ilvl w:val="0"/>
        <w:numId w:val="5"/>
      </w:numPr>
      <w:ind w:left="0" w:firstLine="0"/>
      <w:jc w:val="left"/>
    </w:pPr>
    <w:rPr>
      <w:rFonts w:ascii="Arial" w:hAnsi="Arial" w:eastAsia="仿宋_GB2312" w:cs="Arial"/>
      <w:sz w:val="18"/>
      <w:szCs w:val="18"/>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5">
    <w:name w:val="文档正文"/>
    <w:link w:val="23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paragraph" w:customStyle="1" w:styleId="56">
    <w:name w:val="样式 样式 宋体 小四 行距: 1.5 倍行距 + ˎ̥ 黑色"/>
    <w:basedOn w:val="45"/>
    <w:link w:val="241"/>
    <w:qFormat/>
    <w:uiPriority w:val="0"/>
  </w:style>
  <w:style w:type="paragraph" w:customStyle="1" w:styleId="57">
    <w:name w:val="正文（缩进）"/>
    <w:basedOn w:val="1"/>
    <w:link w:val="256"/>
    <w:qFormat/>
    <w:uiPriority w:val="0"/>
    <w:pPr>
      <w:spacing w:beforeLines="50" w:afterLines="50" w:line="360" w:lineRule="auto"/>
      <w:ind w:firstLine="480" w:firstLineChars="200"/>
    </w:pPr>
    <w:rPr>
      <w:sz w:val="24"/>
    </w:rPr>
  </w:style>
  <w:style w:type="paragraph" w:customStyle="1" w:styleId="58">
    <w:name w:val="类目1"/>
    <w:basedOn w:val="1"/>
    <w:link w:val="270"/>
    <w:qFormat/>
    <w:uiPriority w:val="0"/>
    <w:pPr>
      <w:adjustRightInd w:val="0"/>
      <w:snapToGrid w:val="0"/>
      <w:spacing w:line="220" w:lineRule="atLeast"/>
    </w:pPr>
    <w:rPr>
      <w:b/>
      <w:color w:val="17365D"/>
      <w:sz w:val="28"/>
      <w:szCs w:val="28"/>
    </w:rPr>
  </w:style>
  <w:style w:type="paragraph" w:customStyle="1" w:styleId="59">
    <w:name w:val="Normal Indent1"/>
    <w:basedOn w:val="1"/>
    <w:link w:val="278"/>
    <w:qFormat/>
    <w:uiPriority w:val="0"/>
    <w:pPr>
      <w:autoSpaceDE w:val="0"/>
      <w:autoSpaceDN w:val="0"/>
      <w:adjustRightInd w:val="0"/>
      <w:ind w:firstLine="420"/>
      <w:jc w:val="left"/>
      <w:textAlignment w:val="baseline"/>
    </w:pPr>
    <w:rPr>
      <w:rFonts w:ascii="宋体"/>
      <w:kern w:val="0"/>
      <w:sz w:val="34"/>
      <w:szCs w:val="20"/>
    </w:rPr>
  </w:style>
  <w:style w:type="paragraph" w:customStyle="1" w:styleId="60">
    <w:name w:val="样式5"/>
    <w:basedOn w:val="1"/>
    <w:link w:val="283"/>
    <w:qFormat/>
    <w:uiPriority w:val="0"/>
    <w:pPr>
      <w:spacing w:line="400" w:lineRule="exact"/>
      <w:ind w:left="482"/>
    </w:pPr>
    <w:rPr>
      <w:rFonts w:ascii="宋体" w:hAnsi="宋体" w:cs="Arial"/>
      <w:b/>
      <w:sz w:val="24"/>
    </w:rPr>
  </w:style>
  <w:style w:type="paragraph" w:customStyle="1" w:styleId="61">
    <w:name w:val="书籍标题3"/>
    <w:basedOn w:val="62"/>
    <w:link w:val="288"/>
    <w:qFormat/>
    <w:uiPriority w:val="0"/>
    <w:pPr>
      <w:numPr>
        <w:ilvl w:val="2"/>
        <w:numId w:val="6"/>
      </w:numPr>
      <w:tabs>
        <w:tab w:val="left" w:pos="420"/>
        <w:tab w:val="left" w:pos="840"/>
      </w:tabs>
      <w:outlineLvl w:val="2"/>
    </w:pPr>
    <w:rPr>
      <w:rFonts w:cs="Times New Roman"/>
      <w:sz w:val="28"/>
      <w:szCs w:val="28"/>
    </w:rPr>
  </w:style>
  <w:style w:type="paragraph" w:customStyle="1" w:styleId="62">
    <w:name w:val="书籍标题2"/>
    <w:basedOn w:val="1"/>
    <w:qFormat/>
    <w:uiPriority w:val="0"/>
    <w:pPr>
      <w:numPr>
        <w:ilvl w:val="1"/>
        <w:numId w:val="6"/>
      </w:numPr>
      <w:tabs>
        <w:tab w:val="left" w:pos="420"/>
      </w:tabs>
      <w:spacing w:beforeLines="100" w:afterLines="100"/>
      <w:jc w:val="left"/>
      <w:outlineLvl w:val="1"/>
    </w:pPr>
    <w:rPr>
      <w:rFonts w:cs="宋体"/>
      <w:b/>
      <w:bCs/>
      <w:spacing w:val="20"/>
      <w:sz w:val="32"/>
      <w:szCs w:val="20"/>
    </w:rPr>
  </w:style>
  <w:style w:type="paragraph" w:customStyle="1" w:styleId="63">
    <w:name w:val="细目1"/>
    <w:basedOn w:val="1"/>
    <w:link w:val="303"/>
    <w:qFormat/>
    <w:uiPriority w:val="0"/>
    <w:pPr>
      <w:numPr>
        <w:ilvl w:val="0"/>
        <w:numId w:val="7"/>
      </w:numPr>
      <w:tabs>
        <w:tab w:val="left" w:pos="1200"/>
        <w:tab w:val="clear" w:pos="1260"/>
      </w:tabs>
      <w:adjustRightInd w:val="0"/>
      <w:snapToGrid w:val="0"/>
      <w:spacing w:line="220" w:lineRule="atLeast"/>
    </w:pPr>
    <w:rPr>
      <w:b/>
      <w:color w:val="215868"/>
      <w:sz w:val="24"/>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7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71">
    <w:name w:val="TOC 标题1"/>
    <w:basedOn w:val="3"/>
    <w:next w:val="1"/>
    <w:qFormat/>
    <w:uiPriority w:val="0"/>
    <w:pPr>
      <w:widowControl/>
      <w:numPr>
        <w:ilvl w:val="0"/>
        <w:numId w:val="0"/>
      </w:numPr>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72">
    <w:name w:val="默认段落字体 Para Char Char Char Char Char Char Char Char Char Char"/>
    <w:basedOn w:val="1"/>
    <w:qFormat/>
    <w:uiPriority w:val="0"/>
    <w:rPr>
      <w:rFonts w:ascii="Tahoma" w:hAnsi="Tahoma"/>
      <w:sz w:val="24"/>
      <w:szCs w:val="20"/>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字元 字元"/>
    <w:basedOn w:val="1"/>
    <w:qFormat/>
    <w:uiPriority w:val="0"/>
    <w:pPr>
      <w:spacing w:line="360" w:lineRule="auto"/>
      <w:ind w:firstLine="200" w:firstLineChars="200"/>
    </w:pPr>
    <w:rPr>
      <w:rFonts w:ascii="宋体" w:hAnsi="宋体" w:cs="宋体"/>
      <w:sz w:val="24"/>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
    <w:name w:val="正文序号 4"/>
    <w:basedOn w:val="1"/>
    <w:qFormat/>
    <w:uiPriority w:val="0"/>
    <w:pPr>
      <w:numPr>
        <w:ilvl w:val="3"/>
        <w:numId w:val="8"/>
      </w:numPr>
      <w:tabs>
        <w:tab w:val="left" w:pos="981"/>
        <w:tab w:val="left" w:pos="1469"/>
      </w:tabs>
      <w:spacing w:before="60"/>
    </w:p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0">
    <w:name w:val="Char3"/>
    <w:basedOn w:val="1"/>
    <w:qFormat/>
    <w:uiPriority w:val="0"/>
  </w:style>
  <w:style w:type="paragraph" w:customStyle="1" w:styleId="8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Char28"/>
    <w:basedOn w:val="1"/>
    <w:qFormat/>
    <w:uiPriority w:val="0"/>
    <w:pPr>
      <w:adjustRightInd w:val="0"/>
      <w:spacing w:line="360" w:lineRule="auto"/>
    </w:pPr>
  </w:style>
  <w:style w:type="paragraph" w:customStyle="1" w:styleId="84">
    <w:name w:val="pa-14"/>
    <w:basedOn w:val="1"/>
    <w:qFormat/>
    <w:uiPriority w:val="0"/>
    <w:pPr>
      <w:widowControl/>
      <w:spacing w:before="150" w:after="150"/>
      <w:jc w:val="left"/>
    </w:pPr>
    <w:rPr>
      <w:rFonts w:ascii="宋体" w:hAnsi="宋体" w:cs="宋体"/>
      <w:kern w:val="0"/>
      <w:sz w:val="24"/>
    </w:rPr>
  </w:style>
  <w:style w:type="paragraph" w:customStyle="1" w:styleId="8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Item List in Table"/>
    <w:basedOn w:val="1"/>
    <w:qFormat/>
    <w:uiPriority w:val="0"/>
    <w:pPr>
      <w:numPr>
        <w:ilvl w:val="0"/>
        <w:numId w:val="9"/>
      </w:numPr>
      <w:jc w:val="left"/>
    </w:pPr>
  </w:style>
  <w:style w:type="paragraph" w:customStyle="1" w:styleId="8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8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91">
    <w:name w:val="默认段落字体 Para Char"/>
    <w:basedOn w:val="1"/>
    <w:qFormat/>
    <w:uiPriority w:val="0"/>
    <w:rPr>
      <w:rFonts w:ascii="Tahoma" w:hAnsi="Tahoma"/>
      <w:sz w:val="24"/>
      <w:szCs w:val="20"/>
    </w:rPr>
  </w:style>
  <w:style w:type="paragraph" w:customStyle="1" w:styleId="9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9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样式 正文缩进 + 首行缩进:  2 字符"/>
    <w:basedOn w:val="5"/>
    <w:qFormat/>
    <w:uiPriority w:val="0"/>
    <w:pPr>
      <w:adjustRightInd/>
      <w:spacing w:line="360" w:lineRule="auto"/>
      <w:ind w:firstLine="480" w:firstLineChars="200"/>
      <w:jc w:val="both"/>
      <w:textAlignment w:val="auto"/>
    </w:pPr>
    <w:rPr>
      <w:rFonts w:ascii="Times New Roman"/>
      <w:kern w:val="2"/>
      <w:sz w:val="24"/>
      <w:szCs w:val="24"/>
    </w:rPr>
  </w:style>
  <w:style w:type="paragraph" w:customStyle="1" w:styleId="9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p0"/>
    <w:basedOn w:val="1"/>
    <w:qFormat/>
    <w:uiPriority w:val="0"/>
    <w:pPr>
      <w:widowControl/>
    </w:pPr>
    <w:rPr>
      <w:kern w:val="0"/>
      <w:szCs w:val="21"/>
    </w:rPr>
  </w:style>
  <w:style w:type="paragraph" w:customStyle="1" w:styleId="9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0">
    <w:name w:val="默认段落字体 Para Char Char Char1 Char"/>
    <w:basedOn w:val="45"/>
    <w:qFormat/>
    <w:uiPriority w:val="0"/>
  </w:style>
  <w:style w:type="paragraph" w:customStyle="1" w:styleId="101">
    <w:name w:val="Char1"/>
    <w:basedOn w:val="1"/>
    <w:qFormat/>
    <w:uiPriority w:val="0"/>
    <w:pPr>
      <w:widowControl/>
      <w:spacing w:line="400" w:lineRule="exact"/>
      <w:jc w:val="center"/>
    </w:pPr>
    <w:rPr>
      <w:rFonts w:ascii="Verdana" w:hAnsi="Verdana"/>
      <w:kern w:val="0"/>
      <w:szCs w:val="20"/>
      <w:lang w:eastAsia="en-US"/>
    </w:rPr>
  </w:style>
  <w:style w:type="paragraph" w:customStyle="1" w:styleId="10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0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
    <w:name w:val="列出段落1"/>
    <w:basedOn w:val="1"/>
    <w:qFormat/>
    <w:uiPriority w:val="0"/>
    <w:pPr>
      <w:ind w:firstLine="200" w:firstLineChars="200"/>
    </w:pPr>
    <w:rPr>
      <w:rFonts w:ascii="Calibri" w:hAnsi="Calibri"/>
      <w:szCs w:val="22"/>
    </w:rPr>
  </w:style>
  <w:style w:type="paragraph" w:customStyle="1" w:styleId="107">
    <w:name w:val="缺省文本"/>
    <w:basedOn w:val="1"/>
    <w:qFormat/>
    <w:uiPriority w:val="0"/>
    <w:pPr>
      <w:autoSpaceDE w:val="0"/>
      <w:autoSpaceDN w:val="0"/>
      <w:adjustRightInd w:val="0"/>
      <w:jc w:val="left"/>
    </w:pPr>
    <w:rPr>
      <w:kern w:val="0"/>
      <w:sz w:val="24"/>
    </w:rPr>
  </w:style>
  <w:style w:type="paragraph" w:customStyle="1" w:styleId="108">
    <w:name w:val="Char Char Char Char Char Char Char Char Char"/>
    <w:basedOn w:val="1"/>
    <w:qFormat/>
    <w:uiPriority w:val="0"/>
    <w:rPr>
      <w:sz w:val="28"/>
    </w:rPr>
  </w:style>
  <w:style w:type="paragraph" w:customStyle="1" w:styleId="109">
    <w:name w:val="书籍标题4"/>
    <w:basedOn w:val="61"/>
    <w:next w:val="1"/>
    <w:qFormat/>
    <w:uiPriority w:val="0"/>
    <w:pPr>
      <w:numPr>
        <w:ilvl w:val="3"/>
        <w:numId w:val="6"/>
      </w:numPr>
      <w:tabs>
        <w:tab w:val="left" w:pos="2160"/>
        <w:tab w:val="clear" w:pos="840"/>
        <w:tab w:val="clear" w:pos="1260"/>
      </w:tabs>
      <w:ind w:left="2160"/>
      <w:outlineLvl w:val="3"/>
    </w:pPr>
    <w:rPr>
      <w:sz w:val="24"/>
      <w:szCs w:val="24"/>
      <w:lang w:val="zh-CN"/>
    </w:rPr>
  </w:style>
  <w:style w:type="paragraph" w:customStyle="1" w:styleId="1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1">
    <w:name w:val="样式 书籍标题3 + Arial 段前: 1 行 段后: 1 行"/>
    <w:basedOn w:val="61"/>
    <w:qFormat/>
    <w:uiPriority w:val="0"/>
    <w:pPr>
      <w:numPr>
        <w:ilvl w:val="1"/>
        <w:numId w:val="10"/>
      </w:numPr>
      <w:tabs>
        <w:tab w:val="left" w:pos="1275"/>
        <w:tab w:val="clear" w:pos="420"/>
        <w:tab w:val="clear" w:pos="840"/>
        <w:tab w:val="clear" w:pos="1260"/>
      </w:tabs>
      <w:spacing w:beforeLines="0" w:afterLines="0"/>
    </w:pPr>
    <w:rPr>
      <w:rFonts w:ascii="Arial" w:hAnsi="Arial" w:cs="宋体"/>
      <w:b w:val="0"/>
      <w:bCs w:val="0"/>
    </w:rPr>
  </w:style>
  <w:style w:type="paragraph" w:customStyle="1" w:styleId="11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Char Char Char Char Char Char"/>
    <w:basedOn w:val="1"/>
    <w:qFormat/>
    <w:uiPriority w:val="0"/>
    <w:pPr>
      <w:widowControl/>
      <w:spacing w:after="160" w:line="240" w:lineRule="exact"/>
      <w:jc w:val="left"/>
    </w:pPr>
    <w:rPr>
      <w:sz w:val="32"/>
      <w:szCs w:val="20"/>
    </w:rPr>
  </w:style>
  <w:style w:type="paragraph" w:customStyle="1" w:styleId="1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5">
    <w:name w:val="List Paragraph"/>
    <w:basedOn w:val="1"/>
    <w:qFormat/>
    <w:uiPriority w:val="0"/>
    <w:pPr>
      <w:ind w:firstLine="420" w:firstLineChars="200"/>
    </w:pPr>
  </w:style>
  <w:style w:type="paragraph" w:customStyle="1" w:styleId="11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
    <w:name w:val="Char1 Char Char Char"/>
    <w:basedOn w:val="1"/>
    <w:qFormat/>
    <w:uiPriority w:val="0"/>
    <w:pPr>
      <w:ind w:left="1365" w:hanging="360"/>
    </w:pPr>
    <w:rPr>
      <w:sz w:val="24"/>
    </w:rPr>
  </w:style>
  <w:style w:type="paragraph" w:customStyle="1" w:styleId="118">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1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2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2">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2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1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2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2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2">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133">
    <w:name w:val="pa-13"/>
    <w:basedOn w:val="1"/>
    <w:qFormat/>
    <w:uiPriority w:val="0"/>
    <w:pPr>
      <w:widowControl/>
      <w:spacing w:before="150" w:after="150"/>
      <w:jc w:val="left"/>
    </w:pPr>
    <w:rPr>
      <w:rFonts w:ascii="宋体" w:hAnsi="宋体" w:cs="宋体"/>
      <w:kern w:val="0"/>
      <w:sz w:val="24"/>
    </w:rPr>
  </w:style>
  <w:style w:type="paragraph" w:customStyle="1" w:styleId="13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35">
    <w:name w:val="MM Topic 1"/>
    <w:basedOn w:val="3"/>
    <w:qFormat/>
    <w:uiPriority w:val="0"/>
    <w:pPr>
      <w:numPr>
        <w:ilvl w:val="0"/>
        <w:numId w:val="12"/>
      </w:numPr>
      <w:tabs>
        <w:tab w:val="clear" w:pos="1440"/>
      </w:tabs>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13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3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1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3">
    <w:name w:val="样式 标题 3"/>
    <w:basedOn w:val="6"/>
    <w:next w:val="1"/>
    <w:qFormat/>
    <w:uiPriority w:val="0"/>
    <w:pPr>
      <w:widowControl w:val="0"/>
      <w:numPr>
        <w:ilvl w:val="2"/>
        <w:numId w:val="0"/>
      </w:numPr>
      <w:tabs>
        <w:tab w:val="left" w:pos="720"/>
        <w:tab w:val="clear" w:pos="432"/>
        <w:tab w:val="clear" w:pos="753"/>
        <w:tab w:val="clear" w:pos="1440"/>
      </w:tabs>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1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4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Char1 Char Char Char1"/>
    <w:basedOn w:val="1"/>
    <w:qFormat/>
    <w:uiPriority w:val="0"/>
    <w:pPr>
      <w:tabs>
        <w:tab w:val="left" w:pos="425"/>
      </w:tabs>
      <w:ind w:left="425" w:hanging="425"/>
    </w:pPr>
    <w:rPr>
      <w:sz w:val="24"/>
    </w:rPr>
  </w:style>
  <w:style w:type="paragraph" w:customStyle="1" w:styleId="1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0">
    <w:name w:val="Char"/>
    <w:basedOn w:val="1"/>
    <w:qFormat/>
    <w:uiPriority w:val="0"/>
    <w:pPr>
      <w:tabs>
        <w:tab w:val="left" w:pos="1365"/>
      </w:tabs>
      <w:ind w:left="1365" w:hanging="360"/>
    </w:pPr>
    <w:rPr>
      <w:sz w:val="24"/>
    </w:rPr>
  </w:style>
  <w:style w:type="paragraph" w:customStyle="1" w:styleId="15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5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15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54">
    <w:name w:val="没有缩进（为图形使用）"/>
    <w:basedOn w:val="1"/>
    <w:qFormat/>
    <w:uiPriority w:val="0"/>
    <w:pPr>
      <w:numPr>
        <w:ilvl w:val="0"/>
        <w:numId w:val="13"/>
      </w:numPr>
      <w:spacing w:before="120" w:after="120" w:line="360" w:lineRule="auto"/>
      <w:ind w:left="0" w:firstLine="0"/>
    </w:pPr>
    <w:rPr>
      <w:rFonts w:cs="宋体"/>
      <w:sz w:val="24"/>
      <w:szCs w:val="20"/>
    </w:rPr>
  </w:style>
  <w:style w:type="paragraph" w:customStyle="1" w:styleId="15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5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5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15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16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162">
    <w:name w:val="Char Char Char Char Char Char Char Char Char1"/>
    <w:basedOn w:val="1"/>
    <w:qFormat/>
    <w:uiPriority w:val="0"/>
    <w:pPr>
      <w:widowControl/>
      <w:spacing w:after="160" w:line="240" w:lineRule="exact"/>
      <w:jc w:val="left"/>
    </w:pPr>
  </w:style>
  <w:style w:type="paragraph" w:customStyle="1" w:styleId="1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6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6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6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1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0">
    <w:name w:val="MM Topic 2"/>
    <w:basedOn w:val="4"/>
    <w:qFormat/>
    <w:uiPriority w:val="0"/>
    <w:pPr>
      <w:widowControl w:val="0"/>
      <w:numPr>
        <w:ilvl w:val="0"/>
        <w:numId w:val="14"/>
      </w:numPr>
      <w:tabs>
        <w:tab w:val="left" w:pos="425"/>
        <w:tab w:val="clear" w:pos="2040"/>
        <w:tab w:val="clear" w:pos="720"/>
        <w:tab w:val="clear" w:pos="1440"/>
      </w:tabs>
      <w:adjustRightInd/>
      <w:snapToGrid/>
      <w:spacing w:line="415" w:lineRule="auto"/>
      <w:ind w:left="0" w:firstLine="0"/>
      <w:jc w:val="both"/>
      <w:textAlignment w:val="auto"/>
    </w:pPr>
    <w:rPr>
      <w:rFonts w:ascii="Arial" w:hAnsi="Arial"/>
      <w:b/>
      <w:kern w:val="2"/>
      <w:sz w:val="32"/>
      <w:szCs w:val="32"/>
    </w:rPr>
  </w:style>
  <w:style w:type="paragraph" w:customStyle="1" w:styleId="17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font6"/>
    <w:basedOn w:val="1"/>
    <w:qFormat/>
    <w:uiPriority w:val="0"/>
    <w:pPr>
      <w:widowControl/>
      <w:spacing w:before="100" w:beforeAutospacing="1" w:after="100" w:afterAutospacing="1"/>
      <w:jc w:val="left"/>
    </w:pPr>
    <w:rPr>
      <w:kern w:val="0"/>
      <w:sz w:val="24"/>
    </w:rPr>
  </w:style>
  <w:style w:type="paragraph" w:customStyle="1" w:styleId="17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8">
    <w:name w:val="样式 首行缩进:  0.85 厘米"/>
    <w:basedOn w:val="1"/>
    <w:qFormat/>
    <w:uiPriority w:val="0"/>
    <w:pPr>
      <w:spacing w:line="360" w:lineRule="auto"/>
      <w:ind w:firstLine="200" w:firstLineChars="200"/>
    </w:pPr>
    <w:rPr>
      <w:rFonts w:cs="宋体"/>
      <w:sz w:val="24"/>
      <w:szCs w:val="20"/>
    </w:rPr>
  </w:style>
  <w:style w:type="paragraph" w:customStyle="1" w:styleId="179">
    <w:name w:val="列举"/>
    <w:basedOn w:val="1"/>
    <w:qFormat/>
    <w:uiPriority w:val="0"/>
    <w:pPr>
      <w:numPr>
        <w:ilvl w:val="0"/>
        <w:numId w:val="15"/>
      </w:numPr>
      <w:spacing w:line="360" w:lineRule="auto"/>
    </w:pPr>
    <w:rPr>
      <w:rFonts w:ascii="宋体"/>
    </w:rPr>
  </w:style>
  <w:style w:type="paragraph" w:customStyle="1" w:styleId="180">
    <w:name w:val="正文1"/>
    <w:basedOn w:val="1"/>
    <w:qFormat/>
    <w:uiPriority w:val="0"/>
    <w:pPr>
      <w:spacing w:line="360" w:lineRule="auto"/>
    </w:pPr>
    <w:rPr>
      <w:rFonts w:ascii="宋体" w:hAnsi="宋体"/>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正文缩进2字符"/>
    <w:basedOn w:val="44"/>
    <w:qFormat/>
    <w:uiPriority w:val="0"/>
    <w:pPr>
      <w:spacing w:after="0" w:line="360" w:lineRule="auto"/>
      <w:ind w:firstLine="200" w:firstLineChars="200"/>
    </w:pPr>
    <w:rPr>
      <w:sz w:val="24"/>
      <w:szCs w:val="24"/>
    </w:rPr>
  </w:style>
  <w:style w:type="paragraph" w:customStyle="1" w:styleId="183">
    <w:name w:val="font8"/>
    <w:basedOn w:val="1"/>
    <w:qFormat/>
    <w:uiPriority w:val="0"/>
    <w:pPr>
      <w:widowControl/>
      <w:spacing w:before="100" w:beforeAutospacing="1" w:after="100" w:afterAutospacing="1"/>
      <w:jc w:val="left"/>
    </w:pPr>
    <w:rPr>
      <w:kern w:val="0"/>
      <w:sz w:val="20"/>
      <w:szCs w:val="20"/>
    </w:rPr>
  </w:style>
  <w:style w:type="paragraph" w:customStyle="1" w:styleId="184">
    <w:name w:val="Char Char1 Char Char Char Char Char Char"/>
    <w:basedOn w:val="1"/>
    <w:qFormat/>
    <w:uiPriority w:val="0"/>
    <w:pPr>
      <w:widowControl/>
      <w:numPr>
        <w:ilvl w:val="0"/>
        <w:numId w:val="16"/>
      </w:numPr>
      <w:spacing w:after="160" w:line="240" w:lineRule="exact"/>
      <w:ind w:left="0" w:firstLine="0"/>
      <w:jc w:val="center"/>
    </w:pPr>
    <w:rPr>
      <w:rFonts w:ascii="黑体" w:hAnsi="Calibri" w:eastAsia="黑体"/>
      <w:kern w:val="0"/>
      <w:sz w:val="36"/>
      <w:szCs w:val="36"/>
    </w:rPr>
  </w:style>
  <w:style w:type="paragraph" w:customStyle="1" w:styleId="185">
    <w:name w:val="pa-3"/>
    <w:basedOn w:val="1"/>
    <w:qFormat/>
    <w:uiPriority w:val="0"/>
    <w:pPr>
      <w:widowControl/>
      <w:spacing w:before="150" w:after="150"/>
      <w:jc w:val="left"/>
    </w:pPr>
    <w:rPr>
      <w:rFonts w:ascii="宋体" w:hAnsi="宋体" w:cs="宋体"/>
      <w:kern w:val="0"/>
      <w:sz w:val="24"/>
    </w:rPr>
  </w:style>
  <w:style w:type="paragraph" w:customStyle="1" w:styleId="18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8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9">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19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8"/>
      </w:numPr>
      <w:spacing w:line="360" w:lineRule="auto"/>
    </w:pPr>
    <w:rPr>
      <w:sz w:val="24"/>
    </w:rPr>
  </w:style>
  <w:style w:type="paragraph" w:customStyle="1" w:styleId="19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1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9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9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1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8">
    <w:name w:val="段"/>
    <w:qFormat/>
    <w:uiPriority w:val="0"/>
    <w:pPr>
      <w:numPr>
        <w:ilvl w:val="0"/>
        <w:numId w:val="19"/>
      </w:numPr>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MM Topic 3"/>
    <w:basedOn w:val="6"/>
    <w:qFormat/>
    <w:uiPriority w:val="0"/>
    <w:pPr>
      <w:widowControl w:val="0"/>
      <w:numPr>
        <w:ilvl w:val="0"/>
        <w:numId w:val="11"/>
      </w:numPr>
      <w:tabs>
        <w:tab w:val="left" w:pos="1418"/>
        <w:tab w:val="clear" w:pos="432"/>
        <w:tab w:val="clear" w:pos="753"/>
        <w:tab w:val="clear" w:pos="1440"/>
      </w:tabs>
      <w:adjustRightInd/>
      <w:snapToGrid/>
      <w:spacing w:line="415" w:lineRule="auto"/>
      <w:textAlignment w:val="auto"/>
    </w:pPr>
    <w:rPr>
      <w:rFonts w:ascii="Times New Roman" w:eastAsia="宋体"/>
      <w:b/>
      <w:color w:val="auto"/>
      <w:sz w:val="32"/>
      <w:szCs w:val="32"/>
    </w:rPr>
  </w:style>
  <w:style w:type="paragraph" w:customStyle="1" w:styleId="201">
    <w:name w:val="列出段落2"/>
    <w:basedOn w:val="1"/>
    <w:qFormat/>
    <w:uiPriority w:val="0"/>
    <w:pPr>
      <w:ind w:firstLine="420" w:firstLineChars="200"/>
    </w:pPr>
  </w:style>
  <w:style w:type="paragraph" w:customStyle="1" w:styleId="202">
    <w:name w:val="font15"/>
    <w:basedOn w:val="1"/>
    <w:qFormat/>
    <w:uiPriority w:val="0"/>
    <w:pPr>
      <w:widowControl/>
      <w:spacing w:before="100" w:beforeAutospacing="1" w:after="100" w:afterAutospacing="1"/>
      <w:jc w:val="left"/>
    </w:pPr>
    <w:rPr>
      <w:kern w:val="0"/>
      <w:sz w:val="20"/>
      <w:szCs w:val="20"/>
    </w:rPr>
  </w:style>
  <w:style w:type="paragraph" w:customStyle="1" w:styleId="203">
    <w:name w:val="pa-15"/>
    <w:basedOn w:val="1"/>
    <w:qFormat/>
    <w:uiPriority w:val="0"/>
    <w:pPr>
      <w:widowControl/>
      <w:spacing w:before="150" w:after="150"/>
      <w:jc w:val="left"/>
    </w:pPr>
    <w:rPr>
      <w:rFonts w:ascii="宋体" w:hAnsi="宋体" w:cs="宋体"/>
      <w:kern w:val="0"/>
      <w:sz w:val="24"/>
    </w:rPr>
  </w:style>
  <w:style w:type="paragraph" w:customStyle="1" w:styleId="20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07">
    <w:name w:val="Char Char3 Char Char"/>
    <w:basedOn w:val="1"/>
    <w:qFormat/>
    <w:uiPriority w:val="0"/>
    <w:pPr>
      <w:spacing w:line="360" w:lineRule="auto"/>
      <w:ind w:firstLine="200" w:firstLineChars="200"/>
    </w:pPr>
    <w:rPr>
      <w:rFonts w:ascii="宋体" w:hAnsi="宋体" w:cs="宋体"/>
      <w:sz w:val="24"/>
    </w:rPr>
  </w:style>
  <w:style w:type="paragraph" w:customStyle="1" w:styleId="20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09">
    <w:name w:val="正文序号 2"/>
    <w:basedOn w:val="1"/>
    <w:qFormat/>
    <w:uiPriority w:val="0"/>
    <w:pPr>
      <w:numPr>
        <w:ilvl w:val="1"/>
        <w:numId w:val="8"/>
      </w:numPr>
      <w:tabs>
        <w:tab w:val="left" w:pos="981"/>
        <w:tab w:val="left" w:pos="1049"/>
      </w:tabs>
      <w:spacing w:before="60"/>
    </w:pPr>
  </w:style>
  <w:style w:type="paragraph" w:customStyle="1" w:styleId="210">
    <w:name w:val="样式 样式 标题 4Alt+41.1.1.1 Heading 4bulletblbbH44h4H41h41H42... + 自动..."/>
    <w:basedOn w:val="122"/>
    <w:qFormat/>
    <w:uiPriority w:val="0"/>
    <w:pPr>
      <w:numPr>
        <w:ilvl w:val="3"/>
        <w:numId w:val="20"/>
      </w:numPr>
      <w:tabs>
        <w:tab w:val="left" w:pos="528"/>
        <w:tab w:val="clear" w:pos="1914"/>
      </w:tabs>
    </w:pPr>
    <w:rPr>
      <w:color w:val="auto"/>
    </w:rPr>
  </w:style>
  <w:style w:type="paragraph" w:customStyle="1" w:styleId="21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13">
    <w:name w:val="MM Topic 5"/>
    <w:basedOn w:val="8"/>
    <w:qFormat/>
    <w:uiPriority w:val="0"/>
    <w:pPr>
      <w:numPr>
        <w:ilvl w:val="4"/>
        <w:numId w:val="11"/>
      </w:numPr>
      <w:tabs>
        <w:tab w:val="left" w:pos="425"/>
        <w:tab w:val="clear" w:pos="2551"/>
      </w:tabs>
    </w:pPr>
    <w:rPr>
      <w:bCs/>
      <w:szCs w:val="28"/>
    </w:rPr>
  </w:style>
  <w:style w:type="paragraph" w:customStyle="1" w:styleId="214">
    <w:name w:val="正文文本样式"/>
    <w:basedOn w:val="1"/>
    <w:qFormat/>
    <w:uiPriority w:val="0"/>
    <w:pPr>
      <w:spacing w:line="360" w:lineRule="auto"/>
      <w:ind w:firstLine="482"/>
    </w:pPr>
    <w:rPr>
      <w:rFonts w:cs="宋体"/>
      <w:sz w:val="24"/>
      <w:szCs w:val="20"/>
    </w:rPr>
  </w:style>
  <w:style w:type="paragraph" w:customStyle="1" w:styleId="21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7">
    <w:name w:val="MM Topic 4"/>
    <w:basedOn w:val="7"/>
    <w:qFormat/>
    <w:uiPriority w:val="0"/>
    <w:pPr>
      <w:numPr>
        <w:ilvl w:val="3"/>
        <w:numId w:val="11"/>
      </w:numPr>
      <w:tabs>
        <w:tab w:val="left" w:pos="425"/>
        <w:tab w:val="clear" w:pos="1984"/>
      </w:tabs>
    </w:pPr>
    <w:rPr>
      <w:bCs/>
      <w:szCs w:val="28"/>
    </w:rPr>
  </w:style>
  <w:style w:type="paragraph" w:customStyle="1" w:styleId="218">
    <w:name w:val="正文序号 3"/>
    <w:basedOn w:val="1"/>
    <w:qFormat/>
    <w:uiPriority w:val="0"/>
    <w:pPr>
      <w:numPr>
        <w:ilvl w:val="2"/>
        <w:numId w:val="8"/>
      </w:numPr>
      <w:tabs>
        <w:tab w:val="left" w:pos="981"/>
        <w:tab w:val="left" w:pos="1259"/>
      </w:tabs>
      <w:spacing w:before="60"/>
    </w:pPr>
  </w:style>
  <w:style w:type="paragraph" w:customStyle="1" w:styleId="219">
    <w:name w:val="Char2"/>
    <w:basedOn w:val="1"/>
    <w:qFormat/>
    <w:uiPriority w:val="0"/>
    <w:pPr>
      <w:tabs>
        <w:tab w:val="left" w:pos="425"/>
      </w:tabs>
      <w:ind w:left="425" w:hanging="425"/>
    </w:pPr>
    <w:rPr>
      <w:sz w:val="24"/>
    </w:rPr>
  </w:style>
  <w:style w:type="paragraph" w:customStyle="1" w:styleId="220">
    <w:name w:val="正文序号 1"/>
    <w:basedOn w:val="1"/>
    <w:qFormat/>
    <w:uiPriority w:val="0"/>
    <w:pPr>
      <w:numPr>
        <w:ilvl w:val="0"/>
        <w:numId w:val="8"/>
      </w:numPr>
      <w:tabs>
        <w:tab w:val="left" w:pos="839"/>
      </w:tabs>
      <w:spacing w:before="60"/>
    </w:pPr>
  </w:style>
  <w:style w:type="paragraph" w:customStyle="1" w:styleId="221">
    <w:name w:val="字元 字元1"/>
    <w:basedOn w:val="1"/>
    <w:qFormat/>
    <w:uiPriority w:val="0"/>
    <w:pPr>
      <w:spacing w:line="360" w:lineRule="auto"/>
      <w:ind w:firstLine="200" w:firstLineChars="200"/>
    </w:pPr>
    <w:rPr>
      <w:rFonts w:ascii="宋体" w:hAnsi="宋体" w:cs="宋体"/>
      <w:sz w:val="24"/>
    </w:rPr>
  </w:style>
  <w:style w:type="paragraph" w:customStyle="1" w:styleId="222">
    <w:name w:val="font12"/>
    <w:basedOn w:val="1"/>
    <w:qFormat/>
    <w:uiPriority w:val="0"/>
    <w:pPr>
      <w:widowControl/>
      <w:spacing w:before="100" w:beforeAutospacing="1" w:after="100" w:afterAutospacing="1"/>
      <w:jc w:val="left"/>
    </w:pPr>
    <w:rPr>
      <w:kern w:val="0"/>
      <w:sz w:val="22"/>
      <w:szCs w:val="22"/>
    </w:rPr>
  </w:style>
  <w:style w:type="paragraph" w:customStyle="1" w:styleId="223">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2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5">
    <w:name w:val="Table Paragraph"/>
    <w:basedOn w:val="1"/>
    <w:qFormat/>
    <w:uiPriority w:val="1"/>
    <w:rPr>
      <w:rFonts w:ascii="Calibri" w:hAnsi="Calibri"/>
      <w:sz w:val="24"/>
    </w:rPr>
  </w:style>
  <w:style w:type="paragraph" w:customStyle="1" w:styleId="226">
    <w:name w:val="正文首行缩进 21"/>
    <w:basedOn w:val="227"/>
    <w:qFormat/>
    <w:uiPriority w:val="0"/>
    <w:pPr>
      <w:widowControl/>
      <w:spacing w:line="500" w:lineRule="exact"/>
      <w:ind w:firstLine="420"/>
    </w:pPr>
    <w:rPr>
      <w:szCs w:val="20"/>
    </w:rPr>
  </w:style>
  <w:style w:type="paragraph" w:customStyle="1" w:styleId="227">
    <w:name w:val="正文文本缩进1"/>
    <w:basedOn w:val="1"/>
    <w:qFormat/>
    <w:uiPriority w:val="0"/>
    <w:pPr>
      <w:spacing w:line="500" w:lineRule="exact"/>
      <w:ind w:firstLine="880" w:firstLineChars="200"/>
    </w:pPr>
    <w:rPr>
      <w:rFonts w:ascii="Times New Roman" w:hAnsi="Times New Roman" w:eastAsia="宋体" w:cs="Times New Roman"/>
    </w:rPr>
  </w:style>
  <w:style w:type="paragraph" w:customStyle="1" w:styleId="22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29">
    <w:name w:val="标题 1 Char Char"/>
    <w:qFormat/>
    <w:uiPriority w:val="0"/>
    <w:rPr>
      <w:rFonts w:eastAsia="宋体"/>
      <w:b/>
      <w:bCs/>
      <w:kern w:val="44"/>
      <w:sz w:val="44"/>
      <w:szCs w:val="44"/>
      <w:lang w:val="en-US" w:eastAsia="zh-CN" w:bidi="ar-SA"/>
    </w:rPr>
  </w:style>
  <w:style w:type="character" w:customStyle="1" w:styleId="230">
    <w:name w:val="标题 4 Char Char"/>
    <w:qFormat/>
    <w:uiPriority w:val="0"/>
    <w:rPr>
      <w:rFonts w:ascii="Arial" w:hAnsi="Arial" w:eastAsia="黑体"/>
      <w:b/>
      <w:bCs/>
      <w:kern w:val="2"/>
      <w:sz w:val="28"/>
      <w:szCs w:val="28"/>
      <w:lang w:val="en-US" w:eastAsia="zh-CN" w:bidi="ar-SA"/>
    </w:rPr>
  </w:style>
  <w:style w:type="character" w:customStyle="1" w:styleId="231">
    <w:name w:val="font11"/>
    <w:qFormat/>
    <w:uiPriority w:val="0"/>
    <w:rPr>
      <w:rFonts w:hint="eastAsia" w:ascii="宋体" w:hAnsi="宋体" w:eastAsia="宋体"/>
      <w:color w:val="000000"/>
      <w:sz w:val="24"/>
      <w:szCs w:val="24"/>
      <w:u w:val="none"/>
    </w:rPr>
  </w:style>
  <w:style w:type="character" w:customStyle="1" w:styleId="232">
    <w:name w:val="标题 5 Char Char"/>
    <w:qFormat/>
    <w:uiPriority w:val="0"/>
    <w:rPr>
      <w:rFonts w:eastAsia="宋体"/>
      <w:b/>
      <w:bCs/>
      <w:kern w:val="2"/>
      <w:sz w:val="28"/>
      <w:szCs w:val="28"/>
      <w:lang w:val="en-US" w:eastAsia="zh-CN" w:bidi="ar-SA"/>
    </w:rPr>
  </w:style>
  <w:style w:type="character" w:customStyle="1" w:styleId="233">
    <w:name w:val="ca-5"/>
    <w:basedOn w:val="47"/>
    <w:qFormat/>
    <w:uiPriority w:val="0"/>
  </w:style>
  <w:style w:type="character" w:customStyle="1" w:styleId="234">
    <w:name w:val="正文首行缩进 2 Char"/>
    <w:link w:val="45"/>
    <w:qFormat/>
    <w:uiPriority w:val="0"/>
    <w:rPr>
      <w:rFonts w:ascii="Calibri" w:hAnsi="Calibri" w:eastAsia="仿宋_GB2312"/>
      <w:kern w:val="2"/>
      <w:sz w:val="21"/>
      <w:szCs w:val="22"/>
      <w:lang w:val="en-US" w:eastAsia="zh-CN" w:bidi="ar-SA"/>
    </w:rPr>
  </w:style>
  <w:style w:type="character" w:customStyle="1" w:styleId="235">
    <w:name w:val="已访问的超链接1"/>
    <w:qFormat/>
    <w:uiPriority w:val="0"/>
    <w:rPr>
      <w:color w:val="800080"/>
      <w:u w:val="single"/>
    </w:rPr>
  </w:style>
  <w:style w:type="character" w:customStyle="1" w:styleId="236">
    <w:name w:val="正文首行缩进 Char Char"/>
    <w:qFormat/>
    <w:uiPriority w:val="0"/>
    <w:rPr>
      <w:rFonts w:eastAsia="仿宋_GB2312"/>
      <w:kern w:val="2"/>
      <w:sz w:val="28"/>
      <w:szCs w:val="24"/>
      <w:lang w:bidi="ar-SA"/>
    </w:rPr>
  </w:style>
  <w:style w:type="character" w:customStyle="1" w:styleId="237">
    <w:name w:val="日期 Char"/>
    <w:link w:val="25"/>
    <w:qFormat/>
    <w:uiPriority w:val="0"/>
    <w:rPr>
      <w:kern w:val="2"/>
      <w:sz w:val="21"/>
      <w:szCs w:val="24"/>
    </w:rPr>
  </w:style>
  <w:style w:type="character" w:customStyle="1" w:styleId="238">
    <w:name w:val="正文文本缩进 3 Char Char"/>
    <w:qFormat/>
    <w:uiPriority w:val="0"/>
    <w:rPr>
      <w:kern w:val="2"/>
      <w:sz w:val="16"/>
      <w:szCs w:val="16"/>
      <w:lang w:bidi="ar-SA"/>
    </w:rPr>
  </w:style>
  <w:style w:type="character" w:customStyle="1" w:styleId="239">
    <w:name w:val="文档正文 Char1"/>
    <w:link w:val="55"/>
    <w:qFormat/>
    <w:uiPriority w:val="0"/>
    <w:rPr>
      <w:rFonts w:ascii="Arial Narrow" w:hAnsi="Arial Narrow"/>
      <w:sz w:val="24"/>
      <w:szCs w:val="24"/>
      <w:lang w:val="en-US" w:eastAsia="zh-CN" w:bidi="ar-SA"/>
    </w:rPr>
  </w:style>
  <w:style w:type="character" w:customStyle="1" w:styleId="240">
    <w:name w:val="正文文本 Char Char"/>
    <w:qFormat/>
    <w:uiPriority w:val="0"/>
    <w:rPr>
      <w:rFonts w:eastAsia="宋体"/>
      <w:kern w:val="2"/>
      <w:sz w:val="21"/>
      <w:szCs w:val="24"/>
      <w:lang w:val="en-US" w:eastAsia="zh-CN" w:bidi="ar-SA"/>
    </w:rPr>
  </w:style>
  <w:style w:type="character" w:customStyle="1" w:styleId="241">
    <w:name w:val="样式 样式 宋体 小四 行距: 1.5 倍行距 + ˎ̥ 黑色 Char Char"/>
    <w:link w:val="56"/>
    <w:qFormat/>
    <w:uiPriority w:val="0"/>
    <w:rPr>
      <w:rFonts w:ascii="Calibri" w:hAnsi="Calibri" w:eastAsia="仿宋_GB2312"/>
      <w:kern w:val="2"/>
      <w:sz w:val="21"/>
      <w:szCs w:val="22"/>
      <w:lang w:val="en-US" w:eastAsia="zh-CN" w:bidi="ar-SA"/>
    </w:rPr>
  </w:style>
  <w:style w:type="character" w:customStyle="1" w:styleId="242">
    <w:name w:val="style71"/>
    <w:qFormat/>
    <w:uiPriority w:val="0"/>
    <w:rPr>
      <w:sz w:val="21"/>
      <w:szCs w:val="21"/>
    </w:rPr>
  </w:style>
  <w:style w:type="character" w:customStyle="1" w:styleId="243">
    <w:name w:val="正文文本缩进 2 Char"/>
    <w:link w:val="26"/>
    <w:qFormat/>
    <w:uiPriority w:val="0"/>
    <w:rPr>
      <w:rFonts w:eastAsia="仿宋_GB2312"/>
      <w:kern w:val="2"/>
      <w:sz w:val="30"/>
      <w:lang w:val="en-US" w:eastAsia="zh-CN" w:bidi="ar-SA"/>
    </w:rPr>
  </w:style>
  <w:style w:type="character" w:customStyle="1" w:styleId="244">
    <w:name w:val="正文文本缩进 3 Char"/>
    <w:link w:val="36"/>
    <w:qFormat/>
    <w:uiPriority w:val="0"/>
    <w:rPr>
      <w:rFonts w:ascii="宋体" w:hAnsi="宋体" w:eastAsia="宋体"/>
      <w:kern w:val="2"/>
      <w:sz w:val="21"/>
      <w:szCs w:val="24"/>
      <w:lang w:val="en-US" w:eastAsia="zh-CN" w:bidi="ar-SA"/>
    </w:rPr>
  </w:style>
  <w:style w:type="character" w:customStyle="1" w:styleId="245">
    <w:name w:val="ca-9"/>
    <w:basedOn w:val="47"/>
    <w:qFormat/>
    <w:uiPriority w:val="0"/>
  </w:style>
  <w:style w:type="character" w:customStyle="1" w:styleId="246">
    <w:name w:val="纯文本 Char"/>
    <w:link w:val="23"/>
    <w:qFormat/>
    <w:uiPriority w:val="0"/>
    <w:rPr>
      <w:rFonts w:ascii="宋体" w:hAnsi="Courier New" w:eastAsia="宋体"/>
      <w:kern w:val="2"/>
      <w:sz w:val="21"/>
      <w:lang w:val="en-US" w:eastAsia="zh-CN" w:bidi="ar-SA"/>
    </w:rPr>
  </w:style>
  <w:style w:type="character" w:customStyle="1" w:styleId="247">
    <w:name w:val="页脚 Char Char"/>
    <w:qFormat/>
    <w:uiPriority w:val="0"/>
    <w:rPr>
      <w:rFonts w:eastAsia="宋体"/>
      <w:sz w:val="18"/>
      <w:szCs w:val="18"/>
      <w:lang w:bidi="ar-SA"/>
    </w:rPr>
  </w:style>
  <w:style w:type="character" w:customStyle="1" w:styleId="248">
    <w:name w:val="正文文本 Char"/>
    <w:link w:val="2"/>
    <w:qFormat/>
    <w:uiPriority w:val="0"/>
    <w:rPr>
      <w:rFonts w:eastAsia="宋体"/>
      <w:kern w:val="2"/>
      <w:sz w:val="21"/>
      <w:szCs w:val="24"/>
      <w:lang w:val="en-US" w:eastAsia="zh-CN" w:bidi="ar-SA"/>
    </w:rPr>
  </w:style>
  <w:style w:type="character" w:customStyle="1" w:styleId="249">
    <w:name w:val="标题 2 Char Char"/>
    <w:qFormat/>
    <w:uiPriority w:val="0"/>
    <w:rPr>
      <w:rFonts w:ascii="Cambria" w:hAnsi="Cambria" w:eastAsia="宋体"/>
      <w:b/>
      <w:bCs/>
      <w:kern w:val="2"/>
      <w:sz w:val="32"/>
      <w:szCs w:val="32"/>
      <w:lang w:val="en-US" w:eastAsia="zh-CN" w:bidi="ar-SA"/>
    </w:rPr>
  </w:style>
  <w:style w:type="character" w:customStyle="1" w:styleId="250">
    <w:name w:val="标题 1 1 Char"/>
    <w:qFormat/>
    <w:uiPriority w:val="0"/>
    <w:rPr>
      <w:rFonts w:ascii="黑体" w:eastAsia="黑体"/>
      <w:bCs/>
      <w:kern w:val="44"/>
      <w:sz w:val="24"/>
      <w:lang w:val="en-US" w:eastAsia="zh-CN" w:bidi="ar-SA"/>
    </w:rPr>
  </w:style>
  <w:style w:type="character" w:customStyle="1" w:styleId="251">
    <w:name w:val="Char Char14"/>
    <w:qFormat/>
    <w:uiPriority w:val="0"/>
    <w:rPr>
      <w:rFonts w:ascii="宋体" w:eastAsia="宋体"/>
      <w:sz w:val="34"/>
      <w:lang w:val="en-US" w:eastAsia="zh-CN" w:bidi="ar-SA"/>
    </w:rPr>
  </w:style>
  <w:style w:type="character" w:customStyle="1" w:styleId="252">
    <w:name w:val="content"/>
    <w:qFormat/>
    <w:uiPriority w:val="0"/>
  </w:style>
  <w:style w:type="character" w:customStyle="1" w:styleId="253">
    <w:name w:val="Char Char5"/>
    <w:qFormat/>
    <w:uiPriority w:val="0"/>
    <w:rPr>
      <w:rFonts w:eastAsia="宋体"/>
      <w:kern w:val="2"/>
      <w:sz w:val="18"/>
      <w:lang w:val="en-US" w:eastAsia="zh-CN" w:bidi="ar-SA"/>
    </w:rPr>
  </w:style>
  <w:style w:type="character" w:customStyle="1" w:styleId="254">
    <w:name w:val="c_666"/>
    <w:basedOn w:val="47"/>
    <w:qFormat/>
    <w:uiPriority w:val="0"/>
  </w:style>
  <w:style w:type="character" w:customStyle="1" w:styleId="255">
    <w:name w:val="ALT+Z Char"/>
    <w:qFormat/>
    <w:uiPriority w:val="0"/>
    <w:rPr>
      <w:rFonts w:ascii="宋体"/>
      <w:sz w:val="34"/>
    </w:rPr>
  </w:style>
  <w:style w:type="character" w:customStyle="1" w:styleId="256">
    <w:name w:val="正文（缩进） Char Char"/>
    <w:link w:val="57"/>
    <w:qFormat/>
    <w:uiPriority w:val="0"/>
    <w:rPr>
      <w:rFonts w:eastAsia="宋体"/>
      <w:kern w:val="2"/>
      <w:sz w:val="24"/>
      <w:szCs w:val="24"/>
      <w:lang w:val="en-US" w:eastAsia="zh-CN" w:bidi="ar-SA"/>
    </w:rPr>
  </w:style>
  <w:style w:type="character" w:customStyle="1" w:styleId="257">
    <w:name w:val="批注框文本 Char"/>
    <w:link w:val="27"/>
    <w:qFormat/>
    <w:uiPriority w:val="0"/>
    <w:rPr>
      <w:rFonts w:eastAsia="宋体"/>
      <w:kern w:val="2"/>
      <w:sz w:val="18"/>
      <w:szCs w:val="18"/>
      <w:lang w:val="en-US" w:eastAsia="zh-CN" w:bidi="ar-SA"/>
    </w:rPr>
  </w:style>
  <w:style w:type="character" w:customStyle="1" w:styleId="258">
    <w:name w:val="表格内容"/>
    <w:qFormat/>
    <w:uiPriority w:val="0"/>
    <w:rPr>
      <w:sz w:val="24"/>
    </w:rPr>
  </w:style>
  <w:style w:type="character" w:customStyle="1" w:styleId="259">
    <w:name w:val="ca-8"/>
    <w:basedOn w:val="47"/>
    <w:qFormat/>
    <w:uiPriority w:val="0"/>
  </w:style>
  <w:style w:type="character" w:customStyle="1" w:styleId="260">
    <w:name w:val="不明显参考1"/>
    <w:qFormat/>
    <w:uiPriority w:val="0"/>
    <w:rPr>
      <w:smallCaps/>
      <w:color w:val="C0504D"/>
      <w:u w:val="single"/>
    </w:rPr>
  </w:style>
  <w:style w:type="character" w:customStyle="1" w:styleId="261">
    <w:name w:val="标题 9 Char"/>
    <w:link w:val="12"/>
    <w:qFormat/>
    <w:uiPriority w:val="0"/>
    <w:rPr>
      <w:rFonts w:ascii="Arial" w:hAnsi="Arial" w:eastAsia="黑体"/>
      <w:kern w:val="2"/>
      <w:sz w:val="21"/>
      <w:lang w:val="en-US" w:eastAsia="zh-CN" w:bidi="ar-SA"/>
    </w:rPr>
  </w:style>
  <w:style w:type="character" w:customStyle="1" w:styleId="262">
    <w:name w:val="标题 6 Char"/>
    <w:link w:val="9"/>
    <w:qFormat/>
    <w:uiPriority w:val="0"/>
    <w:rPr>
      <w:rFonts w:ascii="Arial" w:hAnsi="Arial" w:eastAsia="黑体"/>
      <w:b/>
      <w:kern w:val="2"/>
      <w:sz w:val="24"/>
      <w:lang w:val="en-US" w:eastAsia="zh-CN" w:bidi="ar-SA"/>
    </w:rPr>
  </w:style>
  <w:style w:type="character" w:customStyle="1" w:styleId="263">
    <w:name w:val="ca-10"/>
    <w:basedOn w:val="47"/>
    <w:qFormat/>
    <w:uiPriority w:val="0"/>
  </w:style>
  <w:style w:type="character" w:customStyle="1" w:styleId="264">
    <w:name w:val="标题 4 Char"/>
    <w:link w:val="7"/>
    <w:qFormat/>
    <w:uiPriority w:val="0"/>
    <w:rPr>
      <w:rFonts w:ascii="Arial" w:hAnsi="Arial" w:eastAsia="黑体"/>
      <w:b/>
      <w:kern w:val="2"/>
      <w:sz w:val="28"/>
      <w:lang w:val="en-US" w:eastAsia="zh-CN" w:bidi="ar-SA"/>
    </w:rPr>
  </w:style>
  <w:style w:type="character" w:customStyle="1" w:styleId="265">
    <w:name w:val="批注文字 Char Char"/>
    <w:qFormat/>
    <w:uiPriority w:val="0"/>
    <w:rPr>
      <w:kern w:val="2"/>
      <w:sz w:val="21"/>
      <w:lang w:bidi="ar-SA"/>
    </w:rPr>
  </w:style>
  <w:style w:type="character" w:customStyle="1" w:styleId="266">
    <w:name w:val="style18"/>
    <w:qFormat/>
    <w:uiPriority w:val="0"/>
  </w:style>
  <w:style w:type="character" w:customStyle="1" w:styleId="267">
    <w:name w:val="font21"/>
    <w:qFormat/>
    <w:uiPriority w:val="0"/>
    <w:rPr>
      <w:rFonts w:hint="default" w:ascii="Arial" w:hAnsi="Arial" w:cs="Arial"/>
      <w:color w:val="000000"/>
      <w:sz w:val="24"/>
      <w:szCs w:val="24"/>
      <w:u w:val="none"/>
    </w:rPr>
  </w:style>
  <w:style w:type="character" w:customStyle="1" w:styleId="268">
    <w:name w:val="ca-11"/>
    <w:basedOn w:val="47"/>
    <w:qFormat/>
    <w:uiPriority w:val="0"/>
  </w:style>
  <w:style w:type="character" w:customStyle="1" w:styleId="269">
    <w:name w:val="标题 8 Char"/>
    <w:link w:val="11"/>
    <w:qFormat/>
    <w:uiPriority w:val="0"/>
    <w:rPr>
      <w:rFonts w:ascii="Arial" w:hAnsi="Arial" w:eastAsia="黑体"/>
      <w:kern w:val="2"/>
      <w:sz w:val="24"/>
      <w:lang w:val="en-US" w:eastAsia="zh-CN" w:bidi="ar-SA"/>
    </w:rPr>
  </w:style>
  <w:style w:type="character" w:customStyle="1" w:styleId="270">
    <w:name w:val="类目1 Char Char"/>
    <w:link w:val="58"/>
    <w:qFormat/>
    <w:uiPriority w:val="0"/>
    <w:rPr>
      <w:b/>
      <w:color w:val="17365D"/>
      <w:kern w:val="2"/>
      <w:sz w:val="28"/>
      <w:szCs w:val="28"/>
      <w:lang w:bidi="ar-SA"/>
    </w:rPr>
  </w:style>
  <w:style w:type="character" w:customStyle="1" w:styleId="271">
    <w:name w:val="正文文本 2 Char"/>
    <w:link w:val="39"/>
    <w:qFormat/>
    <w:uiPriority w:val="0"/>
    <w:rPr>
      <w:rFonts w:ascii="仿宋_GB2312" w:eastAsia="仿宋_GB2312"/>
      <w:kern w:val="2"/>
      <w:sz w:val="32"/>
      <w:szCs w:val="24"/>
      <w:lang w:val="en-US" w:eastAsia="zh-CN" w:bidi="ar-SA"/>
    </w:rPr>
  </w:style>
  <w:style w:type="character" w:customStyle="1" w:styleId="272">
    <w:name w:val="标题 2 Char"/>
    <w:link w:val="4"/>
    <w:qFormat/>
    <w:uiPriority w:val="0"/>
    <w:rPr>
      <w:rFonts w:ascii="黑体" w:hAnsi="宋体" w:eastAsia="黑体"/>
      <w:bCs/>
      <w:kern w:val="44"/>
      <w:sz w:val="21"/>
      <w:szCs w:val="24"/>
    </w:rPr>
  </w:style>
  <w:style w:type="character" w:customStyle="1" w:styleId="273">
    <w:name w:val="lineitems1"/>
    <w:qFormat/>
    <w:uiPriority w:val="0"/>
    <w:rPr>
      <w:sz w:val="17"/>
      <w:szCs w:val="17"/>
    </w:rPr>
  </w:style>
  <w:style w:type="character" w:customStyle="1" w:styleId="274">
    <w:name w:val="题注 Char1"/>
    <w:qFormat/>
    <w:uiPriority w:val="0"/>
    <w:rPr>
      <w:rFonts w:ascii="Arial" w:hAnsi="Arial" w:eastAsia="宋体" w:cs="Arial"/>
      <w:kern w:val="2"/>
      <w:lang w:val="en-US" w:eastAsia="zh-CN" w:bidi="ar-SA"/>
    </w:rPr>
  </w:style>
  <w:style w:type="character" w:customStyle="1" w:styleId="275">
    <w:name w:val="标题 3 Char Char"/>
    <w:qFormat/>
    <w:uiPriority w:val="0"/>
    <w:rPr>
      <w:rFonts w:eastAsia="宋体"/>
      <w:b/>
      <w:bCs/>
      <w:kern w:val="2"/>
      <w:sz w:val="32"/>
      <w:szCs w:val="32"/>
      <w:lang w:val="en-US" w:eastAsia="zh-CN" w:bidi="ar-SA"/>
    </w:rPr>
  </w:style>
  <w:style w:type="character" w:customStyle="1" w:styleId="276">
    <w:name w:val="标题 5 Char"/>
    <w:link w:val="8"/>
    <w:qFormat/>
    <w:uiPriority w:val="0"/>
    <w:rPr>
      <w:rFonts w:eastAsia="宋体"/>
      <w:b/>
      <w:kern w:val="2"/>
      <w:sz w:val="28"/>
      <w:lang w:val="en-US" w:eastAsia="zh-CN" w:bidi="ar-SA"/>
    </w:rPr>
  </w:style>
  <w:style w:type="character" w:customStyle="1" w:styleId="277">
    <w:name w:val="p12"/>
    <w:basedOn w:val="47"/>
    <w:qFormat/>
    <w:uiPriority w:val="0"/>
  </w:style>
  <w:style w:type="character" w:customStyle="1" w:styleId="278">
    <w:name w:val="正文缩进 Char2"/>
    <w:link w:val="59"/>
    <w:qFormat/>
    <w:uiPriority w:val="0"/>
    <w:rPr>
      <w:rFonts w:ascii="宋体" w:eastAsia="宋体"/>
      <w:sz w:val="34"/>
      <w:lang w:bidi="ar-SA"/>
    </w:rPr>
  </w:style>
  <w:style w:type="character" w:customStyle="1" w:styleId="279">
    <w:name w:val="标题 9 Char Char"/>
    <w:qFormat/>
    <w:uiPriority w:val="0"/>
    <w:rPr>
      <w:rFonts w:ascii="Arial" w:hAnsi="Arial" w:eastAsia="黑体"/>
      <w:kern w:val="2"/>
      <w:sz w:val="21"/>
      <w:szCs w:val="21"/>
      <w:lang w:val="en-US" w:eastAsia="zh-CN" w:bidi="ar-SA"/>
    </w:rPr>
  </w:style>
  <w:style w:type="character" w:customStyle="1" w:styleId="280">
    <w:name w:val="标题 7 Char"/>
    <w:link w:val="10"/>
    <w:qFormat/>
    <w:uiPriority w:val="0"/>
    <w:rPr>
      <w:rFonts w:eastAsia="宋体"/>
      <w:b/>
      <w:kern w:val="2"/>
      <w:sz w:val="24"/>
      <w:lang w:val="en-US" w:eastAsia="zh-CN" w:bidi="ar-SA"/>
    </w:rPr>
  </w:style>
  <w:style w:type="character" w:customStyle="1" w:styleId="281">
    <w:name w:val="flname7"/>
    <w:basedOn w:val="47"/>
    <w:qFormat/>
    <w:uiPriority w:val="0"/>
  </w:style>
  <w:style w:type="character" w:customStyle="1" w:styleId="282">
    <w:name w:val="正文缩进 Char"/>
    <w:link w:val="5"/>
    <w:qFormat/>
    <w:uiPriority w:val="0"/>
    <w:rPr>
      <w:rFonts w:ascii="宋体" w:eastAsia="宋体"/>
      <w:sz w:val="34"/>
      <w:lang w:val="en-US" w:eastAsia="zh-CN" w:bidi="ar-SA"/>
    </w:rPr>
  </w:style>
  <w:style w:type="character" w:customStyle="1" w:styleId="283">
    <w:name w:val="样式5 Char Char"/>
    <w:link w:val="60"/>
    <w:qFormat/>
    <w:uiPriority w:val="0"/>
    <w:rPr>
      <w:rFonts w:ascii="宋体" w:hAnsi="宋体" w:eastAsia="宋体" w:cs="Arial"/>
      <w:b/>
      <w:kern w:val="2"/>
      <w:sz w:val="24"/>
      <w:szCs w:val="24"/>
      <w:lang w:val="en-US" w:eastAsia="zh-CN" w:bidi="ar-SA"/>
    </w:rPr>
  </w:style>
  <w:style w:type="character" w:customStyle="1" w:styleId="284">
    <w:name w:val="text1"/>
    <w:qFormat/>
    <w:uiPriority w:val="0"/>
    <w:rPr>
      <w:sz w:val="20"/>
      <w:szCs w:val="20"/>
    </w:rPr>
  </w:style>
  <w:style w:type="character" w:customStyle="1" w:styleId="285">
    <w:name w:val="样式2"/>
    <w:qFormat/>
    <w:uiPriority w:val="0"/>
    <w:rPr>
      <w:rFonts w:eastAsia="华文楷体"/>
      <w:b/>
      <w:sz w:val="32"/>
    </w:rPr>
  </w:style>
  <w:style w:type="character" w:customStyle="1" w:styleId="286">
    <w:name w:val="页眉 Char Char"/>
    <w:qFormat/>
    <w:uiPriority w:val="0"/>
    <w:rPr>
      <w:rFonts w:eastAsia="宋体"/>
      <w:sz w:val="18"/>
      <w:szCs w:val="18"/>
      <w:lang w:bidi="ar-SA"/>
    </w:rPr>
  </w:style>
  <w:style w:type="character" w:customStyle="1" w:styleId="287">
    <w:name w:val="标题 3 Char"/>
    <w:link w:val="6"/>
    <w:qFormat/>
    <w:uiPriority w:val="0"/>
    <w:rPr>
      <w:rFonts w:ascii="黑体" w:eastAsia="黑体"/>
      <w:bCs/>
      <w:color w:val="000000"/>
      <w:kern w:val="2"/>
      <w:sz w:val="21"/>
      <w:szCs w:val="24"/>
    </w:rPr>
  </w:style>
  <w:style w:type="character" w:customStyle="1" w:styleId="288">
    <w:name w:val="书籍标题3 Char1"/>
    <w:link w:val="61"/>
    <w:qFormat/>
    <w:uiPriority w:val="0"/>
    <w:rPr>
      <w:b/>
      <w:bCs/>
      <w:spacing w:val="20"/>
      <w:kern w:val="2"/>
      <w:sz w:val="28"/>
      <w:szCs w:val="28"/>
    </w:rPr>
  </w:style>
  <w:style w:type="character" w:customStyle="1" w:styleId="289">
    <w:name w:val="正文文本缩进 Char"/>
    <w:link w:val="18"/>
    <w:qFormat/>
    <w:uiPriority w:val="0"/>
    <w:rPr>
      <w:rFonts w:ascii="仿宋_GB2312" w:eastAsia="仿宋_GB2312"/>
      <w:sz w:val="28"/>
      <w:lang w:val="en-US" w:eastAsia="zh-CN" w:bidi="ar-SA"/>
    </w:rPr>
  </w:style>
  <w:style w:type="character" w:customStyle="1" w:styleId="290">
    <w:name w:val="页眉 Char"/>
    <w:link w:val="29"/>
    <w:qFormat/>
    <w:uiPriority w:val="99"/>
    <w:rPr>
      <w:rFonts w:eastAsia="宋体"/>
      <w:kern w:val="2"/>
      <w:sz w:val="18"/>
      <w:lang w:val="en-US" w:eastAsia="zh-CN" w:bidi="ar-SA"/>
    </w:rPr>
  </w:style>
  <w:style w:type="character" w:customStyle="1" w:styleId="291">
    <w:name w:val="标题 Char"/>
    <w:link w:val="43"/>
    <w:qFormat/>
    <w:uiPriority w:val="0"/>
    <w:rPr>
      <w:rFonts w:ascii="Cambria" w:hAnsi="Cambria"/>
      <w:b/>
      <w:bCs/>
      <w:kern w:val="2"/>
      <w:sz w:val="32"/>
      <w:szCs w:val="32"/>
    </w:rPr>
  </w:style>
  <w:style w:type="character" w:customStyle="1" w:styleId="292">
    <w:name w:val="标题 8 Char Char"/>
    <w:qFormat/>
    <w:uiPriority w:val="0"/>
    <w:rPr>
      <w:rFonts w:ascii="Arial" w:hAnsi="Arial" w:eastAsia="黑体"/>
      <w:kern w:val="2"/>
      <w:sz w:val="24"/>
      <w:szCs w:val="24"/>
      <w:lang w:val="en-US" w:eastAsia="zh-CN" w:bidi="ar-SA"/>
    </w:rPr>
  </w:style>
  <w:style w:type="character" w:customStyle="1" w:styleId="293">
    <w:name w:val="正文文本缩进 2 Char Char"/>
    <w:qFormat/>
    <w:uiPriority w:val="0"/>
    <w:rPr>
      <w:rFonts w:eastAsia="仿宋_GB2312"/>
      <w:sz w:val="30"/>
      <w:lang w:bidi="ar-SA"/>
    </w:rPr>
  </w:style>
  <w:style w:type="character" w:customStyle="1" w:styleId="294">
    <w:name w:val="标题 7 Char Char"/>
    <w:qFormat/>
    <w:uiPriority w:val="0"/>
    <w:rPr>
      <w:rFonts w:eastAsia="宋体"/>
      <w:b/>
      <w:bCs/>
      <w:kern w:val="2"/>
      <w:sz w:val="24"/>
      <w:szCs w:val="24"/>
      <w:lang w:val="en-US" w:eastAsia="zh-CN" w:bidi="ar-SA"/>
    </w:rPr>
  </w:style>
  <w:style w:type="character" w:customStyle="1" w:styleId="295">
    <w:name w:val="HTML 地址 Char"/>
    <w:link w:val="20"/>
    <w:qFormat/>
    <w:uiPriority w:val="0"/>
    <w:rPr>
      <w:i/>
      <w:kern w:val="2"/>
      <w:sz w:val="21"/>
      <w:szCs w:val="24"/>
    </w:rPr>
  </w:style>
  <w:style w:type="character" w:customStyle="1" w:styleId="296">
    <w:name w:val="标题 1 Char"/>
    <w:link w:val="3"/>
    <w:qFormat/>
    <w:uiPriority w:val="0"/>
    <w:rPr>
      <w:rFonts w:ascii="黑体" w:eastAsia="黑体"/>
      <w:bCs/>
      <w:kern w:val="44"/>
      <w:sz w:val="24"/>
      <w:szCs w:val="24"/>
    </w:rPr>
  </w:style>
  <w:style w:type="character" w:customStyle="1" w:styleId="297">
    <w:name w:val="批注文字 Char"/>
    <w:link w:val="17"/>
    <w:qFormat/>
    <w:uiPriority w:val="0"/>
    <w:rPr>
      <w:kern w:val="2"/>
      <w:sz w:val="24"/>
      <w:szCs w:val="24"/>
    </w:rPr>
  </w:style>
  <w:style w:type="character" w:customStyle="1" w:styleId="298">
    <w:name w:val="页脚 Char"/>
    <w:link w:val="28"/>
    <w:qFormat/>
    <w:uiPriority w:val="0"/>
    <w:rPr>
      <w:rFonts w:eastAsia="宋体"/>
      <w:kern w:val="2"/>
      <w:sz w:val="18"/>
      <w:lang w:val="en-US" w:eastAsia="zh-CN" w:bidi="ar-SA"/>
    </w:rPr>
  </w:style>
  <w:style w:type="character" w:customStyle="1" w:styleId="299">
    <w:name w:val="正文首行缩进 Char"/>
    <w:link w:val="44"/>
    <w:qFormat/>
    <w:uiPriority w:val="0"/>
    <w:rPr>
      <w:rFonts w:ascii="Calibri" w:hAnsi="Calibri" w:eastAsia="宋体"/>
      <w:kern w:val="2"/>
      <w:sz w:val="21"/>
      <w:szCs w:val="22"/>
      <w:lang w:val="en-US" w:eastAsia="zh-CN" w:bidi="ar-SA"/>
    </w:rPr>
  </w:style>
  <w:style w:type="character" w:customStyle="1" w:styleId="300">
    <w:name w:val="纯文本 Char Char"/>
    <w:qFormat/>
    <w:uiPriority w:val="0"/>
    <w:rPr>
      <w:rFonts w:ascii="宋体" w:hAnsi="Courier New"/>
      <w:kern w:val="2"/>
      <w:sz w:val="21"/>
      <w:lang w:bidi="ar-SA"/>
    </w:rPr>
  </w:style>
  <w:style w:type="character" w:customStyle="1" w:styleId="301">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302">
    <w:name w:val="标题 6 Char Char"/>
    <w:qFormat/>
    <w:uiPriority w:val="0"/>
    <w:rPr>
      <w:rFonts w:ascii="Arial" w:hAnsi="Arial" w:eastAsia="黑体"/>
      <w:b/>
      <w:bCs/>
      <w:kern w:val="2"/>
      <w:sz w:val="24"/>
      <w:szCs w:val="24"/>
      <w:lang w:val="en-US" w:eastAsia="zh-CN" w:bidi="ar-SA"/>
    </w:rPr>
  </w:style>
  <w:style w:type="character" w:customStyle="1" w:styleId="303">
    <w:name w:val="细目1 Char Char"/>
    <w:link w:val="63"/>
    <w:qFormat/>
    <w:uiPriority w:val="0"/>
    <w:rPr>
      <w:b/>
      <w:color w:val="215868"/>
      <w:kern w:val="2"/>
      <w:sz w:val="24"/>
      <w:szCs w:val="24"/>
    </w:rPr>
  </w:style>
  <w:style w:type="character" w:customStyle="1" w:styleId="304">
    <w:name w:val="Char Char9"/>
    <w:qFormat/>
    <w:uiPriority w:val="0"/>
    <w:rPr>
      <w:rFonts w:ascii="宋体" w:hAnsi="Courier New" w:eastAsia="宋体"/>
      <w:kern w:val="2"/>
      <w:sz w:val="21"/>
      <w:lang w:val="en-US" w:eastAsia="zh-CN" w:bidi="ar-SA"/>
    </w:rPr>
  </w:style>
  <w:style w:type="character" w:customStyle="1" w:styleId="305">
    <w:name w:val="apple-converted-space"/>
    <w:qFormat/>
    <w:uiPriority w:val="0"/>
    <w:rPr>
      <w:rFonts w:cs="Times New Roman"/>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customStyle="1" w:styleId="308">
    <w:name w:val="Placeholder Text"/>
    <w:basedOn w:val="47"/>
    <w:semiHidden/>
    <w:qFormat/>
    <w:uiPriority w:val="99"/>
    <w:rPr>
      <w:color w:val="808080"/>
    </w:rPr>
  </w:style>
  <w:style w:type="character" w:customStyle="1" w:styleId="309">
    <w:name w:val="正文缩进 Char3"/>
    <w:qFormat/>
    <w:uiPriority w:val="0"/>
    <w:rPr>
      <w:rFonts w:ascii="宋体" w:eastAsia="宋体"/>
      <w:sz w:val="34"/>
      <w:lang w:val="en-US" w:eastAsia="zh-CN" w:bidi="ar-SA"/>
    </w:rPr>
  </w:style>
  <w:style w:type="character" w:customStyle="1" w:styleId="31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46127</Words>
  <Characters>47603</Characters>
  <Lines>286</Lines>
  <Paragraphs>80</Paragraphs>
  <TotalTime>13</TotalTime>
  <ScaleCrop>false</ScaleCrop>
  <LinksUpToDate>false</LinksUpToDate>
  <CharactersWithSpaces>52574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敖翔</cp:lastModifiedBy>
  <cp:lastPrinted>2022-11-18T03:52:00Z</cp:lastPrinted>
  <dcterms:modified xsi:type="dcterms:W3CDTF">2025-02-13T01:17:50Z</dcterms:modified>
  <dc:title>货物公开招标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E1F259155FE24C4E88299200782D48BA_13</vt:lpwstr>
  </property>
</Properties>
</file>