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宋体" w:hAnsi="宋体" w:eastAsia="宋体" w:cs="Times New Roman"/>
          <w:b w:val="0"/>
          <w:color w:val="000000"/>
          <w:spacing w:val="20"/>
          <w:kern w:val="2"/>
          <w:sz w:val="36"/>
          <w:szCs w:val="36"/>
          <w:lang w:val="en-US" w:eastAsia="zh-CN" w:bidi="ar-SA"/>
        </w:rPr>
      </w:pPr>
      <w:bookmarkStart w:id="0" w:name="_GoBack"/>
      <w:bookmarkEnd w:id="0"/>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珠香吉税社征决字〔2025〕9号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r>
        <w:rPr>
          <w:rFonts w:hint="eastAsia" w:ascii="仿宋_GB2312" w:hAnsi="仿宋_GB2312" w:eastAsia="仿宋_GB2312" w:cs="Times New Roman"/>
          <w:snapToGrid w:val="0"/>
          <w:color w:val="auto"/>
          <w:kern w:val="0"/>
          <w:sz w:val="32"/>
          <w:szCs w:val="32"/>
          <w:u w:val="single"/>
        </w:rPr>
        <w:t>珠海市香洲区船餐风情餐饮店</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92440402MA56ACYPXY</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610402674921</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钟奇君</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440400</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4515</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珠海市香洲区情侣南路483号商铺</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2022年5月至2022年9月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5382.88</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890.55</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30.75</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129.48</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陆仟肆佰叁拾叁元陆角陆分</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6433.66</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珠香吉税社限缴字〔2025〕10009号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陆仟肆佰叁拾叁元陆角陆分</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6433.66</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国家税务总局珠海市香洲区税务局</w:t>
      </w:r>
      <w:r>
        <w:rPr>
          <w:rFonts w:hint="eastAsia" w:ascii="仿宋_GB2312" w:hAnsi="仿宋" w:eastAsia="仿宋_GB2312"/>
          <w:color w:val="000000"/>
          <w:sz w:val="32"/>
          <w:szCs w:val="32"/>
          <w:lang w:eastAsia="zh-CN" w:bidi="ar-SA"/>
        </w:rPr>
        <w:t>吉大</w:t>
      </w:r>
      <w:r>
        <w:rPr>
          <w:rFonts w:hint="eastAsia" w:ascii="仿宋_GB2312" w:hAnsi="仿宋" w:eastAsia="仿宋_GB2312"/>
          <w:color w:val="000000"/>
          <w:sz w:val="32"/>
          <w:szCs w:val="32"/>
          <w:lang w:bidi="ar-SA"/>
        </w:rPr>
        <w:t>税务分局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2025年7月8日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sectPr>
          <w:footerReference r:id="rId3" w:type="default"/>
          <w:type w:val="continuous"/>
          <w:pgSz w:w="11906" w:h="16838"/>
          <w:pgMar w:top="1440" w:right="1800" w:bottom="1440" w:left="1800"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9134"/>
    <w:rsid w:val="2AEF83DD"/>
    <w:rsid w:val="36F1021B"/>
    <w:rsid w:val="48823C6A"/>
    <w:rsid w:val="5FFFE316"/>
    <w:rsid w:val="77DB3907"/>
    <w:rsid w:val="7FBF9134"/>
    <w:rsid w:val="7FF738DE"/>
    <w:rsid w:val="BFFDDF8F"/>
    <w:rsid w:val="DCB5D717"/>
    <w:rsid w:val="FB67A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558</Words>
  <Characters>676</Characters>
  <Lines>0</Lines>
  <Paragraphs>0</Paragraphs>
  <TotalTime>0</TotalTime>
  <ScaleCrop>false</ScaleCrop>
  <LinksUpToDate>false</LinksUpToDate>
  <CharactersWithSpaces>678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2025-07-28T06:04:39Z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