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税务文书送达公告（珠海经济特区南兴开发公司）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珠海经济特区南兴开发公司（91440400192640765R）：</w:t>
      </w: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16日向你单位发出《国家税务总局珠海市香洲区税务局税收强制执行决定书（拍卖、变卖适用）》（珠香税强拍〔2026〕26号），因采取《中华人民共和国税收征收管理法》及其实施细则规定的方式均无法送达，根据《中华人民共和国税收征收管理法实施细则》第一百零六条规定，现依法公告送达该文书，自公告之日起满30日，即视为送达。</w:t>
      </w: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1.《国家税务总局珠海市香洲区税务局税收强制执行决定书（拍卖、变卖适用）》（珠香税强拍〔2026〕26号）；</w:t>
      </w: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2.《查封商品、货物或者其他财产清单》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firstLine="42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国家税务总局珠海市香洲区税务局</w:t>
      </w:r>
    </w:p>
    <w:p>
      <w:pPr>
        <w:ind w:firstLine="42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2026年8月18日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50239"/>
    <w:rsid w:val="07DA4880"/>
    <w:rsid w:val="0BEA04DE"/>
    <w:rsid w:val="19A250A3"/>
    <w:rsid w:val="19BE15BF"/>
    <w:rsid w:val="26E50239"/>
    <w:rsid w:val="28FF0AF7"/>
    <w:rsid w:val="38CB48E2"/>
    <w:rsid w:val="3FBA126D"/>
    <w:rsid w:val="534B512E"/>
    <w:rsid w:val="57373ABA"/>
    <w:rsid w:val="68ED1D8A"/>
    <w:rsid w:val="6E1B062B"/>
    <w:rsid w:val="7FE7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2025-03-24T11:07:00Z</dcterms:created>
  <dc:creator>杨逸鑫</dc:creator>
  <cp:lastModifiedBy>于莹</cp:lastModifiedBy>
  <dcterms:modified xsi:type="dcterms:W3CDTF">2026-08-18T08:16:00Z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8217D6791C74EF6470FC836AC8775104_42</vt:lpwstr>
  </property>
</Properties>
</file>