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center"/>
        <w:rPr>
          <w:rFonts w:hint="eastAsia" w:ascii="宋体" w:hAnsi="宋体" w:eastAsia="宋体"/>
          <w:sz w:val="44"/>
          <w:szCs w:val="24"/>
        </w:rPr>
      </w:pPr>
      <w:bookmarkStart w:id="0" w:name="_GoBack"/>
      <w:bookmarkEnd w:id="0"/>
      <w:r>
        <w:rPr>
          <w:rFonts w:hint="eastAsia" w:ascii="宋体" w:hAnsi="宋体" w:eastAsia="宋体"/>
          <w:sz w:val="44"/>
          <w:szCs w:val="24"/>
        </w:rPr>
        <w:t>国家税务总局珠海市香洲区税务局第二税</w:t>
      </w:r>
    </w:p>
    <w:p>
      <w:pPr>
        <w:spacing w:beforeLines="0" w:afterLines="0"/>
        <w:jc w:val="center"/>
        <w:rPr>
          <w:rFonts w:hint="eastAsia" w:ascii="宋体" w:hAnsi="宋体" w:eastAsia="宋体"/>
          <w:sz w:val="44"/>
          <w:szCs w:val="24"/>
        </w:rPr>
      </w:pPr>
      <w:r>
        <w:rPr>
          <w:rFonts w:hint="eastAsia" w:ascii="宋体" w:hAnsi="宋体" w:eastAsia="宋体"/>
          <w:sz w:val="44"/>
          <w:szCs w:val="24"/>
        </w:rPr>
        <w:t>务分局</w:t>
      </w:r>
    </w:p>
    <w:p>
      <w:pPr>
        <w:spacing w:beforeLines="0" w:afterLines="0"/>
        <w:jc w:val="center"/>
        <w:rPr>
          <w:rFonts w:hint="eastAsia" w:ascii="宋体" w:hAnsi="宋体" w:eastAsia="宋体"/>
          <w:sz w:val="52"/>
          <w:szCs w:val="24"/>
        </w:rPr>
      </w:pPr>
      <w:r>
        <w:rPr>
          <w:rFonts w:hint="eastAsia" w:ascii="宋体" w:hAnsi="宋体" w:eastAsia="宋体"/>
          <w:sz w:val="52"/>
          <w:szCs w:val="24"/>
        </w:rPr>
        <w:t>税务事项通知书</w:t>
      </w:r>
    </w:p>
    <w:p>
      <w:pPr>
        <w:spacing w:beforeLines="0" w:afterLines="0"/>
        <w:jc w:val="center"/>
        <w:rPr>
          <w:rFonts w:hint="eastAsia" w:ascii="FangSong_GB2312" w:hAnsi="FangSong_GB2312" w:eastAsia="FangSong_GB2312"/>
          <w:sz w:val="32"/>
          <w:szCs w:val="24"/>
        </w:rPr>
      </w:pPr>
      <w:r>
        <w:rPr>
          <w:rFonts w:hint="eastAsia" w:ascii="FangSong_GB2312" w:hAnsi="FangSong_GB2312" w:eastAsia="FangSong_GB2312"/>
          <w:sz w:val="32"/>
          <w:szCs w:val="24"/>
        </w:rPr>
        <w:t>珠香税二分局 税通 〔</w:t>
      </w:r>
      <w:r>
        <w:rPr>
          <w:rFonts w:hint="default" w:ascii="FangSong_GB2312" w:hAnsi="FangSong_GB2312" w:eastAsia="FangSong_GB2312"/>
          <w:sz w:val="32"/>
          <w:szCs w:val="24"/>
        </w:rPr>
        <w:t>2026</w:t>
      </w:r>
      <w:r>
        <w:rPr>
          <w:rFonts w:hint="eastAsia" w:ascii="FangSong_GB2312" w:hAnsi="FangSong_GB2312" w:eastAsia="FangSong_GB2312"/>
          <w:sz w:val="32"/>
          <w:szCs w:val="24"/>
        </w:rPr>
        <w:t xml:space="preserve">〕 </w:t>
      </w:r>
      <w:r>
        <w:rPr>
          <w:rFonts w:hint="default" w:ascii="FangSong_GB2312" w:hAnsi="FangSong_GB2312" w:eastAsia="FangSong_GB2312"/>
          <w:sz w:val="32"/>
          <w:szCs w:val="24"/>
        </w:rPr>
        <w:t xml:space="preserve">687 </w:t>
      </w:r>
      <w:r>
        <w:rPr>
          <w:rFonts w:hint="eastAsia" w:ascii="FangSong_GB2312" w:hAnsi="FangSong_GB2312" w:eastAsia="FangSong_GB2312"/>
          <w:sz w:val="32"/>
          <w:szCs w:val="24"/>
        </w:rPr>
        <w:t>号</w:t>
      </w:r>
    </w:p>
    <w:p>
      <w:pPr>
        <w:spacing w:beforeLines="0" w:afterLines="0"/>
        <w:jc w:val="left"/>
        <w:rPr>
          <w:rFonts w:hint="eastAsia" w:ascii="FangSong_GB2312" w:hAnsi="FangSong_GB2312" w:eastAsia="FangSong_GB2312"/>
          <w:sz w:val="32"/>
          <w:szCs w:val="24"/>
        </w:rPr>
      </w:pPr>
      <w:r>
        <w:rPr>
          <w:rFonts w:hint="eastAsia" w:ascii="FangSong_GB2312" w:hAnsi="FangSong_GB2312" w:eastAsia="FangSong_GB2312"/>
          <w:sz w:val="32"/>
          <w:szCs w:val="24"/>
        </w:rPr>
        <w:t>珠海市前山房地产开发有限公司：（纳税人识别号：</w:t>
      </w:r>
      <w:r>
        <w:rPr>
          <w:rFonts w:hint="default" w:ascii="FangSong_GB2312" w:hAnsi="FangSong_GB2312" w:eastAsia="FangSong_GB2312"/>
          <w:sz w:val="32"/>
          <w:szCs w:val="24"/>
        </w:rPr>
        <w:t>440402192597197</w:t>
      </w:r>
      <w:r>
        <w:rPr>
          <w:rFonts w:hint="eastAsia" w:ascii="FangSong_GB2312" w:hAnsi="FangSong_GB2312" w:eastAsia="FangSong_GB2312"/>
          <w:sz w:val="32"/>
          <w:szCs w:val="24"/>
        </w:rPr>
        <w:t>）</w:t>
      </w:r>
    </w:p>
    <w:p>
      <w:pPr>
        <w:spacing w:beforeLines="0" w:afterLines="0"/>
        <w:ind w:firstLine="640" w:firstLineChars="200"/>
        <w:jc w:val="left"/>
        <w:rPr>
          <w:rFonts w:hint="eastAsia" w:ascii="FangSong_GB2312" w:hAnsi="FangSong_GB2312" w:eastAsia="FangSong_GB2312"/>
          <w:sz w:val="32"/>
          <w:szCs w:val="24"/>
        </w:rPr>
      </w:pPr>
      <w:r>
        <w:rPr>
          <w:rFonts w:hint="eastAsia" w:ascii="FangSong_GB2312" w:hAnsi="FangSong_GB2312" w:eastAsia="FangSong_GB2312"/>
          <w:sz w:val="32"/>
          <w:szCs w:val="24"/>
        </w:rPr>
        <w:t>事由：土地增值税核定征收告知</w:t>
      </w:r>
    </w:p>
    <w:p>
      <w:pPr>
        <w:spacing w:beforeLines="0" w:afterLines="0"/>
        <w:ind w:firstLine="640" w:firstLineChars="200"/>
        <w:jc w:val="left"/>
        <w:rPr>
          <w:rFonts w:hint="eastAsia" w:ascii="FangSong_GB2312" w:hAnsi="FangSong_GB2312" w:eastAsia="FangSong_GB2312"/>
          <w:sz w:val="32"/>
          <w:szCs w:val="24"/>
        </w:rPr>
      </w:pPr>
      <w:r>
        <w:rPr>
          <w:rFonts w:hint="eastAsia" w:ascii="FangSong_GB2312" w:hAnsi="FangSong_GB2312" w:eastAsia="FangSong_GB2312"/>
          <w:sz w:val="32"/>
          <w:szCs w:val="24"/>
        </w:rPr>
        <w:t>依据：《中华人民共和国税收征收管理法》第三十五条，《国家税务总局关于房地产开发企业土地增值税清算管理有关问题的通知》（国税发〔</w:t>
      </w:r>
      <w:r>
        <w:rPr>
          <w:rFonts w:hint="default" w:ascii="FangSong_GB2312" w:hAnsi="FangSong_GB2312" w:eastAsia="FangSong_GB2312"/>
          <w:sz w:val="32"/>
          <w:szCs w:val="24"/>
        </w:rPr>
        <w:t>2006</w:t>
      </w:r>
      <w:r>
        <w:rPr>
          <w:rFonts w:hint="eastAsia" w:ascii="FangSong_GB2312" w:hAnsi="FangSong_GB2312" w:eastAsia="FangSong_GB2312"/>
          <w:sz w:val="32"/>
          <w:szCs w:val="24"/>
        </w:rPr>
        <w:t>〕</w:t>
      </w:r>
      <w:r>
        <w:rPr>
          <w:rFonts w:hint="default" w:ascii="FangSong_GB2312" w:hAnsi="FangSong_GB2312" w:eastAsia="FangSong_GB2312"/>
          <w:sz w:val="32"/>
          <w:szCs w:val="24"/>
        </w:rPr>
        <w:t xml:space="preserve">187 </w:t>
      </w:r>
      <w:r>
        <w:rPr>
          <w:rFonts w:hint="eastAsia" w:ascii="FangSong_GB2312" w:hAnsi="FangSong_GB2312" w:eastAsia="FangSong_GB2312"/>
          <w:sz w:val="32"/>
          <w:szCs w:val="24"/>
        </w:rPr>
        <w:t>号）第七条，《国家税务总局关于印发〈土地增值税清算管理规程〉的通知》（国税发〔</w:t>
      </w:r>
      <w:r>
        <w:rPr>
          <w:rFonts w:hint="default" w:ascii="FangSong_GB2312" w:hAnsi="FangSong_GB2312" w:eastAsia="FangSong_GB2312"/>
          <w:sz w:val="32"/>
          <w:szCs w:val="24"/>
        </w:rPr>
        <w:t>2009</w:t>
      </w:r>
      <w:r>
        <w:rPr>
          <w:rFonts w:hint="eastAsia" w:ascii="FangSong_GB2312" w:hAnsi="FangSong_GB2312" w:eastAsia="FangSong_GB2312"/>
          <w:sz w:val="32"/>
          <w:szCs w:val="24"/>
        </w:rPr>
        <w:t>〕</w:t>
      </w:r>
      <w:r>
        <w:rPr>
          <w:rFonts w:hint="default" w:ascii="FangSong_GB2312" w:hAnsi="FangSong_GB2312" w:eastAsia="FangSong_GB2312"/>
          <w:sz w:val="32"/>
          <w:szCs w:val="24"/>
        </w:rPr>
        <w:t xml:space="preserve">91 </w:t>
      </w:r>
      <w:r>
        <w:rPr>
          <w:rFonts w:hint="eastAsia" w:ascii="FangSong_GB2312" w:hAnsi="FangSong_GB2312" w:eastAsia="FangSong_GB2312"/>
          <w:sz w:val="32"/>
          <w:szCs w:val="24"/>
        </w:rPr>
        <w:t>号）第三十三条、第三十四条、第三十五条</w:t>
      </w:r>
    </w:p>
    <w:p>
      <w:pPr>
        <w:spacing w:beforeLines="0" w:afterLines="0"/>
        <w:ind w:firstLine="640" w:firstLineChars="200"/>
        <w:jc w:val="left"/>
        <w:rPr>
          <w:rFonts w:hint="eastAsia" w:ascii="FangSong_GB2312" w:hAnsi="FangSong_GB2312" w:eastAsia="FangSong_GB2312"/>
          <w:sz w:val="32"/>
          <w:szCs w:val="24"/>
        </w:rPr>
      </w:pPr>
      <w:r>
        <w:rPr>
          <w:rFonts w:hint="eastAsia" w:ascii="FangSong_GB2312" w:hAnsi="FangSong_GB2312" w:eastAsia="FangSong_GB2312"/>
          <w:sz w:val="32"/>
          <w:szCs w:val="24"/>
        </w:rPr>
        <w:t>通知内容：经审核，发现你（单位）开发的雅景花园项目（项目编号：</w:t>
      </w:r>
      <w:r>
        <w:rPr>
          <w:rFonts w:hint="default" w:ascii="FangSong_GB2312" w:hAnsi="FangSong_GB2312" w:eastAsia="FangSong_GB2312"/>
          <w:sz w:val="32"/>
          <w:szCs w:val="24"/>
        </w:rPr>
        <w:t>Z44040220260014</w:t>
      </w:r>
      <w:r>
        <w:rPr>
          <w:rFonts w:hint="eastAsia" w:ascii="FangSong_GB2312" w:hAnsi="FangSong_GB2312" w:eastAsia="FangSong_GB2312"/>
          <w:sz w:val="32"/>
          <w:szCs w:val="24"/>
        </w:rPr>
        <w:t>）符合核定征收条件，本机关决定核定征收该项目土地增值税，核定征收理由如下：</w:t>
      </w:r>
    </w:p>
    <w:p>
      <w:pPr>
        <w:spacing w:beforeLines="0" w:afterLines="0"/>
        <w:ind w:firstLine="640" w:firstLineChars="200"/>
        <w:jc w:val="left"/>
        <w:rPr>
          <w:rFonts w:hint="eastAsia" w:ascii="FangSong_GB2312" w:hAnsi="FangSong_GB2312" w:eastAsia="FangSong_GB2312"/>
          <w:sz w:val="32"/>
          <w:szCs w:val="24"/>
        </w:rPr>
      </w:pPr>
      <w:r>
        <w:rPr>
          <w:rFonts w:hint="eastAsia" w:ascii="FangSong_GB2312" w:hAnsi="FangSong_GB2312" w:eastAsia="FangSong_GB2312"/>
          <w:sz w:val="32"/>
          <w:szCs w:val="24"/>
        </w:rPr>
        <w:t>你（单位）开发的雅景花园项目符合土地增值税清算条件，未按照规定的期限办理清算手续，经税务机关责令限期清算，逾期仍不清算，按核定方式对房地产项目进行清算。</w:t>
      </w:r>
    </w:p>
    <w:p>
      <w:pPr>
        <w:ind w:firstLine="5440" w:firstLineChars="1700"/>
        <w:rPr>
          <w:rFonts w:hint="eastAsia" w:ascii="FangSong_GB2312" w:hAnsi="FangSong_GB2312" w:eastAsia="FangSong_GB2312"/>
          <w:sz w:val="32"/>
          <w:szCs w:val="24"/>
        </w:rPr>
      </w:pPr>
      <w:r>
        <w:rPr>
          <w:rFonts w:hint="eastAsia" w:ascii="FangSong_GB2312" w:hAnsi="FangSong_GB2312" w:eastAsia="FangSong_GB2312"/>
          <w:sz w:val="32"/>
          <w:szCs w:val="24"/>
        </w:rPr>
        <w:t>税务机关（签章）</w:t>
      </w:r>
    </w:p>
    <w:p>
      <w:pPr>
        <w:ind w:firstLine="4800" w:firstLineChars="1500"/>
      </w:pPr>
      <w:r>
        <w:rPr>
          <w:rFonts w:hint="eastAsia" w:ascii="FangSong_GB2312" w:hAnsi="FangSong_GB2312" w:eastAsia="FangSong_GB2312"/>
          <w:sz w:val="32"/>
          <w:szCs w:val="24"/>
        </w:rPr>
        <w:t>二</w:t>
      </w:r>
      <w:r>
        <w:rPr>
          <w:rFonts w:hint="eastAsia" w:ascii="宋体" w:hAnsi="宋体" w:eastAsia="宋体"/>
          <w:sz w:val="32"/>
          <w:szCs w:val="24"/>
        </w:rPr>
        <w:t>〇</w:t>
      </w:r>
      <w:r>
        <w:rPr>
          <w:rFonts w:hint="eastAsia" w:ascii="FangSong_GB2312" w:hAnsi="FangSong_GB2312" w:eastAsia="FangSong_GB2312"/>
          <w:sz w:val="32"/>
          <w:szCs w:val="24"/>
        </w:rPr>
        <w:t>二六年 八 月 七 日</w:t>
      </w: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0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47754E"/>
    <w:rsid w:val="402F057E"/>
    <w:rsid w:val="46585D9E"/>
    <w:rsid w:val="76345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asciiTheme="minorHAnsi" w:hAnsiTheme="minorHAnsi" w:cstheme="minorBidi"/>
      <w:kern w:val="2"/>
      <w:sz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2026-08-18T02:47:00Z</dcterms:created>
  <dc:creator>周川滟</dc:creator>
  <cp:lastModifiedBy>于莹</cp:lastModifiedBy>
  <dcterms:modified xsi:type="dcterms:W3CDTF">2026-08-19T08:13:57Z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