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房地产评估机构诚信承诺书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为进一步规范房地产评估执业行为，维护房地产评估行业形象，保护公平竞争，建立一个健康、诚信的评估市场体系，本公司及估价人员对所从事的房地产估价业务活动特承诺如下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一、严格遵守国家法律、法规和《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中华人民共和国国家标准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房地产估价规范》，恪守职业操守，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评估业务。                                                                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二、坚持“独立、客观、公正、诚信”的原则，出具的房地产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评估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报告如实反映市场情况，不为迎合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</w:rPr>
        <w:t>方的意愿而恶意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抬</w:t>
      </w:r>
      <w:r>
        <w:rPr>
          <w:rFonts w:hint="eastAsia" w:ascii="仿宋_GB2312" w:hAnsi="仿宋_GB2312" w:eastAsia="仿宋_GB2312" w:cs="仿宋_GB2312"/>
          <w:sz w:val="32"/>
          <w:szCs w:val="32"/>
        </w:rPr>
        <w:t>高或压低房地产评估价值，不做任何欺诈、隐瞒事实的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行为。                                                                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三、不超越资质等级业务范围承接房地产估价业务，不贬损或诋毁其他估价机构和执业人员，维护行业整体利益。                                                                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四、不采取恶意压低收费、给予回扣、提成等各种形式的不正当竞争手段，获取商业机会或商业利益；不收受委托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或估价业务有利害关系的单位或个人的额外报酬或财物。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五、实行公司统一、公开收费，不以个人名义接受委托和收费。严格执行国家、省、市规定的收费标准，向委托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收取评估费并开具相应票据。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六、本机构知悉以下内容：如本机构发生违反相关法律法规、扰乱市场、与委托方恶意串通或其它不良行为的，税务机关有权取消且不再受理本机构参与当地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存量房交易计税价格核定争议备案登记，同时将相关情况通报当地房地产主管部门。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机构负责人（签名）：              承诺机构（盖章）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54F14"/>
    <w:rsid w:val="0AC5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2023-12-13T02:42:00Z</dcterms:created>
  <dc:creator>吴秋洁</dc:creator>
  <cp:lastModifiedBy>吴秋洁</cp:lastModifiedBy>
  <dcterms:modified xsi:type="dcterms:W3CDTF">2023-12-13T02:43:59Z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