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附件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ascii="宋体" w:hAnsi="宋体"/>
          <w:b/>
          <w:color w:val="000000"/>
          <w:sz w:val="44"/>
        </w:rPr>
        <w:t>房地产评估机构备案登记表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520"/>
        <w:gridCol w:w="2148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备案</w:t>
            </w:r>
            <w:r>
              <w:rPr>
                <w:rFonts w:ascii="宋体" w:hAnsi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注册</w:t>
            </w:r>
            <w:r>
              <w:rPr>
                <w:rFonts w:ascii="宋体" w:hAnsi="宋体"/>
                <w:b/>
                <w:color w:val="000000"/>
                <w:sz w:val="24"/>
              </w:rPr>
              <w:t>地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址</w:t>
            </w:r>
          </w:p>
        </w:tc>
        <w:tc>
          <w:tcPr>
            <w:tcW w:w="6693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/执行合伙人</w:t>
            </w:r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/执行合伙人</w:t>
            </w:r>
            <w:r>
              <w:rPr>
                <w:rFonts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资质等级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总分机构类型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上一年度纳税信用等级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上一年度行政处罚记录</w:t>
            </w:r>
          </w:p>
        </w:tc>
        <w:tc>
          <w:tcPr>
            <w:tcW w:w="669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业务覆盖肇庆区域，各县（市、区）办公地址、联系人及联系电话</w:t>
            </w:r>
          </w:p>
        </w:tc>
        <w:tc>
          <w:tcPr>
            <w:tcW w:w="669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备案单位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482" w:firstLineChars="200"/>
              <w:jc w:val="left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本单位对填报内容（及附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资料）的真实性、可靠性、完整性负责。</w:t>
            </w: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（签章）：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税务机关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autoSpaceDN w:val="0"/>
              <w:ind w:firstLine="482" w:firstLineChars="200"/>
              <w:jc w:val="both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受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理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复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核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受理机关（</w:t>
            </w:r>
            <w:r>
              <w:rPr>
                <w:rFonts w:ascii="宋体" w:hAnsi="宋体"/>
                <w:b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ascii="宋体" w:hAnsi="宋体"/>
                <w:b/>
                <w:color w:val="000000"/>
                <w:sz w:val="24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3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2024-12-10T08:19:09Z</dcterms:created>
  <dc:creator>xmtyw001</dc:creator>
  <cp:lastModifiedBy>吴秋洁</cp:lastModifiedBy>
  <dcterms:modified xsi:type="dcterms:W3CDTF">2024-12-10T08:19:32Z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